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53011" w14:textId="77777777" w:rsidR="00DC5923" w:rsidRDefault="00DC5923" w:rsidP="00A02FEE">
      <w:pPr>
        <w:jc w:val="right"/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36224" behindDoc="1" locked="0" layoutInCell="1" allowOverlap="1" wp14:anchorId="29E0E01D" wp14:editId="2ADF4A69">
            <wp:simplePos x="0" y="0"/>
            <wp:positionH relativeFrom="column">
              <wp:posOffset>5043805</wp:posOffset>
            </wp:positionH>
            <wp:positionV relativeFrom="page">
              <wp:posOffset>571500</wp:posOffset>
            </wp:positionV>
            <wp:extent cx="1028700" cy="1028700"/>
            <wp:effectExtent l="0" t="0" r="0" b="0"/>
            <wp:wrapTopAndBottom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F1D2B8" w14:textId="197BD39B" w:rsidR="00DC5923" w:rsidRPr="00A02FEE" w:rsidRDefault="00DC5923" w:rsidP="00255A42">
      <w:pPr>
        <w:jc w:val="center"/>
        <w:rPr>
          <w:b/>
          <w:sz w:val="24"/>
          <w:szCs w:val="24"/>
        </w:rPr>
      </w:pPr>
    </w:p>
    <w:p w14:paraId="032DAED2" w14:textId="77777777" w:rsidR="00DC5923" w:rsidRDefault="00DC5923"/>
    <w:p w14:paraId="0A9856D4" w14:textId="77777777" w:rsidR="00DC5923" w:rsidRDefault="00DC5923"/>
    <w:p w14:paraId="1147C0C3" w14:textId="77777777" w:rsidR="00DC5923" w:rsidRDefault="00DC5923"/>
    <w:p w14:paraId="08BAB6BA" w14:textId="77777777" w:rsidR="00DC5923" w:rsidRDefault="00DC5923"/>
    <w:p w14:paraId="7E00A325" w14:textId="77777777" w:rsidR="00DC5923" w:rsidRDefault="00DC5923"/>
    <w:p w14:paraId="797FB305" w14:textId="77777777" w:rsidR="00DC5923" w:rsidRDefault="00DC5923"/>
    <w:p w14:paraId="3303B0B1" w14:textId="65B89CDB" w:rsidR="00DC5923" w:rsidRDefault="00123839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056FE94" wp14:editId="062208F4">
                <wp:simplePos x="0" y="0"/>
                <wp:positionH relativeFrom="column">
                  <wp:posOffset>-182245</wp:posOffset>
                </wp:positionH>
                <wp:positionV relativeFrom="paragraph">
                  <wp:posOffset>273050</wp:posOffset>
                </wp:positionV>
                <wp:extent cx="6223000" cy="5631764"/>
                <wp:effectExtent l="0" t="0" r="0" b="7620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5631764"/>
                          <a:chOff x="0" y="0"/>
                          <a:chExt cx="5869729" cy="2724060"/>
                        </a:xfrm>
                      </wpg:grpSpPr>
                      <wps:wsp>
                        <wps:cNvPr id="2" name="Textové pole 2"/>
                        <wps:cNvSpPr txBox="1"/>
                        <wps:spPr>
                          <a:xfrm>
                            <a:off x="77864" y="1131480"/>
                            <a:ext cx="4373880" cy="1592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43024B" w14:textId="77777777" w:rsidR="000831DF" w:rsidRPr="00DC5923" w:rsidRDefault="000831DF" w:rsidP="00DC5923">
                              <w:pPr>
                                <w:rPr>
                                  <w:color w:val="808080" w:themeColor="background1" w:themeShade="80"/>
                                  <w:sz w:val="48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C5923">
                                <w:rPr>
                                  <w:color w:val="808080" w:themeColor="background1" w:themeShade="80"/>
                                  <w:sz w:val="48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v rámci systému českého </w:t>
                              </w:r>
                              <w:r>
                                <w:rPr>
                                  <w:color w:val="808080" w:themeColor="background1" w:themeShade="80"/>
                                  <w:sz w:val="48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výzkumu, vývoje a inovací</w:t>
                              </w:r>
                              <w:r w:rsidRPr="00DC5923">
                                <w:rPr>
                                  <w:color w:val="808080" w:themeColor="background1" w:themeShade="80"/>
                                  <w:sz w:val="48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2021–2025</w:t>
                              </w:r>
                            </w:p>
                            <w:p w14:paraId="28BBD49C" w14:textId="77777777" w:rsidR="000831DF" w:rsidRDefault="000831DF"/>
                            <w:p w14:paraId="48D82496" w14:textId="77777777" w:rsidR="000831DF" w:rsidRPr="00DC5923" w:rsidRDefault="000831DF" w:rsidP="00DC5923">
                              <w:pPr>
                                <w:rPr>
                                  <w:color w:val="808080" w:themeColor="background1" w:themeShade="80"/>
                                  <w:sz w:val="48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48"/>
                                  <w:szCs w:val="4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ové pole 1"/>
                        <wps:cNvSpPr txBox="1"/>
                        <wps:spPr>
                          <a:xfrm>
                            <a:off x="0" y="0"/>
                            <a:ext cx="5869729" cy="9183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DFC2DF" w14:textId="43236F84" w:rsidR="000831DF" w:rsidRPr="00DC5923" w:rsidRDefault="000831DF" w:rsidP="00DC5923">
                              <w:pPr>
                                <w:rPr>
                                  <w:b/>
                                  <w:color w:val="F03741"/>
                                  <w:sz w:val="72"/>
                                  <w:szCs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  <w:szCs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PERSPEKTIVY</w:t>
                              </w:r>
                              <w:r w:rsidRPr="00DC5923">
                                <w:rPr>
                                  <w:b/>
                                  <w:sz w:val="72"/>
                                  <w:szCs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ROZVOJE </w:t>
                              </w:r>
                              <w:r w:rsidRPr="00DC5923">
                                <w:rPr>
                                  <w:b/>
                                  <w:color w:val="F03741"/>
                                  <w:sz w:val="72"/>
                                  <w:szCs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</w:t>
                              </w:r>
                              <w:r>
                                <w:rPr>
                                  <w:b/>
                                  <w:color w:val="F03741"/>
                                  <w:sz w:val="72"/>
                                  <w:szCs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echnologické agentury České republiky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římá spojnice 3"/>
                        <wps:cNvCnPr/>
                        <wps:spPr>
                          <a:xfrm>
                            <a:off x="109408" y="1012804"/>
                            <a:ext cx="202692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F0374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56FE94" id="Skupina 5" o:spid="_x0000_s1026" style="position:absolute;margin-left:-14.35pt;margin-top:21.5pt;width:490pt;height:443.45pt;z-index:251659776;mso-width-relative:margin;mso-height-relative:margin" coordsize="58697,27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27" type="#_x0000_t202" style="position:absolute;left:778;top:11314;width:43739;height:15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5F43024B" w14:textId="77777777" w:rsidR="000831DF" w:rsidRPr="00DC5923" w:rsidRDefault="000831DF" w:rsidP="00DC5923">
                        <w:pPr>
                          <w:rPr>
                            <w:color w:val="808080" w:themeColor="background1" w:themeShade="80"/>
                            <w:sz w:val="48"/>
                            <w:szCs w:val="4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C5923">
                          <w:rPr>
                            <w:color w:val="808080" w:themeColor="background1" w:themeShade="80"/>
                            <w:sz w:val="48"/>
                            <w:szCs w:val="4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v rámci systému českého </w:t>
                        </w:r>
                        <w:r>
                          <w:rPr>
                            <w:color w:val="808080" w:themeColor="background1" w:themeShade="80"/>
                            <w:sz w:val="48"/>
                            <w:szCs w:val="4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výzkumu, vývoje a inovací</w:t>
                        </w:r>
                        <w:r w:rsidRPr="00DC5923">
                          <w:rPr>
                            <w:color w:val="808080" w:themeColor="background1" w:themeShade="80"/>
                            <w:sz w:val="48"/>
                            <w:szCs w:val="4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2021–2025</w:t>
                        </w:r>
                      </w:p>
                      <w:p w14:paraId="28BBD49C" w14:textId="77777777" w:rsidR="000831DF" w:rsidRDefault="000831DF"/>
                      <w:p w14:paraId="48D82496" w14:textId="77777777" w:rsidR="000831DF" w:rsidRPr="00DC5923" w:rsidRDefault="000831DF" w:rsidP="00DC5923">
                        <w:pPr>
                          <w:rPr>
                            <w:color w:val="808080" w:themeColor="background1" w:themeShade="80"/>
                            <w:sz w:val="48"/>
                            <w:szCs w:val="4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color w:val="808080" w:themeColor="background1" w:themeShade="80"/>
                            <w:sz w:val="48"/>
                            <w:szCs w:val="4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ové pole 1" o:spid="_x0000_s1028" type="#_x0000_t202" style="position:absolute;width:58697;height:9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21DFC2DF" w14:textId="43236F84" w:rsidR="000831DF" w:rsidRPr="00DC5923" w:rsidRDefault="000831DF" w:rsidP="00DC5923">
                        <w:pPr>
                          <w:rPr>
                            <w:b/>
                            <w:color w:val="F03741"/>
                            <w:sz w:val="72"/>
                            <w:szCs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sz w:val="72"/>
                            <w:szCs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PERSPEKTIVY</w:t>
                        </w:r>
                        <w:r w:rsidRPr="00DC5923">
                          <w:rPr>
                            <w:b/>
                            <w:sz w:val="72"/>
                            <w:szCs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ROZVOJE </w:t>
                        </w:r>
                        <w:r w:rsidRPr="00DC5923">
                          <w:rPr>
                            <w:b/>
                            <w:color w:val="F03741"/>
                            <w:sz w:val="72"/>
                            <w:szCs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T</w:t>
                        </w:r>
                        <w:r>
                          <w:rPr>
                            <w:b/>
                            <w:color w:val="F03741"/>
                            <w:sz w:val="72"/>
                            <w:szCs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echnologické agentury České republiky</w:t>
                        </w:r>
                      </w:p>
                    </w:txbxContent>
                  </v:textbox>
                </v:shape>
                <v:line id="Přímá spojnice 3" o:spid="_x0000_s1029" style="position:absolute;visibility:visible;mso-wrap-style:square" from="1094,10128" to="21363,10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" strokecolor="#f03741" strokeweight="6pt">
                  <v:stroke joinstyle="miter"/>
                </v:line>
              </v:group>
            </w:pict>
          </mc:Fallback>
        </mc:AlternateContent>
      </w:r>
    </w:p>
    <w:p w14:paraId="2F9E431B" w14:textId="51EEBFC3" w:rsidR="00DC5923" w:rsidRDefault="00DC5923"/>
    <w:p w14:paraId="65811D40" w14:textId="508876D2" w:rsidR="00DC5923" w:rsidRDefault="00DC5923"/>
    <w:p w14:paraId="254C142B" w14:textId="34A503AC" w:rsidR="00DC5923" w:rsidRDefault="00DC5923"/>
    <w:p w14:paraId="72AE6905" w14:textId="1F85A932" w:rsidR="00DC5923" w:rsidRDefault="00DC5923"/>
    <w:p w14:paraId="27FFD5E3" w14:textId="77777777" w:rsidR="00DC5923" w:rsidRDefault="00DC5923"/>
    <w:p w14:paraId="1CBD1CB1" w14:textId="77777777" w:rsidR="00DC5923" w:rsidRDefault="00DC5923"/>
    <w:p w14:paraId="1E0260C2" w14:textId="77777777" w:rsidR="00DC5923" w:rsidRDefault="00DC5923"/>
    <w:p w14:paraId="5C46BDA1" w14:textId="77777777" w:rsidR="00DC5923" w:rsidRDefault="00DC5923"/>
    <w:p w14:paraId="20E5AA73" w14:textId="77777777" w:rsidR="00DC5923" w:rsidRDefault="00DC5923"/>
    <w:p w14:paraId="25C8B2E7" w14:textId="77777777" w:rsidR="00DC5923" w:rsidRDefault="00DC5923"/>
    <w:p w14:paraId="1F841971" w14:textId="77777777" w:rsidR="00DC5923" w:rsidRDefault="00DC5923"/>
    <w:p w14:paraId="29D0CF81" w14:textId="77777777" w:rsidR="00DC5923" w:rsidRDefault="00DC5923"/>
    <w:p w14:paraId="4AB55E55" w14:textId="77777777" w:rsidR="00DC5923" w:rsidRDefault="00DC5923"/>
    <w:p w14:paraId="2AF0ADE2" w14:textId="77777777" w:rsidR="00DC5923" w:rsidRDefault="00DC5923"/>
    <w:p w14:paraId="6E4B8A1F" w14:textId="77777777" w:rsidR="00DC5923" w:rsidRDefault="00DC5923"/>
    <w:p w14:paraId="62FEAAFD" w14:textId="3FD9B5DF" w:rsidR="00DC5923" w:rsidRDefault="00DC5923"/>
    <w:p w14:paraId="1E230148" w14:textId="77777777" w:rsidR="000E7A87" w:rsidRDefault="000E7A87"/>
    <w:p w14:paraId="5EF2A31F" w14:textId="77777777" w:rsidR="00DC5923" w:rsidRDefault="00DC5923"/>
    <w:p w14:paraId="1D68B5BB" w14:textId="77777777" w:rsidR="00DC5923" w:rsidRDefault="00DC5923"/>
    <w:p w14:paraId="551075C3" w14:textId="77777777" w:rsidR="00DC5923" w:rsidRDefault="00DC5923"/>
    <w:p w14:paraId="7382A7D5" w14:textId="77777777" w:rsidR="00DC5923" w:rsidRDefault="00DC5923"/>
    <w:p w14:paraId="63313B27" w14:textId="2B59FD62" w:rsidR="002316C7" w:rsidRDefault="000A22CF">
      <w:pPr>
        <w:pStyle w:val="Obsah1"/>
        <w:tabs>
          <w:tab w:val="right" w:leader="dot" w:pos="9062"/>
        </w:tabs>
      </w:pPr>
      <w:r w:rsidRPr="002316C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2C321" wp14:editId="7150BD88">
                <wp:simplePos x="0" y="0"/>
                <wp:positionH relativeFrom="column">
                  <wp:posOffset>-74930</wp:posOffset>
                </wp:positionH>
                <wp:positionV relativeFrom="paragraph">
                  <wp:posOffset>-579120</wp:posOffset>
                </wp:positionV>
                <wp:extent cx="5684520" cy="572135"/>
                <wp:effectExtent l="0" t="0" r="0" b="0"/>
                <wp:wrapNone/>
                <wp:docPr id="64" name="Textové po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4520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63A8F" w14:textId="77777777" w:rsidR="000831DF" w:rsidRPr="00075C63" w:rsidRDefault="000831DF" w:rsidP="002316C7">
                            <w:pPr>
                              <w:pStyle w:val="Nadpis1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1" w:name="_Toc66366419"/>
                            <w:r>
                              <w:rPr>
                                <w:color w:val="FFFFFF" w:themeColor="background1"/>
                              </w:rPr>
                              <w:t>Obsah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2C321" id="Textové pole 64" o:spid="_x0000_s1030" type="#_x0000_t202" style="position:absolute;margin-left:-5.9pt;margin-top:-45.6pt;width:447.6pt;height: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" filled="f" stroked="f" strokeweight=".5pt">
                <v:textbox>
                  <w:txbxContent>
                    <w:p w14:paraId="55563A8F" w14:textId="77777777" w:rsidR="000831DF" w:rsidRPr="00075C63" w:rsidRDefault="000831DF" w:rsidP="002316C7">
                      <w:pPr>
                        <w:pStyle w:val="Nadpis1"/>
                        <w:jc w:val="center"/>
                        <w:rPr>
                          <w:color w:val="FFFFFF" w:themeColor="background1"/>
                        </w:rPr>
                      </w:pPr>
                      <w:bookmarkStart w:id="1" w:name="_Toc66366419"/>
                      <w:r>
                        <w:rPr>
                          <w:color w:val="FFFFFF" w:themeColor="background1"/>
                        </w:rPr>
                        <w:t>Obsah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57660" w:rsidRPr="002316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5A6744" wp14:editId="3194C3B3">
                <wp:simplePos x="0" y="0"/>
                <wp:positionH relativeFrom="column">
                  <wp:posOffset>-880745</wp:posOffset>
                </wp:positionH>
                <wp:positionV relativeFrom="paragraph">
                  <wp:posOffset>-899795</wp:posOffset>
                </wp:positionV>
                <wp:extent cx="7528560" cy="1231900"/>
                <wp:effectExtent l="0" t="0" r="0" b="6350"/>
                <wp:wrapNone/>
                <wp:docPr id="63" name="Obdélní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560" cy="1231900"/>
                        </a:xfrm>
                        <a:prstGeom prst="rect">
                          <a:avLst/>
                        </a:prstGeom>
                        <a:solidFill>
                          <a:srgbClr val="F037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E5EDA" id="Obdélník 63" o:spid="_x0000_s1026" style="position:absolute;margin-left:-69.35pt;margin-top:-70.85pt;width:592.8pt;height:97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" fillcolor="#f03741" stroked="f" strokeweight="1pt"/>
            </w:pict>
          </mc:Fallback>
        </mc:AlternateContent>
      </w:r>
    </w:p>
    <w:p w14:paraId="4BB7A52D" w14:textId="77777777" w:rsidR="002316C7" w:rsidRDefault="002316C7">
      <w:pPr>
        <w:pStyle w:val="Obsah1"/>
        <w:tabs>
          <w:tab w:val="right" w:leader="dot" w:pos="9062"/>
        </w:tabs>
      </w:pPr>
    </w:p>
    <w:p w14:paraId="446E7946" w14:textId="6B7E82D8" w:rsidR="00001830" w:rsidRDefault="005048CF">
      <w:pPr>
        <w:pStyle w:val="Obsah1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r:id="rId9" w:anchor="_Toc66366419" w:history="1">
        <w:r w:rsidR="00001830" w:rsidRPr="00AF5BC3">
          <w:rPr>
            <w:rStyle w:val="Hypertextovodkaz"/>
            <w:noProof/>
          </w:rPr>
          <w:t>Obsah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_Toc66366419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2</w:t>
        </w:r>
        <w:r w:rsidR="00001830">
          <w:rPr>
            <w:noProof/>
            <w:webHidden/>
          </w:rPr>
          <w:fldChar w:fldCharType="end"/>
        </w:r>
      </w:hyperlink>
    </w:p>
    <w:p w14:paraId="5D2F45F9" w14:textId="776845A3" w:rsidR="00001830" w:rsidRDefault="00AF15CF">
      <w:pPr>
        <w:pStyle w:val="Obsah1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r:id="rId10" w:anchor="_Toc66366420" w:history="1">
        <w:r w:rsidR="00001830" w:rsidRPr="00AF5BC3">
          <w:rPr>
            <w:rStyle w:val="Hypertextovodkaz"/>
            <w:noProof/>
          </w:rPr>
          <w:t>1. Úvod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_Toc66366420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4</w:t>
        </w:r>
        <w:r w:rsidR="00001830">
          <w:rPr>
            <w:noProof/>
            <w:webHidden/>
          </w:rPr>
          <w:fldChar w:fldCharType="end"/>
        </w:r>
      </w:hyperlink>
    </w:p>
    <w:p w14:paraId="799C4F99" w14:textId="13B64DE8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21" w:history="1">
        <w:r w:rsidR="00001830" w:rsidRPr="00AF5BC3">
          <w:rPr>
            <w:rStyle w:val="Hypertextovodkaz"/>
            <w:noProof/>
          </w:rPr>
          <w:t>Představení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_Toc66366421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4</w:t>
        </w:r>
        <w:r w:rsidR="00001830">
          <w:rPr>
            <w:noProof/>
            <w:webHidden/>
          </w:rPr>
          <w:fldChar w:fldCharType="end"/>
        </w:r>
      </w:hyperlink>
    </w:p>
    <w:p w14:paraId="7CA6A13B" w14:textId="4BC13A39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22" w:history="1">
        <w:r w:rsidR="00001830" w:rsidRPr="00AF5BC3">
          <w:rPr>
            <w:rStyle w:val="Hypertextovodkaz"/>
            <w:noProof/>
          </w:rPr>
          <w:t>Kontext vzniku, účel a uživatelé dokumentu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_Toc66366422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4</w:t>
        </w:r>
        <w:r w:rsidR="00001830">
          <w:rPr>
            <w:noProof/>
            <w:webHidden/>
          </w:rPr>
          <w:fldChar w:fldCharType="end"/>
        </w:r>
      </w:hyperlink>
    </w:p>
    <w:p w14:paraId="1F844FFE" w14:textId="3D02963E" w:rsidR="00001830" w:rsidRDefault="00AF15CF">
      <w:pPr>
        <w:pStyle w:val="Obsah1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r:id="rId11" w:anchor="_Toc66366423" w:history="1">
        <w:r w:rsidR="00001830" w:rsidRPr="00AF5BC3">
          <w:rPr>
            <w:rStyle w:val="Hypertextovodkaz"/>
            <w:noProof/>
          </w:rPr>
          <w:t>2. Analytická část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_Toc66366423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5</w:t>
        </w:r>
        <w:r w:rsidR="00001830">
          <w:rPr>
            <w:noProof/>
            <w:webHidden/>
          </w:rPr>
          <w:fldChar w:fldCharType="end"/>
        </w:r>
      </w:hyperlink>
    </w:p>
    <w:p w14:paraId="31FD8AFB" w14:textId="1BB11F8C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24" w:history="1">
        <w:r w:rsidR="00001830" w:rsidRPr="00AF5BC3">
          <w:rPr>
            <w:rStyle w:val="Hypertextovodkaz"/>
            <w:noProof/>
          </w:rPr>
          <w:t>Vyhodnocení Koncepce rozvoje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_Toc66366424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5</w:t>
        </w:r>
        <w:r w:rsidR="00001830">
          <w:rPr>
            <w:noProof/>
            <w:webHidden/>
          </w:rPr>
          <w:fldChar w:fldCharType="end"/>
        </w:r>
      </w:hyperlink>
    </w:p>
    <w:p w14:paraId="66C99280" w14:textId="5DE41AAB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25" w:history="1">
        <w:r w:rsidR="00001830" w:rsidRPr="00AF5BC3">
          <w:rPr>
            <w:rStyle w:val="Hypertextovodkaz"/>
            <w:noProof/>
          </w:rPr>
          <w:t>Role TA ČR ve vyvíjecím se prostředí VaVaI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_Toc66366425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5</w:t>
        </w:r>
        <w:r w:rsidR="00001830">
          <w:rPr>
            <w:noProof/>
            <w:webHidden/>
          </w:rPr>
          <w:fldChar w:fldCharType="end"/>
        </w:r>
      </w:hyperlink>
    </w:p>
    <w:p w14:paraId="5E06381A" w14:textId="20130D30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26" w:history="1">
        <w:r w:rsidR="00001830" w:rsidRPr="00AF5BC3">
          <w:rPr>
            <w:rStyle w:val="Hypertextovodkaz"/>
            <w:noProof/>
          </w:rPr>
          <w:t>Mezinárodní porovnání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_Toc66366426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6</w:t>
        </w:r>
        <w:r w:rsidR="00001830">
          <w:rPr>
            <w:noProof/>
            <w:webHidden/>
          </w:rPr>
          <w:fldChar w:fldCharType="end"/>
        </w:r>
      </w:hyperlink>
    </w:p>
    <w:p w14:paraId="2FA32419" w14:textId="6A652962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27" w:history="1">
        <w:r w:rsidR="00001830" w:rsidRPr="00AF5BC3">
          <w:rPr>
            <w:rStyle w:val="Hypertextovodkaz"/>
            <w:noProof/>
          </w:rPr>
          <w:t>Evaluační a analytická činnost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_Toc66366427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7</w:t>
        </w:r>
        <w:r w:rsidR="00001830">
          <w:rPr>
            <w:noProof/>
            <w:webHidden/>
          </w:rPr>
          <w:fldChar w:fldCharType="end"/>
        </w:r>
      </w:hyperlink>
    </w:p>
    <w:p w14:paraId="20ACA714" w14:textId="34067A4C" w:rsidR="00001830" w:rsidRDefault="00AF15CF">
      <w:pPr>
        <w:pStyle w:val="Obsah1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r:id="rId12" w:anchor="_Toc66366428" w:history="1">
        <w:r w:rsidR="00001830" w:rsidRPr="00AF5BC3">
          <w:rPr>
            <w:rStyle w:val="Hypertextovodkaz"/>
            <w:noProof/>
          </w:rPr>
          <w:t>3. Strategická část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_Toc66366428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9</w:t>
        </w:r>
        <w:r w:rsidR="00001830">
          <w:rPr>
            <w:noProof/>
            <w:webHidden/>
          </w:rPr>
          <w:fldChar w:fldCharType="end"/>
        </w:r>
      </w:hyperlink>
    </w:p>
    <w:p w14:paraId="1A92757F" w14:textId="0089E433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29" w:history="1">
        <w:r w:rsidR="00001830" w:rsidRPr="00AF5BC3">
          <w:rPr>
            <w:rStyle w:val="Hypertextovodkaz"/>
            <w:noProof/>
          </w:rPr>
          <w:t>Poslání a hodnoty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_Toc66366429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9</w:t>
        </w:r>
        <w:r w:rsidR="00001830">
          <w:rPr>
            <w:noProof/>
            <w:webHidden/>
          </w:rPr>
          <w:fldChar w:fldCharType="end"/>
        </w:r>
      </w:hyperlink>
    </w:p>
    <w:p w14:paraId="7FB24AB2" w14:textId="0B0355BA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0" w:history="1">
        <w:r w:rsidR="00001830" w:rsidRPr="00AF5BC3">
          <w:rPr>
            <w:rStyle w:val="Hypertextovodkaz"/>
            <w:noProof/>
          </w:rPr>
          <w:t>Cíle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_Toc66366430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10</w:t>
        </w:r>
        <w:r w:rsidR="00001830">
          <w:rPr>
            <w:noProof/>
            <w:webHidden/>
          </w:rPr>
          <w:fldChar w:fldCharType="end"/>
        </w:r>
      </w:hyperlink>
    </w:p>
    <w:p w14:paraId="75E88C64" w14:textId="0F1F111B" w:rsidR="00001830" w:rsidRDefault="00AF15CF">
      <w:pPr>
        <w:pStyle w:val="Obsah1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r:id="rId13" w:anchor="_Toc66366431" w:history="1">
        <w:r w:rsidR="00001830" w:rsidRPr="00AF5BC3">
          <w:rPr>
            <w:rStyle w:val="Hypertextovodkaz"/>
            <w:noProof/>
          </w:rPr>
          <w:t>4. Implementace - Programy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_Toc66366431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12</w:t>
        </w:r>
        <w:r w:rsidR="00001830">
          <w:rPr>
            <w:noProof/>
            <w:webHidden/>
          </w:rPr>
          <w:fldChar w:fldCharType="end"/>
        </w:r>
      </w:hyperlink>
    </w:p>
    <w:p w14:paraId="755ED0BC" w14:textId="7E54D7DD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2" w:history="1">
        <w:r w:rsidR="00001830" w:rsidRPr="00AF5BC3">
          <w:rPr>
            <w:rStyle w:val="Hypertextovodkaz"/>
            <w:noProof/>
          </w:rPr>
          <w:t>Stávající programy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_Toc66366432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12</w:t>
        </w:r>
        <w:r w:rsidR="00001830">
          <w:rPr>
            <w:noProof/>
            <w:webHidden/>
          </w:rPr>
          <w:fldChar w:fldCharType="end"/>
        </w:r>
      </w:hyperlink>
    </w:p>
    <w:p w14:paraId="517AB89A" w14:textId="1397BB4E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3" w:history="1">
        <w:r w:rsidR="00001830" w:rsidRPr="00AF5BC3">
          <w:rPr>
            <w:rStyle w:val="Hypertextovodkaz"/>
            <w:noProof/>
          </w:rPr>
          <w:t>Stávající resortní programy implementované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_Toc66366433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12</w:t>
        </w:r>
        <w:r w:rsidR="00001830">
          <w:rPr>
            <w:noProof/>
            <w:webHidden/>
          </w:rPr>
          <w:fldChar w:fldCharType="end"/>
        </w:r>
      </w:hyperlink>
    </w:p>
    <w:p w14:paraId="6C08D2F8" w14:textId="4CAB61F4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4" w:history="1">
        <w:r w:rsidR="00001830" w:rsidRPr="00AF5BC3">
          <w:rPr>
            <w:rStyle w:val="Hypertextovodkaz"/>
            <w:noProof/>
          </w:rPr>
          <w:t>Mezinárodní spolupráce ERA-NET cofundy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_Toc66366434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12</w:t>
        </w:r>
        <w:r w:rsidR="00001830">
          <w:rPr>
            <w:noProof/>
            <w:webHidden/>
          </w:rPr>
          <w:fldChar w:fldCharType="end"/>
        </w:r>
      </w:hyperlink>
    </w:p>
    <w:p w14:paraId="29926AEF" w14:textId="3EBE6EB0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5" w:history="1">
        <w:r w:rsidR="00001830" w:rsidRPr="00AF5BC3">
          <w:rPr>
            <w:rStyle w:val="Hypertextovodkaz"/>
            <w:noProof/>
          </w:rPr>
          <w:t>Záměry nových programů TA ČR – návrh rámcového programu SIGMA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_Toc66366435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12</w:t>
        </w:r>
        <w:r w:rsidR="00001830">
          <w:rPr>
            <w:noProof/>
            <w:webHidden/>
          </w:rPr>
          <w:fldChar w:fldCharType="end"/>
        </w:r>
      </w:hyperlink>
    </w:p>
    <w:p w14:paraId="711D0998" w14:textId="28118E08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6" w:history="1">
        <w:r w:rsidR="00001830" w:rsidRPr="00AF5BC3">
          <w:rPr>
            <w:rStyle w:val="Hypertextovodkaz"/>
            <w:noProof/>
          </w:rPr>
          <w:t>Záměry dalších programů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_Toc66366436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13</w:t>
        </w:r>
        <w:r w:rsidR="00001830">
          <w:rPr>
            <w:noProof/>
            <w:webHidden/>
          </w:rPr>
          <w:fldChar w:fldCharType="end"/>
        </w:r>
      </w:hyperlink>
    </w:p>
    <w:p w14:paraId="020603F5" w14:textId="2ED12970" w:rsidR="00001830" w:rsidRDefault="00AF15CF">
      <w:pPr>
        <w:pStyle w:val="Obsah1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r:id="rId14" w:anchor="_Toc66366437" w:history="1">
        <w:r w:rsidR="00001830" w:rsidRPr="00AF5BC3">
          <w:rPr>
            <w:rStyle w:val="Hypertextovodkaz"/>
            <w:noProof/>
          </w:rPr>
          <w:t>Příloha: Popis programů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_Toc66366437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14</w:t>
        </w:r>
        <w:r w:rsidR="00001830">
          <w:rPr>
            <w:noProof/>
            <w:webHidden/>
          </w:rPr>
          <w:fldChar w:fldCharType="end"/>
        </w:r>
      </w:hyperlink>
    </w:p>
    <w:p w14:paraId="3BD28BAC" w14:textId="10E1D282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8" w:history="1">
        <w:r w:rsidR="00001830" w:rsidRPr="00AF5BC3">
          <w:rPr>
            <w:rStyle w:val="Hypertextovodkaz"/>
            <w:noProof/>
          </w:rPr>
          <w:t>Stávající programy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_Toc66366438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14</w:t>
        </w:r>
        <w:r w:rsidR="00001830">
          <w:rPr>
            <w:noProof/>
            <w:webHidden/>
          </w:rPr>
          <w:fldChar w:fldCharType="end"/>
        </w:r>
      </w:hyperlink>
    </w:p>
    <w:p w14:paraId="17450BC6" w14:textId="7C9D110D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39" w:history="1">
        <w:r w:rsidR="00001830" w:rsidRPr="00AF5BC3">
          <w:rPr>
            <w:rStyle w:val="Hypertextovodkaz"/>
            <w:noProof/>
          </w:rPr>
          <w:t>Program Národní centra kompetence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_Toc66366439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14</w:t>
        </w:r>
        <w:r w:rsidR="00001830">
          <w:rPr>
            <w:noProof/>
            <w:webHidden/>
          </w:rPr>
          <w:fldChar w:fldCharType="end"/>
        </w:r>
      </w:hyperlink>
    </w:p>
    <w:p w14:paraId="4EE15D95" w14:textId="3C0D7824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0" w:history="1">
        <w:r w:rsidR="00001830" w:rsidRPr="00AF5BC3">
          <w:rPr>
            <w:rStyle w:val="Hypertextovodkaz"/>
            <w:noProof/>
          </w:rPr>
          <w:t>Program THÉTA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_Toc66366440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14</w:t>
        </w:r>
        <w:r w:rsidR="00001830">
          <w:rPr>
            <w:noProof/>
            <w:webHidden/>
          </w:rPr>
          <w:fldChar w:fldCharType="end"/>
        </w:r>
      </w:hyperlink>
    </w:p>
    <w:p w14:paraId="36CFEEE0" w14:textId="7CE36625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1" w:history="1">
        <w:r w:rsidR="00001830" w:rsidRPr="00AF5BC3">
          <w:rPr>
            <w:rStyle w:val="Hypertextovodkaz"/>
            <w:noProof/>
          </w:rPr>
          <w:t>Program GAMA 2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_Toc66366441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15</w:t>
        </w:r>
        <w:r w:rsidR="00001830">
          <w:rPr>
            <w:noProof/>
            <w:webHidden/>
          </w:rPr>
          <w:fldChar w:fldCharType="end"/>
        </w:r>
      </w:hyperlink>
    </w:p>
    <w:p w14:paraId="620BE7BB" w14:textId="6AA39E9F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2" w:history="1">
        <w:r w:rsidR="00001830" w:rsidRPr="00AF5BC3">
          <w:rPr>
            <w:rStyle w:val="Hypertextovodkaz"/>
            <w:noProof/>
          </w:rPr>
          <w:t>Program DELTA 2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_Toc66366442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15</w:t>
        </w:r>
        <w:r w:rsidR="00001830">
          <w:rPr>
            <w:noProof/>
            <w:webHidden/>
          </w:rPr>
          <w:fldChar w:fldCharType="end"/>
        </w:r>
      </w:hyperlink>
    </w:p>
    <w:p w14:paraId="7DC5E166" w14:textId="3F410CD6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3" w:history="1">
        <w:r w:rsidR="00001830" w:rsidRPr="00AF5BC3">
          <w:rPr>
            <w:rStyle w:val="Hypertextovodkaz"/>
            <w:noProof/>
          </w:rPr>
          <w:t>Program BETA2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_Toc66366443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15</w:t>
        </w:r>
        <w:r w:rsidR="00001830">
          <w:rPr>
            <w:noProof/>
            <w:webHidden/>
          </w:rPr>
          <w:fldChar w:fldCharType="end"/>
        </w:r>
      </w:hyperlink>
    </w:p>
    <w:p w14:paraId="2B64F88C" w14:textId="4E6AD77A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4" w:history="1">
        <w:r w:rsidR="00001830" w:rsidRPr="00AF5BC3">
          <w:rPr>
            <w:rStyle w:val="Hypertextovodkaz"/>
            <w:noProof/>
          </w:rPr>
          <w:t>Program KAPPA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_Toc66366444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16</w:t>
        </w:r>
        <w:r w:rsidR="00001830">
          <w:rPr>
            <w:noProof/>
            <w:webHidden/>
          </w:rPr>
          <w:fldChar w:fldCharType="end"/>
        </w:r>
      </w:hyperlink>
    </w:p>
    <w:p w14:paraId="5B9FDB50" w14:textId="05130EA7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5" w:history="1">
        <w:r w:rsidR="00001830" w:rsidRPr="00AF5BC3">
          <w:rPr>
            <w:rStyle w:val="Hypertextovodkaz"/>
            <w:noProof/>
          </w:rPr>
          <w:t>Program ZÉTA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_Toc66366445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16</w:t>
        </w:r>
        <w:r w:rsidR="00001830">
          <w:rPr>
            <w:noProof/>
            <w:webHidden/>
          </w:rPr>
          <w:fldChar w:fldCharType="end"/>
        </w:r>
      </w:hyperlink>
    </w:p>
    <w:p w14:paraId="1EAD7EB5" w14:textId="48CE928F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6" w:history="1">
        <w:r w:rsidR="00001830" w:rsidRPr="00AF5BC3">
          <w:rPr>
            <w:rStyle w:val="Hypertextovodkaz"/>
            <w:noProof/>
          </w:rPr>
          <w:t>Program ÉTA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_Toc66366446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16</w:t>
        </w:r>
        <w:r w:rsidR="00001830">
          <w:rPr>
            <w:noProof/>
            <w:webHidden/>
          </w:rPr>
          <w:fldChar w:fldCharType="end"/>
        </w:r>
      </w:hyperlink>
    </w:p>
    <w:p w14:paraId="00E295CA" w14:textId="1075B09B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7" w:history="1">
        <w:r w:rsidR="00001830" w:rsidRPr="00AF5BC3">
          <w:rPr>
            <w:rStyle w:val="Hypertextovodkaz"/>
            <w:noProof/>
          </w:rPr>
          <w:t>Program EPSILON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_Toc66366447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17</w:t>
        </w:r>
        <w:r w:rsidR="00001830">
          <w:rPr>
            <w:noProof/>
            <w:webHidden/>
          </w:rPr>
          <w:fldChar w:fldCharType="end"/>
        </w:r>
      </w:hyperlink>
    </w:p>
    <w:p w14:paraId="0F99040F" w14:textId="5937642E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8" w:history="1">
        <w:r w:rsidR="00001830" w:rsidRPr="00AF5BC3">
          <w:rPr>
            <w:rStyle w:val="Hypertextovodkaz"/>
            <w:noProof/>
          </w:rPr>
          <w:t>Stávající resortní programy implementované TA 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_Toc66366448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18</w:t>
        </w:r>
        <w:r w:rsidR="00001830">
          <w:rPr>
            <w:noProof/>
            <w:webHidden/>
          </w:rPr>
          <w:fldChar w:fldCharType="end"/>
        </w:r>
      </w:hyperlink>
    </w:p>
    <w:p w14:paraId="7C3D643A" w14:textId="00EFB507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49" w:history="1">
        <w:r w:rsidR="00001830" w:rsidRPr="00AF5BC3">
          <w:rPr>
            <w:rStyle w:val="Hypertextovodkaz"/>
            <w:noProof/>
          </w:rPr>
          <w:t>Program TREND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_Toc66366449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18</w:t>
        </w:r>
        <w:r w:rsidR="00001830">
          <w:rPr>
            <w:noProof/>
            <w:webHidden/>
          </w:rPr>
          <w:fldChar w:fldCharType="end"/>
        </w:r>
      </w:hyperlink>
    </w:p>
    <w:p w14:paraId="5A3AF3ED" w14:textId="07D83339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50" w:history="1">
        <w:r w:rsidR="00001830" w:rsidRPr="00AF5BC3">
          <w:rPr>
            <w:rStyle w:val="Hypertextovodkaz"/>
            <w:noProof/>
          </w:rPr>
          <w:t>Program DOPRAVA 2020+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_Toc66366450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18</w:t>
        </w:r>
        <w:r w:rsidR="00001830">
          <w:rPr>
            <w:noProof/>
            <w:webHidden/>
          </w:rPr>
          <w:fldChar w:fldCharType="end"/>
        </w:r>
      </w:hyperlink>
    </w:p>
    <w:p w14:paraId="22ACAE14" w14:textId="18298513" w:rsidR="00001830" w:rsidRDefault="00AF15CF">
      <w:pPr>
        <w:pStyle w:val="Obsah3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51" w:history="1">
        <w:r w:rsidR="00001830" w:rsidRPr="00AF5BC3">
          <w:rPr>
            <w:rStyle w:val="Hypertextovodkaz"/>
            <w:noProof/>
          </w:rPr>
          <w:t>Program Prostředí pro život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_Toc66366451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18</w:t>
        </w:r>
        <w:r w:rsidR="00001830">
          <w:rPr>
            <w:noProof/>
            <w:webHidden/>
          </w:rPr>
          <w:fldChar w:fldCharType="end"/>
        </w:r>
      </w:hyperlink>
    </w:p>
    <w:p w14:paraId="559F0D15" w14:textId="3452E187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52" w:history="1">
        <w:r w:rsidR="00001830" w:rsidRPr="00AF5BC3">
          <w:rPr>
            <w:rStyle w:val="Hypertextovodkaz"/>
            <w:noProof/>
          </w:rPr>
          <w:t>Mezinárodní spolupráce ERA-NET Cofundy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_Toc66366452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19</w:t>
        </w:r>
        <w:r w:rsidR="00001830">
          <w:rPr>
            <w:noProof/>
            <w:webHidden/>
          </w:rPr>
          <w:fldChar w:fldCharType="end"/>
        </w:r>
      </w:hyperlink>
    </w:p>
    <w:p w14:paraId="51C5B3F9" w14:textId="1DD49489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53" w:history="1">
        <w:r w:rsidR="00001830" w:rsidRPr="00AF5BC3">
          <w:rPr>
            <w:rStyle w:val="Hypertextovodkaz"/>
            <w:noProof/>
          </w:rPr>
          <w:t>Evaluace realizované TA ČR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_Toc66366453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20</w:t>
        </w:r>
        <w:r w:rsidR="00001830">
          <w:rPr>
            <w:noProof/>
            <w:webHidden/>
          </w:rPr>
          <w:fldChar w:fldCharType="end"/>
        </w:r>
      </w:hyperlink>
    </w:p>
    <w:p w14:paraId="28962D07" w14:textId="6BF6BE8A" w:rsidR="00001830" w:rsidRDefault="00AF15CF">
      <w:pPr>
        <w:pStyle w:val="Obsah2"/>
        <w:tabs>
          <w:tab w:val="right" w:leader="dot" w:pos="9062"/>
        </w:tabs>
        <w:rPr>
          <w:rFonts w:eastAsiaTheme="minorEastAsia"/>
          <w:noProof/>
          <w:sz w:val="22"/>
          <w:lang w:eastAsia="cs-CZ"/>
        </w:rPr>
      </w:pPr>
      <w:hyperlink w:anchor="_Toc66366454" w:history="1">
        <w:r w:rsidR="00001830" w:rsidRPr="00AF5BC3">
          <w:rPr>
            <w:rStyle w:val="Hypertextovodkaz"/>
            <w:noProof/>
          </w:rPr>
          <w:t>Vyhodnocení průběžného plnění Koncepce rozvoje TA ČR 2016-2025: tabulka</w:t>
        </w:r>
        <w:r w:rsidR="00001830">
          <w:rPr>
            <w:noProof/>
            <w:webHidden/>
          </w:rPr>
          <w:tab/>
        </w:r>
        <w:r w:rsidR="00001830">
          <w:rPr>
            <w:noProof/>
            <w:webHidden/>
          </w:rPr>
          <w:fldChar w:fldCharType="begin"/>
        </w:r>
        <w:r w:rsidR="00001830">
          <w:rPr>
            <w:noProof/>
            <w:webHidden/>
          </w:rPr>
          <w:instrText xml:space="preserve"> PAGEREF _Toc66366454 \h </w:instrText>
        </w:r>
        <w:r w:rsidR="00001830">
          <w:rPr>
            <w:noProof/>
            <w:webHidden/>
          </w:rPr>
        </w:r>
        <w:r w:rsidR="00001830">
          <w:rPr>
            <w:noProof/>
            <w:webHidden/>
          </w:rPr>
          <w:fldChar w:fldCharType="separate"/>
        </w:r>
        <w:r w:rsidR="00001830">
          <w:rPr>
            <w:noProof/>
            <w:webHidden/>
          </w:rPr>
          <w:t>21</w:t>
        </w:r>
        <w:r w:rsidR="00001830">
          <w:rPr>
            <w:noProof/>
            <w:webHidden/>
          </w:rPr>
          <w:fldChar w:fldCharType="end"/>
        </w:r>
      </w:hyperlink>
    </w:p>
    <w:p w14:paraId="35C13E36" w14:textId="3CA70001" w:rsidR="00C46940" w:rsidRDefault="005048CF">
      <w:r>
        <w:lastRenderedPageBreak/>
        <w:fldChar w:fldCharType="end"/>
      </w:r>
    </w:p>
    <w:p w14:paraId="6D3CA57B" w14:textId="7BF9B5D2" w:rsidR="005048CF" w:rsidRPr="006E3A3E" w:rsidRDefault="002713EE">
      <w:pPr>
        <w:rPr>
          <w:b/>
        </w:rPr>
      </w:pPr>
      <w:r w:rsidRPr="006E3A3E">
        <w:rPr>
          <w:b/>
        </w:rPr>
        <w:t>Seznam zkratek</w:t>
      </w:r>
    </w:p>
    <w:p w14:paraId="2CCAD734" w14:textId="77777777" w:rsidR="00C56BE9" w:rsidRDefault="00C56BE9">
      <w:r>
        <w:t>Evropská inovační rada</w:t>
      </w:r>
      <w:r>
        <w:tab/>
      </w:r>
      <w:r>
        <w:tab/>
      </w:r>
      <w:r>
        <w:tab/>
      </w:r>
      <w:r>
        <w:tab/>
      </w:r>
      <w:r>
        <w:tab/>
      </w:r>
      <w:r>
        <w:tab/>
        <w:t>EIC</w:t>
      </w:r>
    </w:p>
    <w:p w14:paraId="7CAEA0EE" w14:textId="77777777" w:rsidR="00C56BE9" w:rsidRDefault="00C56BE9">
      <w:r>
        <w:t>Evropská síť inovačních agentur</w:t>
      </w:r>
      <w:r>
        <w:tab/>
      </w:r>
      <w:r>
        <w:tab/>
      </w:r>
      <w:r>
        <w:tab/>
      </w:r>
      <w:r>
        <w:tab/>
      </w:r>
      <w:r>
        <w:tab/>
        <w:t>TAFTIE</w:t>
      </w:r>
    </w:p>
    <w:p w14:paraId="426C4DE8" w14:textId="5C6F51B9" w:rsidR="008532D1" w:rsidRDefault="008532D1">
      <w:r>
        <w:t>Evaluační jednotka Národního orgánu pro koordinaci</w:t>
      </w:r>
      <w:r>
        <w:tab/>
      </w:r>
      <w:r>
        <w:tab/>
        <w:t>EJ NOK</w:t>
      </w:r>
    </w:p>
    <w:p w14:paraId="5260CFC2" w14:textId="48536591" w:rsidR="00C56BE9" w:rsidRDefault="00C56BE9">
      <w:r>
        <w:t>Informační systém Technologické agentury</w:t>
      </w:r>
      <w:r>
        <w:tab/>
      </w:r>
      <w:r>
        <w:tab/>
      </w:r>
      <w:r>
        <w:tab/>
      </w:r>
      <w:r>
        <w:tab/>
        <w:t>ISTA</w:t>
      </w:r>
    </w:p>
    <w:p w14:paraId="670F24B5" w14:textId="61124E09" w:rsidR="00C56BE9" w:rsidRDefault="00C56BE9">
      <w:r>
        <w:t>Koncepce rozvoje Technologické agentury České republiky v</w:t>
      </w:r>
      <w:r>
        <w:br/>
        <w:t xml:space="preserve">rámci systému českého výzkumu, vývoje a </w:t>
      </w:r>
      <w:r w:rsidRPr="00927185">
        <w:t>inovací</w:t>
      </w:r>
      <w:r w:rsidR="00F5505E" w:rsidRPr="00927185">
        <w:t xml:space="preserve"> 2016-2025</w:t>
      </w:r>
      <w:r>
        <w:tab/>
      </w:r>
      <w:r>
        <w:tab/>
        <w:t>Koncepce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778A20E" w14:textId="271B231F" w:rsidR="00BA1AEC" w:rsidRDefault="00BA1AEC">
      <w:r>
        <w:t>Ministerstvo průmyslu a obchodu</w:t>
      </w:r>
      <w:r>
        <w:tab/>
      </w:r>
      <w:r>
        <w:tab/>
      </w:r>
      <w:r>
        <w:tab/>
      </w:r>
      <w:r>
        <w:tab/>
      </w:r>
      <w:r>
        <w:tab/>
        <w:t>MPO</w:t>
      </w:r>
    </w:p>
    <w:p w14:paraId="5422B64E" w14:textId="77777777" w:rsidR="009D4AFE" w:rsidRDefault="00BA1AEC">
      <w:r>
        <w:t>Národní politika výzkumu, vývoje a inovací</w:t>
      </w:r>
      <w:r w:rsidR="009D4AFE">
        <w:t xml:space="preserve"> České republiky</w:t>
      </w:r>
    </w:p>
    <w:p w14:paraId="45C90363" w14:textId="19D8243A" w:rsidR="00BA1AEC" w:rsidRDefault="009D4AFE">
      <w:r>
        <w:t>2021</w:t>
      </w:r>
      <w:r>
        <w:rPr>
          <w:rFonts w:cstheme="minorHAnsi"/>
        </w:rPr>
        <w:t>+</w:t>
      </w:r>
      <w:r w:rsidR="00BA1AEC">
        <w:tab/>
      </w:r>
      <w:r w:rsidR="00BA1AEC">
        <w:tab/>
      </w:r>
      <w:r w:rsidR="00BA1AEC">
        <w:tab/>
      </w:r>
      <w:r>
        <w:tab/>
      </w:r>
      <w:r>
        <w:tab/>
      </w:r>
      <w:r>
        <w:tab/>
      </w:r>
      <w:r>
        <w:tab/>
      </w:r>
      <w:r>
        <w:tab/>
      </w:r>
      <w:r w:rsidR="00BA1AEC">
        <w:t xml:space="preserve">NP </w:t>
      </w:r>
      <w:proofErr w:type="spellStart"/>
      <w:r w:rsidR="00BA1AEC">
        <w:t>VaVaI</w:t>
      </w:r>
      <w:proofErr w:type="spellEnd"/>
    </w:p>
    <w:p w14:paraId="4B002EC9" w14:textId="32B0DADC" w:rsidR="00C56BE9" w:rsidRDefault="00C56BE9">
      <w:r>
        <w:t>Národní výzkumná a inovační strategie pro inteligentní</w:t>
      </w:r>
      <w:r>
        <w:br/>
        <w:t>specializaci České republiky</w:t>
      </w:r>
      <w:r>
        <w:tab/>
      </w:r>
      <w:r>
        <w:tab/>
      </w:r>
      <w:r>
        <w:tab/>
      </w:r>
      <w:r>
        <w:tab/>
      </w:r>
      <w:r>
        <w:tab/>
        <w:t>Národní RIS3 strategie</w:t>
      </w:r>
    </w:p>
    <w:p w14:paraId="610FB899" w14:textId="77777777" w:rsidR="00C56BE9" w:rsidRDefault="00C56BE9">
      <w:r>
        <w:t>Perspektivy rozvoje TA ČR</w:t>
      </w:r>
      <w:r w:rsidRPr="00082D45">
        <w:t xml:space="preserve"> </w:t>
      </w:r>
      <w:r>
        <w:t>v</w:t>
      </w:r>
      <w:r>
        <w:br/>
        <w:t>rámci systému českého výzkumu, vývoje a inovací</w:t>
      </w:r>
      <w:r>
        <w:tab/>
      </w:r>
      <w:r>
        <w:tab/>
      </w:r>
      <w:r>
        <w:tab/>
        <w:t>Perspektivy rozvoje TA ČR</w:t>
      </w:r>
    </w:p>
    <w:p w14:paraId="31EB25D9" w14:textId="361D0106" w:rsidR="008532D1" w:rsidRDefault="008532D1">
      <w:r>
        <w:t>Rada vlády pro výzkum, vývoj a inovace</w:t>
      </w:r>
      <w:r>
        <w:tab/>
      </w:r>
      <w:r>
        <w:tab/>
      </w:r>
      <w:r>
        <w:tab/>
      </w:r>
      <w:r>
        <w:tab/>
        <w:t>RVVI</w:t>
      </w:r>
    </w:p>
    <w:p w14:paraId="5DBA63FF" w14:textId="2C3CC5FE" w:rsidR="008532D1" w:rsidRDefault="008532D1">
      <w:r>
        <w:t>Společenské, humanitní a umělecké vědy</w:t>
      </w:r>
      <w:r>
        <w:tab/>
      </w:r>
      <w:r>
        <w:tab/>
      </w:r>
      <w:r>
        <w:tab/>
      </w:r>
      <w:r>
        <w:tab/>
        <w:t>SHUV</w:t>
      </w:r>
    </w:p>
    <w:p w14:paraId="3329AEC8" w14:textId="11E372DE" w:rsidR="00C56BE9" w:rsidRDefault="00C56BE9">
      <w:r>
        <w:t>Technologická agentura České republiky</w:t>
      </w:r>
      <w:r>
        <w:tab/>
      </w:r>
      <w:r>
        <w:tab/>
      </w:r>
      <w:r>
        <w:tab/>
      </w:r>
      <w:r>
        <w:tab/>
        <w:t>TA ČR</w:t>
      </w:r>
    </w:p>
    <w:p w14:paraId="61230965" w14:textId="77777777" w:rsidR="00C56BE9" w:rsidRDefault="00C56BE9">
      <w:r>
        <w:t>Výzkum, vývoj a inovace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VaVaI</w:t>
      </w:r>
      <w:proofErr w:type="spellEnd"/>
    </w:p>
    <w:p w14:paraId="03D10B9A" w14:textId="05B6C4B4" w:rsidR="00DB7072" w:rsidRDefault="00DB7072"/>
    <w:p w14:paraId="4FA4D1E1" w14:textId="01149031" w:rsidR="00DB7072" w:rsidRDefault="00DB7072"/>
    <w:p w14:paraId="60C14D69" w14:textId="5CE9029F" w:rsidR="002B3B4B" w:rsidRDefault="002B3B4B">
      <w:r>
        <w:br w:type="page"/>
      </w:r>
    </w:p>
    <w:p w14:paraId="63D9B034" w14:textId="77777777" w:rsidR="00DC5923" w:rsidRDefault="00A86BC1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319D42C" wp14:editId="67F194E7">
                <wp:simplePos x="0" y="0"/>
                <wp:positionH relativeFrom="column">
                  <wp:posOffset>-635</wp:posOffset>
                </wp:positionH>
                <wp:positionV relativeFrom="paragraph">
                  <wp:posOffset>-280035</wp:posOffset>
                </wp:positionV>
                <wp:extent cx="2689860" cy="572135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2F6F9" w14:textId="77777777" w:rsidR="000831DF" w:rsidRDefault="000831DF" w:rsidP="000D2AE6">
                            <w:pPr>
                              <w:pStyle w:val="Nadpis1"/>
                              <w:jc w:val="both"/>
                            </w:pPr>
                            <w:bookmarkStart w:id="2" w:name="_Toc62551373"/>
                            <w:bookmarkStart w:id="3" w:name="_Toc66366420"/>
                            <w:r>
                              <w:t>1. Úvod</w:t>
                            </w:r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9D42C" id="Textové pole 6" o:spid="_x0000_s1031" type="#_x0000_t202" style="position:absolute;margin-left:-.05pt;margin-top:-22.05pt;width:211.8pt;height:45.05pt;z-index:251637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" filled="f" stroked="f" strokeweight=".5pt">
                <v:textbox>
                  <w:txbxContent>
                    <w:p w14:paraId="7E82F6F9" w14:textId="77777777" w:rsidR="000831DF" w:rsidRDefault="000831DF" w:rsidP="000D2AE6">
                      <w:pPr>
                        <w:pStyle w:val="Nadpis1"/>
                        <w:jc w:val="both"/>
                      </w:pPr>
                      <w:bookmarkStart w:id="4" w:name="_Toc62551373"/>
                      <w:bookmarkStart w:id="5" w:name="_Toc66366420"/>
                      <w:r>
                        <w:t>1. Úvod</w:t>
                      </w:r>
                      <w:bookmarkEnd w:id="4"/>
                      <w:bookmarkEnd w:id="5"/>
                    </w:p>
                  </w:txbxContent>
                </v:textbox>
              </v:shape>
            </w:pict>
          </mc:Fallback>
        </mc:AlternateContent>
      </w:r>
    </w:p>
    <w:p w14:paraId="31499F25" w14:textId="77777777" w:rsidR="000D2AE6" w:rsidRDefault="000D2AE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2F018C1" wp14:editId="39EA5F20">
                <wp:simplePos x="0" y="0"/>
                <wp:positionH relativeFrom="column">
                  <wp:posOffset>-635</wp:posOffset>
                </wp:positionH>
                <wp:positionV relativeFrom="paragraph">
                  <wp:posOffset>261620</wp:posOffset>
                </wp:positionV>
                <wp:extent cx="5730240" cy="0"/>
                <wp:effectExtent l="0" t="38100" r="41910" b="3810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2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8A7A54" id="Přímá spojnice 9" o:spid="_x0000_s1026" style="position:absolute;z-index:25163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20.6pt" to="451.1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" strokecolor="#f03741" strokeweight="6pt">
                <v:stroke joinstyle="miter"/>
              </v:line>
            </w:pict>
          </mc:Fallback>
        </mc:AlternateContent>
      </w:r>
    </w:p>
    <w:p w14:paraId="706B29A0" w14:textId="77777777" w:rsidR="00DC5923" w:rsidRDefault="00DC5923"/>
    <w:p w14:paraId="5A28E180" w14:textId="77777777" w:rsidR="00283B56" w:rsidRDefault="00283B56" w:rsidP="00283B56">
      <w:pPr>
        <w:pStyle w:val="Nadpis2"/>
      </w:pPr>
      <w:bookmarkStart w:id="4" w:name="_Toc66366421"/>
      <w:r>
        <w:t>Představe</w:t>
      </w:r>
      <w:r w:rsidRPr="00E06AA5">
        <w:t>ní TA ČR</w:t>
      </w:r>
      <w:bookmarkEnd w:id="4"/>
    </w:p>
    <w:p w14:paraId="6D5FC76F" w14:textId="03970AFB" w:rsidR="000D2AE6" w:rsidRDefault="000D2AE6" w:rsidP="000D2AE6">
      <w:pPr>
        <w:spacing w:line="276" w:lineRule="auto"/>
        <w:jc w:val="both"/>
      </w:pPr>
      <w:r>
        <w:t xml:space="preserve">Technologická agentura České republiky (dále jen </w:t>
      </w:r>
      <w:r w:rsidR="001E4F6D">
        <w:t>„</w:t>
      </w:r>
      <w:r>
        <w:t>TA ČR</w:t>
      </w:r>
      <w:r w:rsidR="001E4F6D">
        <w:t>“</w:t>
      </w:r>
      <w:r>
        <w:t>) je organizační složkou státu. Byla zřízena v roce 2009 zákonem č. 130/2002 Sb. o podpoře výzkumu, experimentálního vývoje a inovací. Hlavní úlohou a zaměřením TA</w:t>
      </w:r>
      <w:r w:rsidR="00277624">
        <w:t> </w:t>
      </w:r>
      <w:r>
        <w:t>ČR je připravovat a implementovat programy aplikovaného výzkumu, experimentálního vývoje a inovací, a</w:t>
      </w:r>
      <w:r w:rsidR="00F574F0">
        <w:t> </w:t>
      </w:r>
      <w:r>
        <w:t>tím</w:t>
      </w:r>
      <w:r w:rsidR="00F574F0">
        <w:t> </w:t>
      </w:r>
      <w:r>
        <w:t>přispívat ke zvyšování konkurenceschopnosti a hospodářského růstu České republiky. Mezi významné úkoly TA</w:t>
      </w:r>
      <w:r w:rsidR="00F574F0">
        <w:t> </w:t>
      </w:r>
      <w:r>
        <w:t>ČR patří i podpora spolupráce mezi výzkumnými organizacemi a podnikatelskou sférou.</w:t>
      </w:r>
    </w:p>
    <w:p w14:paraId="69544E45" w14:textId="15E94C90" w:rsidR="00283B56" w:rsidRDefault="000D2AE6" w:rsidP="000D2AE6">
      <w:pPr>
        <w:spacing w:line="276" w:lineRule="auto"/>
        <w:jc w:val="both"/>
      </w:pPr>
      <w:r>
        <w:t xml:space="preserve">TA ČR je správcem rozpočtové kapitoly v souladu s § </w:t>
      </w:r>
      <w:proofErr w:type="gramStart"/>
      <w:r>
        <w:t>36a</w:t>
      </w:r>
      <w:proofErr w:type="gramEnd"/>
      <w:r>
        <w:t xml:space="preserve"> zákona č. 130/2002 Sb. Hospodaření TA ČR </w:t>
      </w:r>
      <w:r w:rsidR="004D5FB8">
        <w:t>s</w:t>
      </w:r>
      <w:r w:rsidR="00277624">
        <w:t> </w:t>
      </w:r>
      <w:r>
        <w:t>prostředky státního rozpočtu se řídí zákonem č. 218/2000 Sb., o rozpočtových pravidlech a o změně některých souvisejících zákonů (rozpočtová pravidla), ve znění pozdějších předpisů, zákonem č. 130/2002 Sb., o</w:t>
      </w:r>
      <w:r w:rsidR="00277624">
        <w:t> </w:t>
      </w:r>
      <w:r>
        <w:t>podpoře výzkumu, vývoje a inovací, ve znění pozdějších předpisů, zákonem č. 563/1991 Sb., o účetnictví, ve znění pozdějších předpisů a zákonem č. 320/2001 Sb., o finanční kontrole.</w:t>
      </w:r>
    </w:p>
    <w:p w14:paraId="624B93B7" w14:textId="77B32436" w:rsidR="00283B56" w:rsidRPr="00927185" w:rsidRDefault="00EC5A7D" w:rsidP="00283B56">
      <w:pPr>
        <w:pStyle w:val="Nadpis2"/>
      </w:pPr>
      <w:bookmarkStart w:id="5" w:name="_Toc66366422"/>
      <w:r w:rsidRPr="00927185">
        <w:t>Kontext vzniku, účel a uživatelé dokumentu</w:t>
      </w:r>
      <w:bookmarkEnd w:id="5"/>
    </w:p>
    <w:p w14:paraId="4F3D6718" w14:textId="61E3F9E4" w:rsidR="000E7A87" w:rsidRPr="000E7A87" w:rsidRDefault="00CB58B6" w:rsidP="000D2AE6">
      <w:pPr>
        <w:spacing w:line="276" w:lineRule="auto"/>
        <w:jc w:val="both"/>
      </w:pPr>
      <w:r w:rsidRPr="00927185">
        <w:t xml:space="preserve">Průběžné </w:t>
      </w:r>
      <w:r w:rsidR="006D1EFD" w:rsidRPr="00927185">
        <w:t>vy</w:t>
      </w:r>
      <w:r w:rsidRPr="00927185">
        <w:t xml:space="preserve">hodnocení </w:t>
      </w:r>
      <w:r w:rsidR="000D2AE6" w:rsidRPr="00927185">
        <w:t xml:space="preserve">Koncepce </w:t>
      </w:r>
      <w:r w:rsidR="000D2AE6">
        <w:t>rozvoje Technologické agentury Č</w:t>
      </w:r>
      <w:r w:rsidR="004D5FB8">
        <w:t>eské republiky v rámci systému českého výzkumu, vývoje a inovací</w:t>
      </w:r>
      <w:r w:rsidR="000D2AE6">
        <w:t xml:space="preserve"> </w:t>
      </w:r>
      <w:r w:rsidRPr="00927185">
        <w:t xml:space="preserve">2016-2025 </w:t>
      </w:r>
      <w:r w:rsidR="00314457">
        <w:t>vyústil</w:t>
      </w:r>
      <w:r w:rsidR="006D1EFD">
        <w:t>o</w:t>
      </w:r>
      <w:r w:rsidR="00314457">
        <w:t xml:space="preserve"> v</w:t>
      </w:r>
      <w:r w:rsidR="00791E82">
        <w:t> přípravu koncepčního dokumentu Perspektivy rozvoje TA</w:t>
      </w:r>
      <w:r w:rsidR="00F574F0">
        <w:t> </w:t>
      </w:r>
      <w:r w:rsidR="00791E82">
        <w:t>ČR</w:t>
      </w:r>
      <w:r w:rsidR="00314457">
        <w:t xml:space="preserve"> </w:t>
      </w:r>
      <w:r w:rsidR="000D2AE6">
        <w:t xml:space="preserve">(dále jen </w:t>
      </w:r>
      <w:r w:rsidR="004D5FB8">
        <w:t>„</w:t>
      </w:r>
      <w:r w:rsidR="00791E82">
        <w:t>Perspektivy</w:t>
      </w:r>
      <w:r w:rsidR="00E46346">
        <w:t xml:space="preserve"> rozvoje TA ČR</w:t>
      </w:r>
      <w:r w:rsidR="004D5FB8">
        <w:t>"</w:t>
      </w:r>
      <w:r w:rsidR="000D2AE6">
        <w:t>)</w:t>
      </w:r>
      <w:r>
        <w:t xml:space="preserve"> a </w:t>
      </w:r>
      <w:r w:rsidR="000D2AE6">
        <w:t>navazuj</w:t>
      </w:r>
      <w:r>
        <w:t>e</w:t>
      </w:r>
      <w:r w:rsidR="000D2AE6">
        <w:t xml:space="preserve"> na Strategii T</w:t>
      </w:r>
      <w:r w:rsidR="004D5FB8">
        <w:t>A</w:t>
      </w:r>
      <w:r w:rsidR="000D2AE6">
        <w:t xml:space="preserve"> ČR a další strategické dokumenty, </w:t>
      </w:r>
      <w:r w:rsidR="00FC50CD">
        <w:t xml:space="preserve">přičemž zásadním strategickým dokumentem je Národní politika výzkumu, vývoje a inovací 2021+ (NP </w:t>
      </w:r>
      <w:proofErr w:type="spellStart"/>
      <w:r w:rsidR="00FC50CD">
        <w:t>VaVaI</w:t>
      </w:r>
      <w:proofErr w:type="spellEnd"/>
      <w:r w:rsidR="00FC50CD" w:rsidRPr="00927185">
        <w:t>)</w:t>
      </w:r>
      <w:r w:rsidR="00FC50CD">
        <w:t>, ale také</w:t>
      </w:r>
      <w:r w:rsidR="00FC50CD" w:rsidRPr="00927185">
        <w:t xml:space="preserve"> </w:t>
      </w:r>
      <w:r w:rsidR="000D2AE6">
        <w:t xml:space="preserve">např. OSN Agenda 2030, obsahující Cíle udržitelného rozvoje, na evropské úrovni pak přijetí rámcového programu </w:t>
      </w:r>
      <w:proofErr w:type="spellStart"/>
      <w:r w:rsidR="000D2AE6">
        <w:t>Horizon</w:t>
      </w:r>
      <w:proofErr w:type="spellEnd"/>
      <w:r w:rsidR="000D2AE6">
        <w:t xml:space="preserve"> </w:t>
      </w:r>
      <w:proofErr w:type="spellStart"/>
      <w:r w:rsidR="000D2AE6">
        <w:t>Europe</w:t>
      </w:r>
      <w:proofErr w:type="spellEnd"/>
      <w:r w:rsidR="000D2AE6">
        <w:t xml:space="preserve"> a politiky </w:t>
      </w:r>
      <w:proofErr w:type="spellStart"/>
      <w:r w:rsidR="000D2AE6">
        <w:t>European</w:t>
      </w:r>
      <w:proofErr w:type="spellEnd"/>
      <w:r w:rsidR="000D2AE6">
        <w:t xml:space="preserve"> Green </w:t>
      </w:r>
      <w:proofErr w:type="spellStart"/>
      <w:r w:rsidR="000D2AE6">
        <w:t>Deal</w:t>
      </w:r>
      <w:proofErr w:type="spellEnd"/>
      <w:r w:rsidR="000D2AE6">
        <w:t>. Tyto mezinárodní politiky nevstupují do činnosti TA ČR přímo, ale</w:t>
      </w:r>
      <w:r w:rsidR="00F574F0">
        <w:t> </w:t>
      </w:r>
      <w:r w:rsidR="000D2AE6">
        <w:t xml:space="preserve">prostřednictvím národní politiky formulované vládou ČR. </w:t>
      </w:r>
      <w:r w:rsidR="00C16C32" w:rsidRPr="00927185">
        <w:t>Stávající dokument</w:t>
      </w:r>
      <w:r w:rsidR="00D57660" w:rsidRPr="00927185">
        <w:t xml:space="preserve"> zohledňuje </w:t>
      </w:r>
      <w:r w:rsidR="00D57660" w:rsidRPr="00D57660">
        <w:t xml:space="preserve">Metodiku přípravy veřejných strategií. </w:t>
      </w:r>
      <w:r w:rsidR="00E46346">
        <w:t xml:space="preserve">Perspektivy rozvoje TA ČR </w:t>
      </w:r>
      <w:r w:rsidR="000D2AE6">
        <w:t>zohledňuj</w:t>
      </w:r>
      <w:r w:rsidR="00E46346">
        <w:t>í</w:t>
      </w:r>
      <w:r w:rsidR="000D2AE6">
        <w:t xml:space="preserve"> také možné reakce na neočekávané události např. pandemie nemoci COVID-19, která zásadním způsobem ochromila společnost a přinutila veřejný i soukromý sektor ke</w:t>
      </w:r>
      <w:r w:rsidR="00F574F0">
        <w:t> </w:t>
      </w:r>
      <w:r w:rsidR="000D2AE6">
        <w:t>změnám a inovacím, které by byly ještě v roce 2019 nemyslitelné.</w:t>
      </w:r>
    </w:p>
    <w:p w14:paraId="083DB0CF" w14:textId="322AF373" w:rsidR="000D2AE6" w:rsidRDefault="003B1673" w:rsidP="000D2AE6">
      <w:pPr>
        <w:spacing w:line="276" w:lineRule="auto"/>
        <w:jc w:val="both"/>
      </w:pPr>
      <w:r>
        <w:t>Perspektivy rozvoje TA ČR</w:t>
      </w:r>
      <w:r w:rsidR="000D2AE6">
        <w:t xml:space="preserve"> se týk</w:t>
      </w:r>
      <w:r w:rsidR="00AE673C">
        <w:t>a</w:t>
      </w:r>
      <w:r>
        <w:t>jí</w:t>
      </w:r>
      <w:r w:rsidR="000D2AE6">
        <w:t xml:space="preserve"> všech činností TA ČR jako organizační složky státu a správce rozpočtové kapitoly</w:t>
      </w:r>
      <w:r>
        <w:t xml:space="preserve"> </w:t>
      </w:r>
      <w:r w:rsidR="000D2AE6">
        <w:t xml:space="preserve">dané jí stávající legislativou. Úlohou agentury je příprava a realizace programů aplikovaného výzkumu, vývoje a inovací (dále jen </w:t>
      </w:r>
      <w:r w:rsidR="003E183D">
        <w:t>„</w:t>
      </w:r>
      <w:proofErr w:type="spellStart"/>
      <w:r w:rsidR="000D2AE6">
        <w:t>VaVaI</w:t>
      </w:r>
      <w:proofErr w:type="spellEnd"/>
      <w:r w:rsidR="003E183D">
        <w:t>“</w:t>
      </w:r>
      <w:r w:rsidR="000D2AE6">
        <w:t xml:space="preserve">) a efektivní poskytování účelové podpory na řešení projektů těchto programů. Mezi další významné úkoly TA ČR patří podpora komunikace a spolupráce výzkumných organizací a soukromé sféry, poradenství řešitelům projektů a uživatelům výsledků a spolupráce s obdobnými zahraničními agenturami (viz § </w:t>
      </w:r>
      <w:proofErr w:type="gramStart"/>
      <w:r w:rsidR="000D2AE6">
        <w:t>36a</w:t>
      </w:r>
      <w:proofErr w:type="gramEnd"/>
      <w:r w:rsidR="000D2AE6">
        <w:t xml:space="preserve"> zákona č. 130/2002 Sb.). </w:t>
      </w:r>
    </w:p>
    <w:p w14:paraId="41B4A634" w14:textId="4D4F20F9" w:rsidR="000D2AE6" w:rsidRDefault="000D2AE6" w:rsidP="000D2AE6">
      <w:pPr>
        <w:spacing w:line="276" w:lineRule="auto"/>
        <w:jc w:val="both"/>
      </w:pPr>
      <w:r>
        <w:t xml:space="preserve">V </w:t>
      </w:r>
      <w:r w:rsidR="003B1673">
        <w:t>dokumentu</w:t>
      </w:r>
      <w:r>
        <w:t xml:space="preserve"> je kladen důraz na posilování nezastupitelné role aplikovaného </w:t>
      </w:r>
      <w:proofErr w:type="spellStart"/>
      <w:r>
        <w:t>VaVaI</w:t>
      </w:r>
      <w:proofErr w:type="spellEnd"/>
      <w:r>
        <w:t xml:space="preserve"> jako zdroje inovací v</w:t>
      </w:r>
      <w:r w:rsidR="00277624">
        <w:t> </w:t>
      </w:r>
      <w:r>
        <w:t xml:space="preserve">ekonomice ČR a české společnosti pro zvyšování konkurenceschopnosti ČR. </w:t>
      </w:r>
      <w:r w:rsidR="003B1673">
        <w:t>Perspektivy rozvoje TA ČR</w:t>
      </w:r>
      <w:r>
        <w:t xml:space="preserve"> j</w:t>
      </w:r>
      <w:r w:rsidR="003B1673">
        <w:t>sou</w:t>
      </w:r>
      <w:r>
        <w:t xml:space="preserve"> v</w:t>
      </w:r>
      <w:r w:rsidR="00277624">
        <w:t> </w:t>
      </w:r>
      <w:r>
        <w:t xml:space="preserve">souladu s hlavními strategickými dokumenty pro oblast </w:t>
      </w:r>
      <w:proofErr w:type="spellStart"/>
      <w:r>
        <w:t>VaVaI</w:t>
      </w:r>
      <w:proofErr w:type="spellEnd"/>
      <w:r>
        <w:t>, zejména s Národními prioritami orientovaného výzkumu, experimentálního vývoje a inovací a Národní politikou výzkumu, vývoje a inovací ČR 2021+, Inovační strategií České republiky 2019-2030 a Národní výzkumnou a inovační strategií pro inteligentní specializaci České republiky</w:t>
      </w:r>
      <w:r w:rsidR="005605F9">
        <w:t xml:space="preserve"> (dále jen „Národní RIS3 strategie“)</w:t>
      </w:r>
      <w:r>
        <w:t xml:space="preserve">. </w:t>
      </w:r>
    </w:p>
    <w:p w14:paraId="13896080" w14:textId="0EB4620A" w:rsidR="007651A0" w:rsidRDefault="003B1673" w:rsidP="00041298">
      <w:pPr>
        <w:spacing w:line="276" w:lineRule="auto"/>
        <w:jc w:val="both"/>
      </w:pPr>
      <w:r>
        <w:t>Perspektivy rozvoje TA ČR</w:t>
      </w:r>
      <w:r w:rsidR="000D2AE6">
        <w:t xml:space="preserve"> také navazuj</w:t>
      </w:r>
      <w:r>
        <w:t>í</w:t>
      </w:r>
      <w:r w:rsidR="000D2AE6">
        <w:t xml:space="preserve"> na zjištění vycházející z analytické a evaluační činnosti TA ČR, především z evaluací programů a mapování inovačních kapacit. Současně je v </w:t>
      </w:r>
      <w:r>
        <w:t>dokumentu</w:t>
      </w:r>
      <w:r w:rsidR="000D2AE6">
        <w:t xml:space="preserve"> kladen důraz na zvyšování kvality poskytovaných služeb </w:t>
      </w:r>
      <w:r w:rsidR="00BD5AB0">
        <w:t xml:space="preserve">TA </w:t>
      </w:r>
      <w:r w:rsidR="00BD5AB0" w:rsidRPr="00927185">
        <w:t xml:space="preserve">ČR </w:t>
      </w:r>
      <w:r w:rsidR="0045336D" w:rsidRPr="00927185">
        <w:t>a snižování byrokratické zátěže</w:t>
      </w:r>
      <w:r w:rsidR="00041298">
        <w:t>.</w:t>
      </w:r>
    </w:p>
    <w:p w14:paraId="129BD668" w14:textId="77777777" w:rsidR="00EA1948" w:rsidRDefault="00EA1948" w:rsidP="00041298">
      <w:pPr>
        <w:spacing w:line="276" w:lineRule="auto"/>
        <w:jc w:val="both"/>
      </w:pPr>
    </w:p>
    <w:p w14:paraId="2BBCDB11" w14:textId="77777777" w:rsidR="002B3B4B" w:rsidRDefault="002B3B4B" w:rsidP="002B3B4B">
      <w:r>
        <w:br w:type="page"/>
      </w:r>
    </w:p>
    <w:p w14:paraId="31775856" w14:textId="270CA905" w:rsidR="00EA1948" w:rsidRDefault="00EA1948" w:rsidP="002B3B4B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B751A78" wp14:editId="72F3F648">
                <wp:simplePos x="0" y="0"/>
                <wp:positionH relativeFrom="margin">
                  <wp:align>right</wp:align>
                </wp:positionH>
                <wp:positionV relativeFrom="paragraph">
                  <wp:posOffset>146685</wp:posOffset>
                </wp:positionV>
                <wp:extent cx="5762625" cy="572135"/>
                <wp:effectExtent l="0" t="0" r="0" b="0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33FF1" w14:textId="77777777" w:rsidR="000831DF" w:rsidRDefault="000831DF" w:rsidP="00EA1948">
                            <w:pPr>
                              <w:pStyle w:val="Nadpis1"/>
                            </w:pPr>
                            <w:bookmarkStart w:id="6" w:name="_Toc66366423"/>
                            <w:r>
                              <w:t>2. Analytická část</w:t>
                            </w:r>
                            <w:bookmarkEnd w:id="6"/>
                          </w:p>
                          <w:p w14:paraId="75145CC7" w14:textId="17C58606" w:rsidR="000831DF" w:rsidRDefault="000831DF" w:rsidP="00EA1948">
                            <w:pPr>
                              <w:pStyle w:val="Nadpis1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51A78" id="Textové pole 27" o:spid="_x0000_s1032" type="#_x0000_t202" style="position:absolute;margin-left:402.55pt;margin-top:11.55pt;width:453.75pt;height:45.05pt;z-index:2516894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" filled="f" stroked="f" strokeweight=".5pt">
                <v:textbox>
                  <w:txbxContent>
                    <w:p w14:paraId="0FB33FF1" w14:textId="77777777" w:rsidR="000831DF" w:rsidRDefault="000831DF" w:rsidP="00EA1948">
                      <w:pPr>
                        <w:pStyle w:val="Nadpis1"/>
                      </w:pPr>
                      <w:bookmarkStart w:id="9" w:name="_Toc66366423"/>
                      <w:r>
                        <w:t>2. Analytická část</w:t>
                      </w:r>
                      <w:bookmarkEnd w:id="9"/>
                    </w:p>
                    <w:p w14:paraId="75145CC7" w14:textId="17C58606" w:rsidR="000831DF" w:rsidRDefault="000831DF" w:rsidP="00EA1948">
                      <w:pPr>
                        <w:pStyle w:val="Nadpis1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72D64A" w14:textId="547003BB" w:rsidR="00EF4F9D" w:rsidRDefault="00EF4F9D" w:rsidP="00041298">
      <w:pPr>
        <w:spacing w:line="276" w:lineRule="auto"/>
        <w:jc w:val="both"/>
      </w:pPr>
    </w:p>
    <w:p w14:paraId="0E49962F" w14:textId="42DD2A52" w:rsidR="00175784" w:rsidRDefault="00175784" w:rsidP="00175784"/>
    <w:p w14:paraId="27DB4D5F" w14:textId="7BAEA15D" w:rsidR="00EF4F9D" w:rsidRPr="00175784" w:rsidRDefault="00EA1948" w:rsidP="00175784">
      <w:r w:rsidRPr="000D2A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57158D4" wp14:editId="1869BA86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5730240" cy="0"/>
                <wp:effectExtent l="0" t="38100" r="41910" b="3810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2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92D3A9" id="Přímá spojnice 23" o:spid="_x0000_s1026" style="position:absolute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95pt" to="451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" strokecolor="#f03741" strokeweight="6pt">
                <v:stroke joinstyle="miter"/>
              </v:line>
            </w:pict>
          </mc:Fallback>
        </mc:AlternateContent>
      </w:r>
    </w:p>
    <w:p w14:paraId="300EDB7C" w14:textId="040F24CD" w:rsidR="007651A0" w:rsidRDefault="007651A0" w:rsidP="007651A0">
      <w:pPr>
        <w:pStyle w:val="Nadpis2"/>
      </w:pPr>
      <w:bookmarkStart w:id="7" w:name="_Toc66366424"/>
      <w:r>
        <w:t xml:space="preserve">Vyhodnocení Koncepce rozvoje </w:t>
      </w:r>
      <w:r w:rsidRPr="00E06AA5">
        <w:t>TA ČR</w:t>
      </w:r>
      <w:bookmarkEnd w:id="7"/>
      <w:r>
        <w:t xml:space="preserve"> </w:t>
      </w:r>
    </w:p>
    <w:p w14:paraId="17AF3A0B" w14:textId="61F02B13" w:rsidR="007651A0" w:rsidRDefault="007651A0" w:rsidP="00041298">
      <w:pPr>
        <w:spacing w:line="276" w:lineRule="auto"/>
        <w:jc w:val="both"/>
      </w:pPr>
      <w:r>
        <w:t>Perspektivy rozvoje TA ČR vychází z </w:t>
      </w:r>
      <w:r w:rsidR="00BD5AB0">
        <w:t>v</w:t>
      </w:r>
      <w:r>
        <w:t xml:space="preserve">yhodnocení </w:t>
      </w:r>
      <w:r w:rsidR="006B43D4">
        <w:t xml:space="preserve">průběžného </w:t>
      </w:r>
      <w:r>
        <w:t>plnění Koncepce rozvoje TA ČR 2016-2025</w:t>
      </w:r>
      <w:r>
        <w:rPr>
          <w:rStyle w:val="Znakapoznpodarou"/>
        </w:rPr>
        <w:footnoteReference w:id="1"/>
      </w:r>
      <w:r>
        <w:t xml:space="preserve"> po</w:t>
      </w:r>
      <w:r w:rsidR="00F574F0">
        <w:t> </w:t>
      </w:r>
      <w:r>
        <w:t>čtyřech a půl letech její implementace, shrnuje dosavadní zkušenosti, doplňuje a představuje rozvojové záměry do roku 2025. Perspektivy rozvoje TA ČR jsou vytvořeny tak, aby se nemusely zásadně měnit v souvislosti se změnami ve struktuře systému výzkumu, vývoje a inovací a vyjadřuj</w:t>
      </w:r>
      <w:r w:rsidR="006B43D4">
        <w:t>í</w:t>
      </w:r>
      <w:r>
        <w:t xml:space="preserve"> snahu TA ČR aktivně přispět k přípravě a</w:t>
      </w:r>
      <w:r w:rsidR="00277624">
        <w:t> </w:t>
      </w:r>
      <w:r>
        <w:t>realizaci takovýchto změn. Gestorem dokumentu je Předsednictvo TA ČR ve spolupráci s Výzkumnou radou TA</w:t>
      </w:r>
      <w:r w:rsidR="00277624">
        <w:t> </w:t>
      </w:r>
      <w:r>
        <w:t>ČR.</w:t>
      </w:r>
    </w:p>
    <w:p w14:paraId="635C54E2" w14:textId="17D804DF" w:rsidR="002374ED" w:rsidRDefault="002374ED" w:rsidP="002374ED">
      <w:pPr>
        <w:spacing w:line="276" w:lineRule="auto"/>
        <w:jc w:val="both"/>
      </w:pPr>
      <w:r>
        <w:t xml:space="preserve">Vyhodnocení </w:t>
      </w:r>
      <w:r w:rsidR="006B43D4">
        <w:t>průběžného plnění K</w:t>
      </w:r>
      <w:r>
        <w:t>oncepce rozvoje TA ČR 2016-2025 bylo zpracováno v červnu 2020 jako interní dokument TA ČR a bylo schváleno na 459. jednání předsednictva TA ČR dne 25. 6. 2020.</w:t>
      </w:r>
      <w:r w:rsidR="00133050">
        <w:t xml:space="preserve"> </w:t>
      </w:r>
      <w:r>
        <w:t xml:space="preserve">Vyhodnocení reflektuje členění a strukturu </w:t>
      </w:r>
      <w:r w:rsidR="00BA57C2">
        <w:t>K</w:t>
      </w:r>
      <w:r>
        <w:t xml:space="preserve">oncepce </w:t>
      </w:r>
      <w:r w:rsidR="00BA57C2">
        <w:t xml:space="preserve">rozvoje TA ČR 2016-2025 </w:t>
      </w:r>
      <w:r>
        <w:t xml:space="preserve">a rozřazuje oblasti koncepce do tří částí, ve kterých vyjmenovává oblasti, které byly zcela naplněny (celkem 26 oblastí), které nebyly zcela naplněny </w:t>
      </w:r>
      <w:r w:rsidR="00BA57C2">
        <w:t>včetně</w:t>
      </w:r>
      <w:r>
        <w:t xml:space="preserve"> zdůvodnění (celkem 11 oblastí) a které je vhodné dále zapracovat do aktualizace koncepce do roku 2030 </w:t>
      </w:r>
      <w:r w:rsidR="00BA57C2">
        <w:t>se</w:t>
      </w:r>
      <w:r w:rsidR="00277624">
        <w:t> </w:t>
      </w:r>
      <w:r>
        <w:t>zdůvodnění</w:t>
      </w:r>
      <w:r w:rsidR="00BA57C2">
        <w:t>m</w:t>
      </w:r>
      <w:r>
        <w:t xml:space="preserve"> (celkem 9 oblastí).</w:t>
      </w:r>
    </w:p>
    <w:p w14:paraId="233E792C" w14:textId="196383E6" w:rsidR="00AC5B90" w:rsidRDefault="00AC5B90" w:rsidP="00041298">
      <w:pPr>
        <w:spacing w:line="276" w:lineRule="auto"/>
        <w:jc w:val="both"/>
      </w:pPr>
    </w:p>
    <w:p w14:paraId="7749F3F5" w14:textId="77777777" w:rsidR="00A47605" w:rsidRDefault="00A47605" w:rsidP="00AE673C">
      <w:pPr>
        <w:pStyle w:val="Nadpis2"/>
      </w:pPr>
      <w:bookmarkStart w:id="8" w:name="_Toc66366425"/>
      <w:r>
        <w:t xml:space="preserve">Role TA ČR ve vyvíjecím se prostředí </w:t>
      </w:r>
      <w:proofErr w:type="spellStart"/>
      <w:r>
        <w:t>VaVaI</w:t>
      </w:r>
      <w:bookmarkEnd w:id="8"/>
      <w:proofErr w:type="spellEnd"/>
    </w:p>
    <w:p w14:paraId="3CEF197C" w14:textId="004A4273" w:rsidR="00A47605" w:rsidRDefault="00A47605" w:rsidP="00A47605">
      <w:pPr>
        <w:jc w:val="both"/>
      </w:pPr>
      <w:r>
        <w:t>Česká republika musí reagovat na nové společenské výzvy související s tzv. čtvrtou průmyslovou revolucí, digitalizací, interdisciplinaritou a provázaností vědních oborů, nutností “agilního přístupu” a pružné reakce na</w:t>
      </w:r>
      <w:r w:rsidR="00277624">
        <w:t> </w:t>
      </w:r>
      <w:r>
        <w:t>vnější okolnosti (např. na globální epidemické hrozby a s nimi spojené náhlé dopady na hospodářství), rychle se vyvíjející segment ICT a další. Politiky pro tuto oblast jsou definovány více dokumenty. Klíčové jsou Národní inovační strategie; Národní politika výzkumu, vývoje a inovací České republiky 2021+, Národní RIS3 strategie, Národní priority orientovaného výzkumu, experimentálního vývoje a inovací 2012-2030.</w:t>
      </w:r>
    </w:p>
    <w:p w14:paraId="3BB19079" w14:textId="74C59E04" w:rsidR="00A47605" w:rsidRDefault="00A47605" w:rsidP="00A47605">
      <w:pPr>
        <w:jc w:val="both"/>
      </w:pPr>
      <w:r>
        <w:t xml:space="preserve">Podpora </w:t>
      </w:r>
      <w:proofErr w:type="spellStart"/>
      <w:r>
        <w:t>VaVaI</w:t>
      </w:r>
      <w:proofErr w:type="spellEnd"/>
      <w:r>
        <w:t xml:space="preserve"> je prováděna v souladu s principy konceptu </w:t>
      </w:r>
      <w:proofErr w:type="spellStart"/>
      <w:r>
        <w:t>Responsible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Innovation</w:t>
      </w:r>
      <w:proofErr w:type="spellEnd"/>
      <w:r>
        <w:t>, který stojí na</w:t>
      </w:r>
      <w:r w:rsidR="00277624">
        <w:t> </w:t>
      </w:r>
      <w:r>
        <w:t xml:space="preserve">šesti základních oblastech: zapojování veřejnosti, genderové rovnosti, popularizaci vědy, open </w:t>
      </w:r>
      <w:proofErr w:type="spellStart"/>
      <w:r>
        <w:t>access</w:t>
      </w:r>
      <w:proofErr w:type="spellEnd"/>
      <w:r>
        <w:t>, etice a</w:t>
      </w:r>
      <w:r w:rsidR="00277624">
        <w:t> „</w:t>
      </w:r>
      <w:proofErr w:type="spellStart"/>
      <w:r>
        <w:t>good</w:t>
      </w:r>
      <w:proofErr w:type="spellEnd"/>
      <w:r>
        <w:t xml:space="preserve"> </w:t>
      </w:r>
      <w:proofErr w:type="spellStart"/>
      <w:r>
        <w:t>governance</w:t>
      </w:r>
      <w:proofErr w:type="spellEnd"/>
      <w:r w:rsidR="00277624">
        <w:t>“</w:t>
      </w:r>
      <w:r>
        <w:t>.</w:t>
      </w:r>
    </w:p>
    <w:p w14:paraId="26005769" w14:textId="1F82D304" w:rsidR="00A47605" w:rsidRDefault="00A47605" w:rsidP="00A47605">
      <w:pPr>
        <w:jc w:val="both"/>
      </w:pPr>
      <w:r>
        <w:t>Vláda usnesením ze dne 19. července 2012 č. 552 schválila Národní priority orientovaného výzkumu, experimentálního vývoje a inovací určila dlouhodobé cíle, které jsou společensky uplatnitelné a žádoucí, řešitelné v dlouhodobém horizontu a dosažitelné definováním 6 prioritních oblastí s několika prioritními podoblastmi s</w:t>
      </w:r>
      <w:r w:rsidR="00277624">
        <w:t> </w:t>
      </w:r>
      <w:r>
        <w:t>konkrétními cíli, které budou využívány při přípravě programů účelové podpory. Národní RIS3 strategie pak s</w:t>
      </w:r>
      <w:r w:rsidR="00277624">
        <w:t> </w:t>
      </w:r>
      <w:r>
        <w:t>využitím systému tzv. “</w:t>
      </w:r>
      <w:proofErr w:type="spellStart"/>
      <w:r>
        <w:t>entreprene</w:t>
      </w:r>
      <w:r w:rsidR="00277624">
        <w:t>u</w:t>
      </w:r>
      <w:r>
        <w:t>rial</w:t>
      </w:r>
      <w:proofErr w:type="spellEnd"/>
      <w:r>
        <w:t xml:space="preserve"> </w:t>
      </w:r>
      <w:proofErr w:type="spellStart"/>
      <w:r>
        <w:t>discovery</w:t>
      </w:r>
      <w:proofErr w:type="spellEnd"/>
      <w:r>
        <w:t xml:space="preserve">” procesu definuje dílčí strategické priority výzkumu a inovací od úrovně </w:t>
      </w:r>
      <w:r w:rsidR="00BD5AB0">
        <w:t xml:space="preserve">regionální </w:t>
      </w:r>
      <w:r>
        <w:t>po úrov</w:t>
      </w:r>
      <w:r w:rsidR="00BD5AB0">
        <w:t>eň národní</w:t>
      </w:r>
      <w:r>
        <w:t xml:space="preserve">. </w:t>
      </w:r>
    </w:p>
    <w:p w14:paraId="76262EBC" w14:textId="7E02F4DE" w:rsidR="00A47605" w:rsidRDefault="00A47605" w:rsidP="00A47605">
      <w:pPr>
        <w:jc w:val="both"/>
      </w:pPr>
      <w:r>
        <w:t>Národní politika výzkumu, vývoje a inovací České republiky 2021+ se dotýká činnosti TA ČR především v rámci úkolů, definovaných v Opatřeních 13, 14, 18, 20, 21, 23, a 28. Činnost TA ČR se pak protíná s oblastmi definovanými v Inovační strategii České republiky 2019-2030, a to především v kapitole Financování a</w:t>
      </w:r>
      <w:r w:rsidR="00277624">
        <w:t> </w:t>
      </w:r>
      <w:r>
        <w:t>hodnocení výzkumu a vývoje, Národní start-up a spin-</w:t>
      </w:r>
      <w:proofErr w:type="spellStart"/>
      <w:r>
        <w:t>off</w:t>
      </w:r>
      <w:proofErr w:type="spellEnd"/>
      <w:r>
        <w:t xml:space="preserve"> prostředí a Inovační a výzkumná centra. Z dalších strategických dokumentů je možné jmenovat např. Národní strategii umělé inteligence, která navazuje a plní cíle vládní Inovační strategie 2019-2030 a je provázaná s programem Digitální Česko. TA ČR se etablovala jako významná součást systému státní podpory </w:t>
      </w:r>
      <w:proofErr w:type="spellStart"/>
      <w:r>
        <w:t>VaVaI</w:t>
      </w:r>
      <w:proofErr w:type="spellEnd"/>
      <w:r>
        <w:t>, což je zřejmé z řady strategických dokumentů ČR – řada z</w:t>
      </w:r>
      <w:r w:rsidR="00277624">
        <w:t> </w:t>
      </w:r>
      <w:r>
        <w:t>nich předpokládá podporu ve strategiích stanovených oblastí výzkumu prostřednictvím TA ČR.</w:t>
      </w:r>
    </w:p>
    <w:p w14:paraId="31DBC91A" w14:textId="5B08BD06" w:rsidR="00A47605" w:rsidRDefault="00A47605" w:rsidP="00A47605">
      <w:pPr>
        <w:jc w:val="both"/>
      </w:pPr>
      <w:r>
        <w:lastRenderedPageBreak/>
        <w:t>Pro samotnou přípravu a realizaci programů TA ČR jsou důležité Základní principy přípravy a hodnocení programů a grantových projektů výzkumu, vývoje a inovací, schválené vládou ČR usnesením ze dne 13.</w:t>
      </w:r>
      <w:r w:rsidR="00277624" w:rsidRPr="00277624">
        <w:t xml:space="preserve"> </w:t>
      </w:r>
      <w:r w:rsidR="00277624">
        <w:t> </w:t>
      </w:r>
      <w:r>
        <w:t xml:space="preserve">května 2015 č. 351 a Postup Rady při hodnocení návrhů programů účelové podpory a skupin grantových projektů schválený na </w:t>
      </w:r>
      <w:r w:rsidRPr="000E7A87">
        <w:t>351. zasedání Rady dne 29. listopadu 2019.</w:t>
      </w:r>
      <w:r>
        <w:t xml:space="preserve"> Aktivně a systematicky jsou využívány výstupy z průběžných, příp.</w:t>
      </w:r>
      <w:r w:rsidR="00F574F0">
        <w:t> </w:t>
      </w:r>
      <w:r>
        <w:t>závěrečných evaluací programů tak, aby se nově vznikající nástroje podpory zakládaly na dobré praxi.</w:t>
      </w:r>
    </w:p>
    <w:p w14:paraId="57BEA603" w14:textId="72E034B9" w:rsidR="00A47605" w:rsidRDefault="00A47605" w:rsidP="00A47605">
      <w:pPr>
        <w:jc w:val="both"/>
      </w:pPr>
      <w:r>
        <w:t xml:space="preserve">Realizace programů implementovaných TA ČR je založena nejen na naplňování cílů strategických dokumentů, zejména Národní politiky </w:t>
      </w:r>
      <w:proofErr w:type="spellStart"/>
      <w:r>
        <w:t>VaVaI</w:t>
      </w:r>
      <w:proofErr w:type="spellEnd"/>
      <w:r>
        <w:t xml:space="preserve"> a jejich opatření, případně resortních strategických dokumentů, ale vždy také s</w:t>
      </w:r>
      <w:r w:rsidR="00277624">
        <w:t> </w:t>
      </w:r>
      <w:r>
        <w:t>využitím rozšiřující se datové a informační základny TA ČR. TA ČR je spolutvůrcem a aktivně využívá tzv.</w:t>
      </w:r>
      <w:r w:rsidR="00F574F0">
        <w:t> </w:t>
      </w:r>
      <w:r>
        <w:t>“evaluační referenční rámec” popisující postupy evaluací při přípravě a realizaci programů podpory výzkumu a inovací, který je společný pro většinu evropských agentur podporujících výzkum a inovace, sdružených v</w:t>
      </w:r>
      <w:r w:rsidR="00F574F0">
        <w:t> </w:t>
      </w:r>
      <w:r>
        <w:t xml:space="preserve">síti TAFTIE. </w:t>
      </w:r>
    </w:p>
    <w:p w14:paraId="47F3AA70" w14:textId="417452F7" w:rsidR="00A47605" w:rsidRDefault="00A47605" w:rsidP="00A47605">
      <w:pPr>
        <w:jc w:val="both"/>
      </w:pPr>
      <w:r>
        <w:t xml:space="preserve">Programy, které TA ČR realizuje na základě Národní politiky </w:t>
      </w:r>
      <w:proofErr w:type="spellStart"/>
      <w:r>
        <w:t>VaVaI</w:t>
      </w:r>
      <w:proofErr w:type="spellEnd"/>
      <w:r>
        <w:t xml:space="preserve"> pokrývají většinu oborů, což odpovídá její průřezové a implementační roli. Spektrum příjemců TA ČR je velmi široké a s ohledem na podporu spolupráce je</w:t>
      </w:r>
      <w:r w:rsidR="00F574F0">
        <w:t> </w:t>
      </w:r>
      <w:r>
        <w:t>v rámci projektů TA ČR velké množství kombinací různých forem žadatelů a příjemců. Pro zvýšení efektivity práce TA ČR využívá informační systémy, které tak tvoří prostředí pro práci nejen žadatelů, příjemců a</w:t>
      </w:r>
      <w:r w:rsidR="00277624">
        <w:t> </w:t>
      </w:r>
      <w:r>
        <w:t>hodnotitelů, ale také zaměstnanců TA ČR. Informační systém TA ČR pokrývá velkou část procesů implementace programů a</w:t>
      </w:r>
      <w:r w:rsidR="00277624">
        <w:t> </w:t>
      </w:r>
      <w:r>
        <w:t>v</w:t>
      </w:r>
      <w:r w:rsidR="00277624">
        <w:t> </w:t>
      </w:r>
      <w:r>
        <w:t>poslední době je využíván rovněž některými dalšími poskytovateli v oblasti podpory aplikovaného výzkumu (Ministerstvem vnitra a Ministerstvem zemědělství). Společně s implementací resortních programů tak</w:t>
      </w:r>
      <w:r w:rsidR="00F574F0">
        <w:t> </w:t>
      </w:r>
      <w:r>
        <w:t>postupně dochází ke sjednocování podmínek pro žadatele a příjemce v prostředí aplikovaného výzkumu a</w:t>
      </w:r>
      <w:r w:rsidR="00277624">
        <w:t> </w:t>
      </w:r>
      <w:r>
        <w:t>inovací.</w:t>
      </w:r>
    </w:p>
    <w:p w14:paraId="15FC871C" w14:textId="6721BA6D" w:rsidR="00A47605" w:rsidRDefault="00A47605" w:rsidP="00A47605">
      <w:pPr>
        <w:jc w:val="both"/>
      </w:pPr>
      <w:r>
        <w:t xml:space="preserve">Pro efektivní rozvoj a zvyšování kvality vlastní činnosti využívá TA ČR také zapojení do mezinárodních projektů, zaměřených na otázky spojené s podporou </w:t>
      </w:r>
      <w:proofErr w:type="spellStart"/>
      <w:r>
        <w:t>VaVaI</w:t>
      </w:r>
      <w:proofErr w:type="spellEnd"/>
      <w:r>
        <w:t xml:space="preserve">, financovaných z Horizontu 2020 (projekty GEECCO, </w:t>
      </w:r>
      <w:proofErr w:type="spellStart"/>
      <w:r>
        <w:t>NewHoRRIzon</w:t>
      </w:r>
      <w:proofErr w:type="spellEnd"/>
      <w:r>
        <w:t xml:space="preserve">, </w:t>
      </w:r>
      <w:proofErr w:type="spellStart"/>
      <w:r>
        <w:t>ProEthics</w:t>
      </w:r>
      <w:proofErr w:type="spellEnd"/>
      <w:r>
        <w:t>, LEEP). TA ČR se tak řadí mezi české organizace s relativně velkým zapojením do</w:t>
      </w:r>
      <w:r w:rsidR="00277624">
        <w:t> </w:t>
      </w:r>
      <w:r>
        <w:t xml:space="preserve">rámcových programů EU. Výstupy projektů zavádí do způsobu poskytování podpory </w:t>
      </w:r>
      <w:proofErr w:type="spellStart"/>
      <w:r>
        <w:t>VaVaI</w:t>
      </w:r>
      <w:proofErr w:type="spellEnd"/>
      <w:r>
        <w:t>.</w:t>
      </w:r>
    </w:p>
    <w:p w14:paraId="39DF0C7E" w14:textId="77777777" w:rsidR="00A47605" w:rsidRDefault="00A47605" w:rsidP="00041298">
      <w:pPr>
        <w:spacing w:line="276" w:lineRule="auto"/>
        <w:jc w:val="both"/>
      </w:pPr>
    </w:p>
    <w:p w14:paraId="62E3A6AC" w14:textId="788A4644" w:rsidR="00AC5B90" w:rsidRDefault="00A47605" w:rsidP="00291739">
      <w:pPr>
        <w:pStyle w:val="Nadpis2"/>
      </w:pPr>
      <w:bookmarkStart w:id="9" w:name="_Toc66366426"/>
      <w:r>
        <w:t>M</w:t>
      </w:r>
      <w:r w:rsidR="00AE673C">
        <w:t>e</w:t>
      </w:r>
      <w:r>
        <w:t>zinárodní porovnání</w:t>
      </w:r>
      <w:bookmarkEnd w:id="9"/>
      <w:r>
        <w:t xml:space="preserve"> </w:t>
      </w:r>
    </w:p>
    <w:p w14:paraId="7A87C81F" w14:textId="54ED9EE5" w:rsidR="00614DBB" w:rsidRPr="008B0971" w:rsidRDefault="005A16DE" w:rsidP="00614DBB">
      <w:pPr>
        <w:shd w:val="clear" w:color="auto" w:fill="FFFFFF"/>
        <w:spacing w:line="230" w:lineRule="atLeast"/>
        <w:jc w:val="both"/>
        <w:rPr>
          <w:rFonts w:eastAsia="Times New Roman" w:cstheme="minorHAnsi"/>
          <w:color w:val="222222"/>
          <w:szCs w:val="20"/>
          <w:lang w:eastAsia="cs-CZ"/>
        </w:rPr>
      </w:pPr>
      <w:r>
        <w:rPr>
          <w:rFonts w:ascii="Calibri" w:eastAsia="Times New Roman" w:hAnsi="Calibri" w:cs="Calibri"/>
          <w:color w:val="222222"/>
          <w:szCs w:val="20"/>
          <w:lang w:eastAsia="cs-CZ"/>
        </w:rPr>
        <w:t>Mezinárodní porovnání aktivit TA ČR je založeno na systematické práci porovnávání a synchronizace aktivit obdobných institucí, resp. agentur v rámci Evropské unie. Pravidelně jsou výstupy těchto aktivit zveřejňovány, a</w:t>
      </w:r>
      <w:r w:rsidR="00277624">
        <w:t> 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to včetně porovnání a vyhodnocení aktivit jednotlivých agentur (viz dále např. </w:t>
      </w:r>
      <w:proofErr w:type="spellStart"/>
      <w:r>
        <w:rPr>
          <w:rFonts w:ascii="Calibri" w:eastAsia="Times New Roman" w:hAnsi="Calibri" w:cs="Calibri"/>
          <w:color w:val="222222"/>
          <w:szCs w:val="20"/>
          <w:lang w:eastAsia="cs-CZ"/>
        </w:rPr>
        <w:t>Benchmark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Report). 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>Technologická agentura České republiky (</w:t>
      </w:r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TA ČR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>)</w:t>
      </w:r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je od roku 2010 členem evropské sítě TAFTIE (</w:t>
      </w:r>
      <w:proofErr w:type="spellStart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The</w:t>
      </w:r>
      <w:proofErr w:type="spellEnd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European</w:t>
      </w:r>
      <w:proofErr w:type="spellEnd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Network </w:t>
      </w:r>
      <w:proofErr w:type="spellStart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of</w:t>
      </w:r>
      <w:proofErr w:type="spellEnd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Innovation</w:t>
      </w:r>
      <w:proofErr w:type="spellEnd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Agencies</w:t>
      </w:r>
      <w:proofErr w:type="spellEnd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)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>, která dnes sdružuje již 32 inovačních agentur</w:t>
      </w:r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. Její členové velkou měrou přispívají k posílení hospodářských výsledků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 xml:space="preserve"> a konkurenceschopnosti</w:t>
      </w:r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Evropy tím, že podporují inovace prostřednictvím vnitrostátních a mezinárodních programů. Spoluprací s respektovanými evropskými agenturami (např.</w:t>
      </w:r>
      <w:r w:rsidR="00A27910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 xml:space="preserve">švédská </w:t>
      </w:r>
      <w:proofErr w:type="spellStart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Vinnova</w:t>
      </w:r>
      <w:proofErr w:type="spellEnd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, 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 xml:space="preserve">rakouská </w:t>
      </w:r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FFG, </w:t>
      </w:r>
      <w:proofErr w:type="spellStart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Innovate</w:t>
      </w:r>
      <w:proofErr w:type="spellEnd"/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UK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 xml:space="preserve">, Business </w:t>
      </w:r>
      <w:proofErr w:type="spellStart"/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>Finland</w:t>
      </w:r>
      <w:proofErr w:type="spellEnd"/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r w:rsidR="00614DBB" w:rsidRPr="00A3754F">
        <w:rPr>
          <w:rFonts w:ascii="Calibri" w:eastAsia="Times New Roman" w:hAnsi="Calibri" w:cs="Calibri"/>
          <w:color w:val="222222"/>
          <w:szCs w:val="20"/>
          <w:lang w:eastAsia="cs-CZ"/>
        </w:rPr>
        <w:t>a další) získává TA ČR neocenitelné zkušenosti.</w:t>
      </w:r>
      <w:r w:rsidR="00614DBB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Je rovněž zastoupena ve skupině </w:t>
      </w:r>
      <w:proofErr w:type="spellStart"/>
      <w:r w:rsidR="00614DBB" w:rsidRPr="008B0971">
        <w:rPr>
          <w:rFonts w:eastAsia="Times New Roman" w:cstheme="minorHAnsi"/>
          <w:color w:val="222222"/>
          <w:szCs w:val="20"/>
          <w:lang w:eastAsia="cs-CZ"/>
        </w:rPr>
        <w:t>Membership</w:t>
      </w:r>
      <w:proofErr w:type="spellEnd"/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 </w:t>
      </w:r>
      <w:proofErr w:type="spellStart"/>
      <w:r w:rsidR="00614DBB" w:rsidRPr="008B0971">
        <w:rPr>
          <w:rFonts w:eastAsia="Times New Roman" w:cstheme="minorHAnsi"/>
          <w:color w:val="222222"/>
          <w:szCs w:val="20"/>
          <w:lang w:eastAsia="cs-CZ"/>
        </w:rPr>
        <w:t>Policy</w:t>
      </w:r>
      <w:proofErr w:type="spellEnd"/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 Group, jejímž úkolem je projednat žádosti o</w:t>
      </w:r>
      <w:r w:rsidR="00277624">
        <w:t> 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vstup do sítě </w:t>
      </w:r>
      <w:r w:rsidR="00A27910">
        <w:rPr>
          <w:rFonts w:eastAsia="Times New Roman" w:cstheme="minorHAnsi"/>
          <w:color w:val="222222"/>
          <w:szCs w:val="20"/>
          <w:lang w:eastAsia="cs-CZ"/>
        </w:rPr>
        <w:t>TAFTIE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 a připravovat koncepci spolupráce s mezinárodními partnery </w:t>
      </w:r>
      <w:r w:rsidR="00A27910">
        <w:rPr>
          <w:rFonts w:eastAsia="Times New Roman" w:cstheme="minorHAnsi"/>
          <w:color w:val="222222"/>
          <w:szCs w:val="20"/>
          <w:lang w:eastAsia="cs-CZ"/>
        </w:rPr>
        <w:t>TAFTIE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 (</w:t>
      </w:r>
      <w:r w:rsidR="00614DBB">
        <w:rPr>
          <w:rFonts w:eastAsia="Times New Roman" w:cstheme="minorHAnsi"/>
          <w:color w:val="222222"/>
          <w:szCs w:val="20"/>
          <w:lang w:eastAsia="cs-CZ"/>
        </w:rPr>
        <w:t xml:space="preserve">jsou jimi 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agentura </w:t>
      </w:r>
      <w:r w:rsidRPr="008B0971">
        <w:rPr>
          <w:rFonts w:eastAsia="Times New Roman" w:cstheme="minorHAnsi"/>
          <w:color w:val="222222"/>
          <w:szCs w:val="20"/>
          <w:lang w:eastAsia="cs-CZ"/>
        </w:rPr>
        <w:t>NEDO</w:t>
      </w:r>
      <w:r>
        <w:rPr>
          <w:rFonts w:eastAsia="Times New Roman" w:cstheme="minorHAnsi"/>
          <w:color w:val="222222"/>
          <w:szCs w:val="20"/>
          <w:lang w:eastAsia="cs-CZ"/>
        </w:rPr>
        <w:t xml:space="preserve"> – Japonsko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, </w:t>
      </w:r>
      <w:r w:rsidRPr="008B0971">
        <w:rPr>
          <w:rFonts w:eastAsia="Times New Roman" w:cstheme="minorHAnsi"/>
          <w:color w:val="222222"/>
          <w:szCs w:val="20"/>
          <w:lang w:eastAsia="cs-CZ"/>
        </w:rPr>
        <w:t>KIAT</w:t>
      </w:r>
      <w:r>
        <w:rPr>
          <w:rFonts w:eastAsia="Times New Roman" w:cstheme="minorHAnsi"/>
          <w:color w:val="222222"/>
          <w:szCs w:val="20"/>
          <w:lang w:eastAsia="cs-CZ"/>
        </w:rPr>
        <w:t xml:space="preserve"> – Korea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, </w:t>
      </w:r>
      <w:r w:rsidRPr="008B0971">
        <w:rPr>
          <w:rFonts w:eastAsia="Times New Roman" w:cstheme="minorHAnsi"/>
          <w:color w:val="222222"/>
          <w:szCs w:val="20"/>
          <w:lang w:eastAsia="cs-CZ"/>
        </w:rPr>
        <w:t>FINEP</w:t>
      </w:r>
      <w:r>
        <w:rPr>
          <w:rFonts w:eastAsia="Times New Roman" w:cstheme="minorHAnsi"/>
          <w:color w:val="222222"/>
          <w:szCs w:val="20"/>
          <w:lang w:eastAsia="cs-CZ"/>
        </w:rPr>
        <w:t xml:space="preserve"> – Brazílie</w:t>
      </w:r>
      <w:r w:rsidR="00614DBB" w:rsidRPr="008B0971">
        <w:rPr>
          <w:rFonts w:eastAsia="Times New Roman" w:cstheme="minorHAnsi"/>
          <w:color w:val="222222"/>
          <w:szCs w:val="20"/>
          <w:lang w:eastAsia="cs-CZ"/>
        </w:rPr>
        <w:t xml:space="preserve"> a </w:t>
      </w:r>
      <w:r w:rsidRPr="008B0971">
        <w:rPr>
          <w:rFonts w:cstheme="minorHAnsi"/>
          <w:color w:val="202124"/>
          <w:szCs w:val="20"/>
          <w:shd w:val="clear" w:color="auto" w:fill="FFFFFF"/>
        </w:rPr>
        <w:t>NRC</w:t>
      </w:r>
      <w:r>
        <w:rPr>
          <w:rFonts w:cstheme="minorHAnsi"/>
          <w:color w:val="202124"/>
          <w:szCs w:val="20"/>
          <w:shd w:val="clear" w:color="auto" w:fill="FFFFFF"/>
        </w:rPr>
        <w:t xml:space="preserve"> – Kanada</w:t>
      </w:r>
      <w:r w:rsidR="00614DBB">
        <w:rPr>
          <w:rFonts w:cstheme="minorHAnsi"/>
          <w:color w:val="202124"/>
          <w:szCs w:val="20"/>
          <w:shd w:val="clear" w:color="auto" w:fill="FFFFFF"/>
        </w:rPr>
        <w:t>)</w:t>
      </w:r>
      <w:r w:rsidR="00614DBB" w:rsidRPr="008B0971">
        <w:rPr>
          <w:rFonts w:cstheme="minorHAnsi"/>
          <w:color w:val="202124"/>
          <w:szCs w:val="20"/>
          <w:shd w:val="clear" w:color="auto" w:fill="FFFFFF"/>
        </w:rPr>
        <w:t>.</w:t>
      </w:r>
    </w:p>
    <w:p w14:paraId="46154F6A" w14:textId="47BACBC3" w:rsidR="00614DBB" w:rsidRDefault="00614DBB" w:rsidP="00614DBB">
      <w:pPr>
        <w:shd w:val="clear" w:color="auto" w:fill="FFFFFF"/>
        <w:spacing w:line="230" w:lineRule="atLeast"/>
        <w:jc w:val="both"/>
        <w:rPr>
          <w:rFonts w:ascii="Calibri" w:eastAsia="Times New Roman" w:hAnsi="Calibri" w:cs="Calibri"/>
          <w:color w:val="222222"/>
          <w:szCs w:val="20"/>
          <w:lang w:eastAsia="cs-CZ"/>
        </w:rPr>
      </w:pP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TA ČR se 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pravidelně zapojuje do aktivit pracovních skupin a sítí </w:t>
      </w:r>
      <w:r w:rsidR="00200F8D">
        <w:rPr>
          <w:rFonts w:ascii="Calibri" w:eastAsia="Times New Roman" w:hAnsi="Calibri" w:cs="Calibri"/>
          <w:color w:val="222222"/>
          <w:szCs w:val="20"/>
          <w:lang w:eastAsia="cs-CZ"/>
        </w:rPr>
        <w:t>TAFTIE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(například </w:t>
      </w:r>
      <w:proofErr w:type="spellStart"/>
      <w:r>
        <w:rPr>
          <w:rFonts w:ascii="Calibri" w:eastAsia="Times New Roman" w:hAnsi="Calibri" w:cs="Calibri"/>
          <w:color w:val="222222"/>
          <w:szCs w:val="20"/>
          <w:lang w:eastAsia="cs-CZ"/>
        </w:rPr>
        <w:t>Task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szCs w:val="20"/>
          <w:lang w:eastAsia="cs-CZ"/>
        </w:rPr>
        <w:t>Force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Experiment,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Task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Force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Characterisation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of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Taftie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Agencies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,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Taftie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High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Potential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Community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, Network on </w:t>
      </w:r>
      <w:proofErr w:type="spellStart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State</w:t>
      </w:r>
      <w:proofErr w:type="spellEnd"/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Aid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>)</w:t>
      </w:r>
    </w:p>
    <w:p w14:paraId="3A945C9E" w14:textId="77777777" w:rsidR="00614DBB" w:rsidRDefault="00614DBB" w:rsidP="00614DBB">
      <w:pPr>
        <w:shd w:val="clear" w:color="auto" w:fill="FFFFFF"/>
        <w:spacing w:line="230" w:lineRule="atLeast"/>
        <w:jc w:val="both"/>
        <w:rPr>
          <w:rFonts w:ascii="Calibri" w:eastAsia="Times New Roman" w:hAnsi="Calibri" w:cs="Calibri"/>
          <w:color w:val="222222"/>
          <w:szCs w:val="20"/>
          <w:lang w:eastAsia="cs-CZ"/>
        </w:rPr>
      </w:pP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Jednou z nich je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i </w:t>
      </w:r>
      <w:proofErr w:type="spellStart"/>
      <w:r w:rsidRPr="008B0971">
        <w:rPr>
          <w:rFonts w:cstheme="minorHAnsi"/>
          <w:color w:val="000000"/>
          <w:szCs w:val="20"/>
        </w:rPr>
        <w:t>Structural</w:t>
      </w:r>
      <w:proofErr w:type="spellEnd"/>
      <w:r w:rsidRPr="008B0971">
        <w:rPr>
          <w:rFonts w:cstheme="minorHAnsi"/>
          <w:color w:val="000000"/>
          <w:szCs w:val="20"/>
        </w:rPr>
        <w:t xml:space="preserve"> Network on </w:t>
      </w:r>
      <w:proofErr w:type="spellStart"/>
      <w:r w:rsidRPr="008B0971">
        <w:rPr>
          <w:rFonts w:cstheme="minorHAnsi"/>
          <w:color w:val="000000"/>
          <w:szCs w:val="20"/>
        </w:rPr>
        <w:t>Benchmarking</w:t>
      </w:r>
      <w:proofErr w:type="spellEnd"/>
      <w:r w:rsidRPr="008B0971">
        <w:rPr>
          <w:rFonts w:cstheme="minorHAnsi"/>
          <w:color w:val="000000"/>
          <w:szCs w:val="20"/>
        </w:rPr>
        <w:t xml:space="preserve"> (SNB).</w:t>
      </w:r>
      <w:r>
        <w:rPr>
          <w:rFonts w:cstheme="minorHAnsi"/>
          <w:color w:val="000000"/>
          <w:szCs w:val="20"/>
        </w:rPr>
        <w:t xml:space="preserve"> </w:t>
      </w:r>
      <w:r w:rsidRPr="00A3754F">
        <w:rPr>
          <w:rFonts w:cstheme="minorHAnsi"/>
          <w:color w:val="000000"/>
          <w:szCs w:val="20"/>
        </w:rPr>
        <w:t>Práce v této pracovní skupině probíhá ve dvou liniích:</w:t>
      </w:r>
      <w:r>
        <w:rPr>
          <w:rFonts w:cstheme="minorHAnsi"/>
          <w:b/>
          <w:color w:val="000000"/>
        </w:rPr>
        <w:t xml:space="preserve"> </w:t>
      </w:r>
    </w:p>
    <w:p w14:paraId="68B1DB55" w14:textId="07E0E706" w:rsidR="00614DBB" w:rsidRPr="005849A2" w:rsidRDefault="00614DBB" w:rsidP="00614DBB">
      <w:pPr>
        <w:pStyle w:val="Odstavecseseznamem"/>
        <w:numPr>
          <w:ilvl w:val="0"/>
          <w:numId w:val="17"/>
        </w:numPr>
        <w:shd w:val="clear" w:color="auto" w:fill="FFFFFF"/>
        <w:spacing w:line="230" w:lineRule="atLeast"/>
        <w:jc w:val="both"/>
        <w:rPr>
          <w:rFonts w:ascii="Calibri" w:eastAsia="Times New Roman" w:hAnsi="Calibri" w:cs="Calibri"/>
          <w:color w:val="222222"/>
          <w:szCs w:val="20"/>
          <w:lang w:eastAsia="cs-CZ"/>
        </w:rPr>
      </w:pPr>
      <w:r w:rsidRPr="005849A2">
        <w:rPr>
          <w:rFonts w:ascii="Calibri" w:eastAsia="Times New Roman" w:hAnsi="Calibri" w:cs="Calibri"/>
          <w:color w:val="222222"/>
          <w:szCs w:val="20"/>
          <w:lang w:eastAsia="cs-CZ"/>
        </w:rPr>
        <w:t xml:space="preserve">Příprava </w:t>
      </w:r>
      <w:proofErr w:type="spellStart"/>
      <w:r w:rsidRPr="005849A2">
        <w:rPr>
          <w:rFonts w:ascii="Calibri" w:eastAsia="Times New Roman" w:hAnsi="Calibri" w:cs="Calibri"/>
          <w:color w:val="222222"/>
          <w:szCs w:val="20"/>
          <w:lang w:eastAsia="cs-CZ"/>
        </w:rPr>
        <w:t>Benchmark</w:t>
      </w:r>
      <w:proofErr w:type="spellEnd"/>
      <w:r w:rsidRPr="005849A2">
        <w:rPr>
          <w:rFonts w:ascii="Calibri" w:eastAsia="Times New Roman" w:hAnsi="Calibri" w:cs="Calibri"/>
          <w:color w:val="222222"/>
          <w:szCs w:val="20"/>
          <w:lang w:eastAsia="cs-CZ"/>
        </w:rPr>
        <w:t xml:space="preserve"> Report</w:t>
      </w:r>
      <w:r>
        <w:rPr>
          <w:rStyle w:val="Znakapoznpodarou"/>
          <w:rFonts w:ascii="Calibri" w:eastAsia="Times New Roman" w:hAnsi="Calibri" w:cs="Calibri"/>
          <w:color w:val="222222"/>
          <w:szCs w:val="20"/>
          <w:lang w:eastAsia="cs-CZ"/>
        </w:rPr>
        <w:footnoteReference w:id="2"/>
      </w:r>
      <w:r w:rsidRPr="005849A2">
        <w:rPr>
          <w:rFonts w:ascii="Calibri" w:eastAsia="Times New Roman" w:hAnsi="Calibri" w:cs="Calibri"/>
          <w:color w:val="222222"/>
          <w:szCs w:val="20"/>
          <w:lang w:eastAsia="cs-CZ"/>
        </w:rPr>
        <w:t xml:space="preserve"> - v listopadu 2020 byla zveřejněna již třetí zpráva, </w:t>
      </w:r>
      <w:r>
        <w:rPr>
          <w:rFonts w:cstheme="minorHAnsi"/>
          <w:color w:val="000000"/>
          <w:szCs w:val="20"/>
        </w:rPr>
        <w:t>která m</w:t>
      </w:r>
      <w:r w:rsidRPr="005849A2">
        <w:rPr>
          <w:rFonts w:cstheme="minorHAnsi"/>
          <w:color w:val="000000"/>
          <w:szCs w:val="20"/>
        </w:rPr>
        <w:t>onitoruje a</w:t>
      </w:r>
      <w:r w:rsidR="00277624">
        <w:t> </w:t>
      </w:r>
      <w:r w:rsidRPr="005849A2">
        <w:rPr>
          <w:rFonts w:cstheme="minorHAnsi"/>
          <w:color w:val="000000"/>
          <w:szCs w:val="20"/>
        </w:rPr>
        <w:t xml:space="preserve">přehledně zobrazuje typy programů v zapojených agenturách, jejich parametry, zaměření, způsoby financování, průměrnou výši pomoci a typy výzev v letech 2019 a 2020. </w:t>
      </w:r>
      <w:r>
        <w:rPr>
          <w:rFonts w:cstheme="minorHAnsi"/>
          <w:color w:val="000000"/>
          <w:szCs w:val="20"/>
        </w:rPr>
        <w:t xml:space="preserve">Zprávu připravily </w:t>
      </w:r>
      <w:r w:rsidRPr="005849A2">
        <w:rPr>
          <w:rFonts w:cstheme="minorHAnsi"/>
          <w:color w:val="000000"/>
          <w:szCs w:val="20"/>
        </w:rPr>
        <w:t xml:space="preserve">v letech 2019 </w:t>
      </w:r>
      <w:r w:rsidRPr="005849A2">
        <w:rPr>
          <w:rFonts w:cstheme="minorHAnsi"/>
          <w:color w:val="000000"/>
          <w:szCs w:val="20"/>
        </w:rPr>
        <w:lastRenderedPageBreak/>
        <w:t xml:space="preserve">a 2020 agentury HAMAG BICRO a TA ČR. </w:t>
      </w:r>
      <w:r w:rsidRPr="005849A2">
        <w:rPr>
          <w:rFonts w:ascii="Calibri" w:eastAsia="Times New Roman" w:hAnsi="Calibri" w:cs="Calibri"/>
          <w:color w:val="222222"/>
          <w:szCs w:val="20"/>
          <w:lang w:eastAsia="cs-CZ"/>
        </w:rPr>
        <w:t xml:space="preserve">Jednalo se </w:t>
      </w:r>
      <w:r w:rsidR="00BA57C2">
        <w:rPr>
          <w:rFonts w:ascii="Calibri" w:eastAsia="Times New Roman" w:hAnsi="Calibri" w:cs="Calibri"/>
          <w:color w:val="222222"/>
          <w:szCs w:val="20"/>
          <w:lang w:eastAsia="cs-CZ"/>
        </w:rPr>
        <w:t xml:space="preserve">o </w:t>
      </w:r>
      <w:r w:rsidRPr="005849A2">
        <w:rPr>
          <w:rFonts w:ascii="Calibri" w:eastAsia="Times New Roman" w:hAnsi="Calibri" w:cs="Calibri"/>
          <w:color w:val="222222"/>
          <w:szCs w:val="20"/>
          <w:lang w:eastAsia="cs-CZ"/>
        </w:rPr>
        <w:t>koordinaci sběru, ověřování, zpracování a analýzu údajů od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r w:rsidRPr="005849A2">
        <w:rPr>
          <w:rFonts w:ascii="Calibri" w:eastAsia="Times New Roman" w:hAnsi="Calibri" w:cs="Calibri"/>
          <w:color w:val="222222"/>
          <w:szCs w:val="20"/>
          <w:lang w:eastAsia="cs-CZ"/>
        </w:rPr>
        <w:t xml:space="preserve">18 agentur, které se do přípravy zprávy zapojily. </w:t>
      </w:r>
    </w:p>
    <w:p w14:paraId="0A384617" w14:textId="29CDCBFF" w:rsidR="00614DBB" w:rsidRPr="005849A2" w:rsidRDefault="00614DBB" w:rsidP="00614DBB">
      <w:pPr>
        <w:pStyle w:val="Odstavecseseznamem"/>
        <w:numPr>
          <w:ilvl w:val="0"/>
          <w:numId w:val="17"/>
        </w:numPr>
        <w:shd w:val="clear" w:color="auto" w:fill="FFFFFF"/>
        <w:spacing w:line="230" w:lineRule="atLeast"/>
        <w:jc w:val="both"/>
        <w:rPr>
          <w:rFonts w:ascii="Calibri" w:eastAsia="Times New Roman" w:hAnsi="Calibri" w:cs="Calibri"/>
          <w:color w:val="222222"/>
          <w:szCs w:val="20"/>
          <w:lang w:eastAsia="cs-CZ"/>
        </w:rPr>
      </w:pPr>
      <w:r w:rsidRPr="005849A2">
        <w:rPr>
          <w:rFonts w:cstheme="minorHAnsi"/>
          <w:szCs w:val="20"/>
        </w:rPr>
        <w:t xml:space="preserve">Definování a harmonizace indikátorů pro výsledky a výstupy pro členy </w:t>
      </w:r>
      <w:r w:rsidR="00200F8D">
        <w:rPr>
          <w:rFonts w:cstheme="minorHAnsi"/>
          <w:szCs w:val="20"/>
        </w:rPr>
        <w:t>TAFTIE</w:t>
      </w:r>
      <w:r w:rsidRPr="005849A2">
        <w:rPr>
          <w:rFonts w:eastAsia="Times New Roman" w:cstheme="minorHAnsi"/>
          <w:szCs w:val="20"/>
          <w:lang w:eastAsia="cs-CZ"/>
        </w:rPr>
        <w:t>. Do studie TA ČR zadává potřebné údaje společně s dalšími 17 účastníky. Nejobtížněji se definuje indikátor pro společenský dopad (</w:t>
      </w:r>
      <w:proofErr w:type="spellStart"/>
      <w:r w:rsidRPr="005849A2">
        <w:rPr>
          <w:rFonts w:eastAsia="Times New Roman" w:cstheme="minorHAnsi"/>
          <w:szCs w:val="20"/>
          <w:lang w:eastAsia="cs-CZ"/>
        </w:rPr>
        <w:t>social</w:t>
      </w:r>
      <w:proofErr w:type="spellEnd"/>
      <w:r w:rsidRPr="005849A2">
        <w:rPr>
          <w:rFonts w:eastAsia="Times New Roman" w:cstheme="minorHAnsi"/>
          <w:szCs w:val="20"/>
          <w:lang w:eastAsia="cs-CZ"/>
        </w:rPr>
        <w:t xml:space="preserve"> </w:t>
      </w:r>
      <w:proofErr w:type="spellStart"/>
      <w:r w:rsidRPr="005849A2">
        <w:rPr>
          <w:rFonts w:eastAsia="Times New Roman" w:cstheme="minorHAnsi"/>
          <w:szCs w:val="20"/>
          <w:lang w:eastAsia="cs-CZ"/>
        </w:rPr>
        <w:t>impact</w:t>
      </w:r>
      <w:proofErr w:type="spellEnd"/>
      <w:r w:rsidRPr="005849A2">
        <w:rPr>
          <w:rFonts w:eastAsia="Times New Roman" w:cstheme="minorHAnsi"/>
          <w:szCs w:val="20"/>
          <w:lang w:eastAsia="cs-CZ"/>
        </w:rPr>
        <w:t>). Cílem práce je mimo jiné usnadnit přístup agentur k datům poskytovaným například statistickými úřady.</w:t>
      </w:r>
    </w:p>
    <w:p w14:paraId="2BE59DA6" w14:textId="685886FE" w:rsidR="00614DBB" w:rsidRPr="00A3754F" w:rsidRDefault="00614DBB" w:rsidP="00614DBB">
      <w:pPr>
        <w:shd w:val="clear" w:color="auto" w:fill="FFFFFF"/>
        <w:spacing w:line="230" w:lineRule="atLeast"/>
        <w:jc w:val="both"/>
        <w:rPr>
          <w:rFonts w:ascii="Calibri" w:eastAsia="Times New Roman" w:hAnsi="Calibri" w:cs="Calibri"/>
          <w:color w:val="222222"/>
          <w:szCs w:val="20"/>
          <w:lang w:eastAsia="cs-CZ"/>
        </w:rPr>
      </w:pP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TA ČR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získala členstvím v </w:t>
      </w:r>
      <w:r w:rsidR="00200F8D">
        <w:rPr>
          <w:rFonts w:ascii="Calibri" w:eastAsia="Times New Roman" w:hAnsi="Calibri" w:cs="Calibri"/>
          <w:color w:val="222222"/>
          <w:szCs w:val="20"/>
          <w:lang w:eastAsia="cs-CZ"/>
        </w:rPr>
        <w:t>TAFTIE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přístup </w:t>
      </w:r>
      <w:r w:rsidR="00200F8D">
        <w:rPr>
          <w:rFonts w:ascii="Calibri" w:eastAsia="Times New Roman" w:hAnsi="Calibri" w:cs="Calibri"/>
          <w:color w:val="222222"/>
          <w:szCs w:val="20"/>
          <w:lang w:eastAsia="cs-CZ"/>
        </w:rPr>
        <w:t xml:space="preserve">k 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velkému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zdroji informací a 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cenných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zkušeností, které využívá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pro svůj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rozvoj 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a inspiraci při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přípravě dalších programů aplikovaného výzkumu, experimentálního vývoje a inovací. Kromě toho se aktivním zapojením do aktivit </w:t>
      </w:r>
      <w:r w:rsidR="00200F8D">
        <w:rPr>
          <w:rFonts w:ascii="Calibri" w:eastAsia="Times New Roman" w:hAnsi="Calibri" w:cs="Calibri"/>
          <w:color w:val="222222"/>
          <w:szCs w:val="20"/>
          <w:lang w:eastAsia="cs-CZ"/>
        </w:rPr>
        <w:t>TAFTIE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, včetně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pracovních skupin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>,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agentura podíl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>í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 na formování strategie budoucí podoby evropského výzkumného a inovačního prostoru a podpory konkurenceschopnosti členských zemí. 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>Z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aměstnanci 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TA ČR se účastní také vzdělávací aktivit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pořádaných tzv. Akademií TAFTIE, které účastníkům pomáhají získávat praktické znalosti a slouží k výměně zkušeností a rozvoji lidských zdrojů členských organizací sítě.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V uplynulých letech TA ČR připravila </w:t>
      </w:r>
      <w:proofErr w:type="spellStart"/>
      <w:r>
        <w:rPr>
          <w:rFonts w:ascii="Calibri" w:eastAsia="Times New Roman" w:hAnsi="Calibri" w:cs="Calibri"/>
          <w:color w:val="222222"/>
          <w:szCs w:val="20"/>
          <w:lang w:eastAsia="cs-CZ"/>
        </w:rPr>
        <w:t>Networking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Workshop na téma Finanční nástroje a </w:t>
      </w:r>
      <w:proofErr w:type="spellStart"/>
      <w:r>
        <w:rPr>
          <w:rFonts w:ascii="Calibri" w:eastAsia="Times New Roman" w:hAnsi="Calibri" w:cs="Calibri"/>
          <w:color w:val="222222"/>
          <w:szCs w:val="20"/>
          <w:lang w:eastAsia="cs-CZ"/>
        </w:rPr>
        <w:t>Networking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Workshop </w:t>
      </w:r>
      <w:proofErr w:type="spellStart"/>
      <w:r>
        <w:rPr>
          <w:rFonts w:ascii="Calibri" w:eastAsia="Times New Roman" w:hAnsi="Calibri" w:cs="Calibri"/>
          <w:color w:val="222222"/>
          <w:szCs w:val="20"/>
          <w:lang w:eastAsia="cs-CZ"/>
        </w:rPr>
        <w:t>Human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szCs w:val="20"/>
          <w:lang w:eastAsia="cs-CZ"/>
        </w:rPr>
        <w:t>Resources</w:t>
      </w:r>
      <w:proofErr w:type="spellEnd"/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. </w:t>
      </w:r>
    </w:p>
    <w:p w14:paraId="0832E581" w14:textId="6F1F53E2" w:rsidR="0032390B" w:rsidRDefault="00614DBB" w:rsidP="00614DBB">
      <w:pPr>
        <w:spacing w:line="276" w:lineRule="auto"/>
        <w:jc w:val="both"/>
      </w:pP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V roce 2017 TA ČR upevnila coby předsedající agentura </w:t>
      </w:r>
      <w:r w:rsidR="00200F8D">
        <w:rPr>
          <w:rFonts w:ascii="Calibri" w:eastAsia="Times New Roman" w:hAnsi="Calibri" w:cs="Calibri"/>
          <w:color w:val="222222"/>
          <w:szCs w:val="20"/>
          <w:lang w:eastAsia="cs-CZ"/>
        </w:rPr>
        <w:t>TAFTIE</w:t>
      </w:r>
      <w:r>
        <w:rPr>
          <w:rFonts w:ascii="Calibri" w:eastAsia="Times New Roman" w:hAnsi="Calibri" w:cs="Calibri"/>
          <w:color w:val="222222"/>
          <w:szCs w:val="20"/>
          <w:lang w:eastAsia="cs-CZ"/>
        </w:rPr>
        <w:t xml:space="preserve"> 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 xml:space="preserve">své postavení aktivního člena v síti evropských inovačních agentur </w:t>
      </w:r>
      <w:r w:rsidR="00200F8D">
        <w:rPr>
          <w:rFonts w:ascii="Calibri" w:eastAsia="Times New Roman" w:hAnsi="Calibri" w:cs="Calibri"/>
          <w:color w:val="222222"/>
          <w:szCs w:val="20"/>
          <w:lang w:eastAsia="cs-CZ"/>
        </w:rPr>
        <w:t>TAFTIE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. Úspěšné zvládnutí předsednictví přispělo k posílení pozitivního obrazu TA</w:t>
      </w:r>
      <w:r w:rsidR="00F574F0">
        <w:t> 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ČR a</w:t>
      </w:r>
      <w:r w:rsidR="00277624">
        <w:t> 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obecně i České republiky na mezinárodním poli. V následujících letech TA ČR podpořila komunikaci agentur s</w:t>
      </w:r>
      <w:r w:rsidR="00277624">
        <w:t> </w:t>
      </w:r>
      <w:r w:rsidRPr="00A3754F">
        <w:rPr>
          <w:rFonts w:ascii="Calibri" w:eastAsia="Times New Roman" w:hAnsi="Calibri" w:cs="Calibri"/>
          <w:color w:val="222222"/>
          <w:szCs w:val="20"/>
          <w:lang w:eastAsia="cs-CZ"/>
        </w:rPr>
        <w:t>Evropskou komisí a dalšími evropskými partnery a aktivní zapojení agentur TAFTIE do procesu připomínkování nového programovacího období po roce 2020 (9. Rámcový program pro výzkum a vývoj) a do příprav Evropské inovační rady (EIC).</w:t>
      </w:r>
    </w:p>
    <w:p w14:paraId="582C4B7A" w14:textId="36586FEC" w:rsidR="0002768A" w:rsidRDefault="0002768A" w:rsidP="00E813F7">
      <w:pPr>
        <w:spacing w:line="276" w:lineRule="auto"/>
        <w:jc w:val="both"/>
      </w:pPr>
    </w:p>
    <w:p w14:paraId="4E0429FE" w14:textId="6BB684D4" w:rsidR="00564351" w:rsidRPr="00AE673C" w:rsidRDefault="0002768A" w:rsidP="00AE673C">
      <w:pPr>
        <w:pStyle w:val="Nadpis2"/>
      </w:pPr>
      <w:bookmarkStart w:id="10" w:name="_Toc66366427"/>
      <w:r>
        <w:t xml:space="preserve">Evaluační </w:t>
      </w:r>
      <w:r w:rsidR="00FF5F00">
        <w:t xml:space="preserve">a analytická </w:t>
      </w:r>
      <w:r>
        <w:t>činnost TA ČR</w:t>
      </w:r>
      <w:bookmarkEnd w:id="10"/>
    </w:p>
    <w:p w14:paraId="512745DE" w14:textId="68A7D954" w:rsidR="0002768A" w:rsidRPr="00DD6D66" w:rsidRDefault="0002768A" w:rsidP="0002768A">
      <w:pPr>
        <w:spacing w:after="0" w:line="276" w:lineRule="auto"/>
        <w:jc w:val="both"/>
        <w:rPr>
          <w:rFonts w:eastAsia="Cambria" w:cstheme="minorHAnsi"/>
          <w:color w:val="000000"/>
        </w:rPr>
      </w:pPr>
      <w:r w:rsidRPr="00DD6D66">
        <w:rPr>
          <w:rFonts w:eastAsia="Cambria" w:cstheme="minorHAnsi"/>
        </w:rPr>
        <w:t xml:space="preserve">Technologická agentura České republiky (TA ČR) považuje </w:t>
      </w:r>
      <w:r w:rsidR="00564351">
        <w:rPr>
          <w:rFonts w:eastAsia="Cambria" w:cstheme="minorHAnsi"/>
        </w:rPr>
        <w:t xml:space="preserve">analýzy a </w:t>
      </w:r>
      <w:r w:rsidRPr="00DD6D66">
        <w:rPr>
          <w:rFonts w:eastAsia="Cambria" w:cstheme="minorHAnsi"/>
        </w:rPr>
        <w:t>evaluace z</w:t>
      </w:r>
      <w:r>
        <w:rPr>
          <w:rFonts w:eastAsia="Cambria" w:cstheme="minorHAnsi"/>
        </w:rPr>
        <w:t>a</w:t>
      </w:r>
      <w:r w:rsidRPr="00DD6D66">
        <w:rPr>
          <w:rFonts w:eastAsia="Cambria" w:cstheme="minorHAnsi"/>
        </w:rPr>
        <w:t xml:space="preserve"> klíčový nástroj řízení programů</w:t>
      </w:r>
      <w:r w:rsidR="00155D1A">
        <w:rPr>
          <w:rFonts w:eastAsia="Cambria" w:cstheme="minorHAnsi"/>
        </w:rPr>
        <w:t xml:space="preserve">. </w:t>
      </w:r>
      <w:r w:rsidRPr="00DD6D66">
        <w:rPr>
          <w:rFonts w:eastAsia="Cambria" w:cstheme="minorHAnsi"/>
        </w:rPr>
        <w:t>Realizované evaluace, tvorba metodických dokumentů a hledání nových metodologických přístupů obohacují prováděné ex-ante hodnocení při přípravě návrhu programu, průběžné hodnocení v průběhu implementace programu a závěrečné hodnocení po jeho skončení. TA ČR tak nejen</w:t>
      </w:r>
      <w:r w:rsidRPr="00DD6D66">
        <w:rPr>
          <w:rFonts w:eastAsia="Cambria" w:cstheme="minorHAnsi"/>
          <w:color w:val="000000"/>
        </w:rPr>
        <w:t xml:space="preserve"> dlouhodo</w:t>
      </w:r>
      <w:r w:rsidRPr="00DD6D66">
        <w:rPr>
          <w:rFonts w:eastAsia="Cambria" w:cstheme="minorHAnsi"/>
        </w:rPr>
        <w:t>b</w:t>
      </w:r>
      <w:r w:rsidRPr="00DD6D66">
        <w:rPr>
          <w:rFonts w:eastAsia="Cambria" w:cstheme="minorHAnsi"/>
          <w:color w:val="000000"/>
        </w:rPr>
        <w:t>ě realizuje hodnocení všech svých programů účelové podpory</w:t>
      </w:r>
      <w:r w:rsidRPr="00DD6D66">
        <w:rPr>
          <w:rFonts w:eastAsia="Cambria" w:cstheme="minorHAnsi"/>
        </w:rPr>
        <w:t xml:space="preserve"> na základě dobré mezinárodní praxe, ale aktivně spoluvytváří evaluační prostředí Česka.</w:t>
      </w:r>
    </w:p>
    <w:p w14:paraId="00BEA7AA" w14:textId="77777777" w:rsidR="00200F8D" w:rsidRDefault="00200F8D" w:rsidP="0002768A">
      <w:pPr>
        <w:spacing w:after="0" w:line="276" w:lineRule="auto"/>
        <w:jc w:val="both"/>
        <w:rPr>
          <w:rFonts w:eastAsia="Cambria" w:cstheme="minorHAnsi"/>
          <w:color w:val="000000"/>
        </w:rPr>
      </w:pPr>
    </w:p>
    <w:p w14:paraId="6AB02811" w14:textId="31195CC6" w:rsidR="0002768A" w:rsidRDefault="0002768A" w:rsidP="0002768A">
      <w:pPr>
        <w:spacing w:after="0" w:line="276" w:lineRule="auto"/>
        <w:jc w:val="both"/>
        <w:rPr>
          <w:rFonts w:eastAsia="Cambria" w:cstheme="minorHAnsi"/>
        </w:rPr>
      </w:pPr>
      <w:r w:rsidRPr="00DD6D66">
        <w:rPr>
          <w:rFonts w:eastAsia="Cambria" w:cstheme="minorHAnsi"/>
          <w:color w:val="000000"/>
        </w:rPr>
        <w:t>Výstupem každé</w:t>
      </w:r>
      <w:r w:rsidR="00564351">
        <w:rPr>
          <w:rFonts w:eastAsia="Cambria" w:cstheme="minorHAnsi"/>
          <w:color w:val="000000"/>
        </w:rPr>
        <w:t xml:space="preserve"> evaluace</w:t>
      </w:r>
      <w:r w:rsidRPr="00DD6D66">
        <w:rPr>
          <w:rFonts w:eastAsia="Cambria" w:cstheme="minorHAnsi"/>
          <w:color w:val="000000"/>
        </w:rPr>
        <w:t xml:space="preserve"> je závěrečná zpráva, </w:t>
      </w:r>
      <w:r w:rsidRPr="00DD6D66">
        <w:rPr>
          <w:rFonts w:eastAsia="Cambria" w:cstheme="minorHAnsi"/>
        </w:rPr>
        <w:t xml:space="preserve">která shrnuje hlavní </w:t>
      </w:r>
      <w:r w:rsidRPr="00DD6D66">
        <w:rPr>
          <w:rFonts w:eastAsia="Cambria" w:cstheme="minorHAnsi"/>
          <w:color w:val="000000"/>
        </w:rPr>
        <w:t xml:space="preserve">závěry a doporučení, které vedou ke zlepšení </w:t>
      </w:r>
      <w:r w:rsidRPr="00DD6D66">
        <w:rPr>
          <w:rFonts w:eastAsia="Cambria" w:cstheme="minorHAnsi"/>
        </w:rPr>
        <w:t xml:space="preserve">hodnoceného </w:t>
      </w:r>
      <w:r w:rsidRPr="00DD6D66">
        <w:rPr>
          <w:rFonts w:eastAsia="Cambria" w:cstheme="minorHAnsi"/>
          <w:color w:val="000000"/>
        </w:rPr>
        <w:t xml:space="preserve">programu a průběhu jeho realizace, ale také obsahuje doporučení pro programy </w:t>
      </w:r>
      <w:r w:rsidRPr="00DD6D66">
        <w:rPr>
          <w:rFonts w:eastAsia="Cambria" w:cstheme="minorHAnsi"/>
        </w:rPr>
        <w:t>ostatní a další aktivity poskytovatele</w:t>
      </w:r>
      <w:r w:rsidRPr="00DD6D66">
        <w:rPr>
          <w:rFonts w:eastAsia="Cambria" w:cstheme="minorHAnsi"/>
          <w:color w:val="000000"/>
        </w:rPr>
        <w:t>. Vše</w:t>
      </w:r>
      <w:r w:rsidRPr="00DD6D66">
        <w:rPr>
          <w:rFonts w:eastAsia="Cambria" w:cstheme="minorHAnsi"/>
        </w:rPr>
        <w:t>chny provedené evaluace jsou následně zveřej</w:t>
      </w:r>
      <w:r>
        <w:rPr>
          <w:rFonts w:eastAsia="Cambria" w:cstheme="minorHAnsi"/>
        </w:rPr>
        <w:t>ňovány na webových stránkách TA ČR</w:t>
      </w:r>
      <w:r w:rsidRPr="00DD6D66">
        <w:rPr>
          <w:rFonts w:eastAsia="Cambria" w:cstheme="minorHAnsi"/>
        </w:rPr>
        <w:t>.</w:t>
      </w:r>
    </w:p>
    <w:p w14:paraId="5FA3FEA1" w14:textId="77777777" w:rsidR="00564351" w:rsidRDefault="00564351" w:rsidP="00564351">
      <w:pPr>
        <w:spacing w:after="0" w:line="276" w:lineRule="auto"/>
        <w:jc w:val="both"/>
      </w:pPr>
    </w:p>
    <w:p w14:paraId="02FE0CE4" w14:textId="78805190" w:rsidR="0002768A" w:rsidRPr="00DD6D66" w:rsidRDefault="00564351" w:rsidP="0002768A">
      <w:pPr>
        <w:spacing w:after="0" w:line="276" w:lineRule="auto"/>
        <w:jc w:val="both"/>
        <w:rPr>
          <w:rFonts w:eastAsia="Cambria" w:cstheme="minorHAnsi"/>
          <w:color w:val="000000"/>
        </w:rPr>
      </w:pPr>
      <w:r>
        <w:t>Od svého založení TA ČR systematicky využívá dat a informací nejen pro svou činnost, ale také v rámci spolupráce s ostatními resorty a pro informování veřejnosti. TA ČR pravidelně zveřejňuje výsledky analytické činnosti a</w:t>
      </w:r>
      <w:r w:rsidR="00277624">
        <w:t> </w:t>
      </w:r>
      <w:r>
        <w:t>evaluací programů, které implementuje. S ohledem na povahu informací (např. obchodní tajemství), které</w:t>
      </w:r>
      <w:r w:rsidR="00F574F0">
        <w:t> </w:t>
      </w:r>
      <w:r>
        <w:t>TA</w:t>
      </w:r>
      <w:r w:rsidR="00F574F0">
        <w:t> </w:t>
      </w:r>
      <w:r>
        <w:t>ČR spravuje, jsou některé analýzy proveditelné prakticky pouze TA ČR.</w:t>
      </w:r>
    </w:p>
    <w:p w14:paraId="0772C0A4" w14:textId="77777777" w:rsidR="00C56BE9" w:rsidRDefault="00C56BE9" w:rsidP="0002768A">
      <w:pPr>
        <w:spacing w:after="0" w:line="276" w:lineRule="auto"/>
        <w:jc w:val="both"/>
        <w:rPr>
          <w:rFonts w:eastAsia="Cambria" w:cstheme="minorHAnsi"/>
          <w:color w:val="000000"/>
        </w:rPr>
      </w:pPr>
    </w:p>
    <w:p w14:paraId="73332C38" w14:textId="5029EE18" w:rsidR="0002768A" w:rsidRPr="00DD6D66" w:rsidRDefault="0002768A" w:rsidP="0002768A">
      <w:pPr>
        <w:spacing w:after="0" w:line="276" w:lineRule="auto"/>
        <w:jc w:val="both"/>
        <w:rPr>
          <w:rFonts w:eastAsia="Cambria" w:cstheme="minorHAnsi"/>
          <w:color w:val="000000"/>
        </w:rPr>
      </w:pPr>
      <w:r w:rsidRPr="00155D1A">
        <w:rPr>
          <w:rFonts w:eastAsia="Cambria" w:cstheme="minorHAnsi"/>
          <w:b/>
          <w:color w:val="000000"/>
        </w:rPr>
        <w:t>Průběžná evaluace programu ALFA</w:t>
      </w:r>
      <w:r w:rsidRPr="00DD6D66">
        <w:rPr>
          <w:rFonts w:eastAsia="Cambria" w:cstheme="minorHAnsi"/>
          <w:color w:val="000000"/>
        </w:rPr>
        <w:t xml:space="preserve"> doposud představuje nejrozsáhlejší hodnocení, které TA ČR v rámci svých programů uskutečnila. Hlavním cílem průběžného hodnocení </w:t>
      </w:r>
      <w:r w:rsidRPr="00DD6D66">
        <w:rPr>
          <w:rFonts w:eastAsia="Cambria" w:cstheme="minorHAnsi"/>
        </w:rPr>
        <w:t>p</w:t>
      </w:r>
      <w:r w:rsidRPr="00DD6D66">
        <w:rPr>
          <w:rFonts w:eastAsia="Cambria" w:cstheme="minorHAnsi"/>
          <w:color w:val="000000"/>
        </w:rPr>
        <w:t>rogramu bylo vyhodnotit jeho nastavení a</w:t>
      </w:r>
      <w:r w:rsidR="00277624">
        <w:t> </w:t>
      </w:r>
      <w:r w:rsidRPr="00DD6D66">
        <w:rPr>
          <w:rFonts w:eastAsia="Cambria" w:cstheme="minorHAnsi"/>
          <w:color w:val="000000"/>
        </w:rPr>
        <w:t>realizaci, zjistit, jaké jsou jeho dosavadní přínosy, a zároveň dát doporučení pro realizaci navazujícího programu EPSILON.</w:t>
      </w:r>
    </w:p>
    <w:p w14:paraId="4F758215" w14:textId="77777777" w:rsidR="00200F8D" w:rsidRDefault="00200F8D" w:rsidP="0002768A">
      <w:pPr>
        <w:spacing w:after="0" w:line="276" w:lineRule="auto"/>
        <w:jc w:val="both"/>
        <w:rPr>
          <w:rFonts w:eastAsia="Cambria" w:cstheme="minorHAnsi"/>
        </w:rPr>
      </w:pPr>
    </w:p>
    <w:p w14:paraId="0D34504A" w14:textId="17911CE7" w:rsidR="0002768A" w:rsidRPr="00DD6D66" w:rsidRDefault="0002768A" w:rsidP="0002768A">
      <w:pPr>
        <w:spacing w:after="0" w:line="276" w:lineRule="auto"/>
        <w:jc w:val="both"/>
        <w:rPr>
          <w:rFonts w:eastAsia="Cambria" w:cstheme="minorHAnsi"/>
        </w:rPr>
      </w:pPr>
      <w:r w:rsidRPr="00DD6D66">
        <w:rPr>
          <w:rFonts w:eastAsia="Cambria" w:cstheme="minorHAnsi"/>
        </w:rPr>
        <w:t xml:space="preserve">Pro evaluační praxi v rámci TA ČR byla tato evaluace jedinečná a velmi přínosná. Byla zde poprvé využita metoda </w:t>
      </w:r>
      <w:proofErr w:type="spellStart"/>
      <w:r w:rsidRPr="00DD6D66">
        <w:rPr>
          <w:rFonts w:eastAsia="Cambria" w:cstheme="minorHAnsi"/>
        </w:rPr>
        <w:t>Outcome</w:t>
      </w:r>
      <w:proofErr w:type="spellEnd"/>
      <w:r w:rsidRPr="00DD6D66">
        <w:rPr>
          <w:rFonts w:eastAsia="Cambria" w:cstheme="minorHAnsi"/>
        </w:rPr>
        <w:t xml:space="preserve"> </w:t>
      </w:r>
      <w:proofErr w:type="spellStart"/>
      <w:r w:rsidRPr="00DD6D66">
        <w:rPr>
          <w:rFonts w:eastAsia="Cambria" w:cstheme="minorHAnsi"/>
        </w:rPr>
        <w:t>Harvesting</w:t>
      </w:r>
      <w:proofErr w:type="spellEnd"/>
      <w:r w:rsidR="00C16072">
        <w:rPr>
          <w:rStyle w:val="Znakapoznpodarou"/>
          <w:rFonts w:eastAsia="Cambria" w:cstheme="minorHAnsi"/>
        </w:rPr>
        <w:footnoteReference w:id="3"/>
      </w:r>
      <w:r w:rsidRPr="00DD6D66">
        <w:rPr>
          <w:rFonts w:eastAsia="Cambria" w:cstheme="minorHAnsi"/>
        </w:rPr>
        <w:t xml:space="preserve"> a </w:t>
      </w:r>
      <w:proofErr w:type="spellStart"/>
      <w:r w:rsidRPr="00DD6D66">
        <w:rPr>
          <w:rFonts w:eastAsia="Cambria" w:cstheme="minorHAnsi"/>
        </w:rPr>
        <w:t>kontrafaktuální</w:t>
      </w:r>
      <w:proofErr w:type="spellEnd"/>
      <w:r w:rsidRPr="00DD6D66">
        <w:rPr>
          <w:rFonts w:eastAsia="Cambria" w:cstheme="minorHAnsi"/>
        </w:rPr>
        <w:t xml:space="preserve"> analýza</w:t>
      </w:r>
      <w:r w:rsidR="00C16072">
        <w:rPr>
          <w:rStyle w:val="Znakapoznpodarou"/>
          <w:rFonts w:eastAsia="Cambria" w:cstheme="minorHAnsi"/>
        </w:rPr>
        <w:footnoteReference w:id="4"/>
      </w:r>
      <w:r w:rsidRPr="00DD6D66">
        <w:rPr>
          <w:rFonts w:eastAsia="Cambria" w:cstheme="minorHAnsi"/>
        </w:rPr>
        <w:t xml:space="preserve">. Provedené hodnocení rovněž bylo velkým vstupem pro </w:t>
      </w:r>
      <w:r w:rsidRPr="00DD6D66">
        <w:rPr>
          <w:rFonts w:eastAsia="Cambria" w:cstheme="minorHAnsi"/>
        </w:rPr>
        <w:lastRenderedPageBreak/>
        <w:t xml:space="preserve">vznikající Metodiku </w:t>
      </w:r>
      <w:proofErr w:type="spellStart"/>
      <w:r w:rsidRPr="00DD6D66">
        <w:rPr>
          <w:rFonts w:eastAsia="Cambria" w:cstheme="minorHAnsi"/>
        </w:rPr>
        <w:t>ProEval</w:t>
      </w:r>
      <w:proofErr w:type="spellEnd"/>
      <w:r w:rsidRPr="00DD6D66">
        <w:rPr>
          <w:rFonts w:eastAsia="Cambria" w:cstheme="minorHAnsi"/>
        </w:rPr>
        <w:t>.</w:t>
      </w:r>
      <w:r w:rsidRPr="00DD6D66">
        <w:rPr>
          <w:rFonts w:eastAsia="Roboto" w:cstheme="minorHAnsi"/>
          <w:szCs w:val="20"/>
        </w:rPr>
        <w:t xml:space="preserve"> </w:t>
      </w:r>
      <w:r w:rsidRPr="00DD6D66">
        <w:rPr>
          <w:rFonts w:eastAsia="Cambria" w:cstheme="minorHAnsi"/>
        </w:rPr>
        <w:t>Zástupci TA ČR prezentovali zkušenosti z této evaluace na konferenci Evaluační jednotky N</w:t>
      </w:r>
      <w:r w:rsidR="008532D1">
        <w:rPr>
          <w:rFonts w:eastAsia="Cambria" w:cstheme="minorHAnsi"/>
        </w:rPr>
        <w:t>árodního orgánu pro koordinaci</w:t>
      </w:r>
      <w:r w:rsidRPr="00DD6D66">
        <w:rPr>
          <w:rFonts w:eastAsia="Cambria" w:cstheme="minorHAnsi"/>
        </w:rPr>
        <w:t xml:space="preserve"> (EJ NOK) a také zástupcům </w:t>
      </w:r>
      <w:r w:rsidR="00C56BE9">
        <w:rPr>
          <w:rFonts w:eastAsia="Cambria" w:cstheme="minorHAnsi"/>
        </w:rPr>
        <w:t>Rady vlády pro výzkum, vývoj a inovace (</w:t>
      </w:r>
      <w:r w:rsidRPr="00DD6D66">
        <w:rPr>
          <w:rFonts w:eastAsia="Cambria" w:cstheme="minorHAnsi"/>
        </w:rPr>
        <w:t>RVVI</w:t>
      </w:r>
      <w:r w:rsidR="00C56BE9">
        <w:rPr>
          <w:rFonts w:eastAsia="Cambria" w:cstheme="minorHAnsi"/>
        </w:rPr>
        <w:t>)</w:t>
      </w:r>
      <w:r w:rsidRPr="00DD6D66">
        <w:rPr>
          <w:rFonts w:eastAsia="Cambria" w:cstheme="minorHAnsi"/>
        </w:rPr>
        <w:t xml:space="preserve">. </w:t>
      </w:r>
    </w:p>
    <w:p w14:paraId="2AF8E8BF" w14:textId="77777777" w:rsidR="0002768A" w:rsidRPr="00DD6D66" w:rsidRDefault="0002768A" w:rsidP="0002768A">
      <w:pPr>
        <w:spacing w:after="0" w:line="276" w:lineRule="auto"/>
        <w:jc w:val="both"/>
        <w:rPr>
          <w:rFonts w:eastAsia="Cambria" w:cstheme="minorHAnsi"/>
        </w:rPr>
      </w:pPr>
    </w:p>
    <w:p w14:paraId="37E1561E" w14:textId="6A1352AF" w:rsidR="0002768A" w:rsidRPr="00DD6D66" w:rsidRDefault="0002768A" w:rsidP="000276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theme="minorHAnsi"/>
        </w:rPr>
      </w:pPr>
      <w:r w:rsidRPr="00DD6D66">
        <w:rPr>
          <w:rFonts w:eastAsia="Cambria" w:cstheme="minorHAnsi"/>
          <w:color w:val="000000"/>
        </w:rPr>
        <w:t xml:space="preserve">Závěrem roku 2019 byla dokončena </w:t>
      </w:r>
      <w:r w:rsidRPr="00155D1A">
        <w:rPr>
          <w:rFonts w:eastAsia="Cambria" w:cstheme="minorHAnsi"/>
          <w:b/>
          <w:color w:val="000000"/>
        </w:rPr>
        <w:t>průběžná evaluace programu ÉTA.</w:t>
      </w:r>
      <w:r w:rsidRPr="00DD6D66">
        <w:rPr>
          <w:rFonts w:eastAsia="Cambria" w:cstheme="minorHAnsi"/>
          <w:color w:val="000000"/>
        </w:rPr>
        <w:t xml:space="preserve"> Tato evaluace identifikuje riziková a</w:t>
      </w:r>
      <w:r w:rsidR="00277624">
        <w:t> </w:t>
      </w:r>
      <w:r w:rsidRPr="00DD6D66">
        <w:rPr>
          <w:rFonts w:eastAsia="Cambria" w:cstheme="minorHAnsi"/>
          <w:color w:val="000000"/>
        </w:rPr>
        <w:t>současně efektivní místa programu v průběhu jeho implementace.</w:t>
      </w:r>
      <w:r w:rsidRPr="00DD6D66">
        <w:rPr>
          <w:rFonts w:eastAsia="Times New Roman" w:cstheme="minorHAnsi"/>
          <w:sz w:val="24"/>
          <w:szCs w:val="24"/>
        </w:rPr>
        <w:t xml:space="preserve"> </w:t>
      </w:r>
      <w:r w:rsidRPr="00DD6D66">
        <w:rPr>
          <w:rFonts w:eastAsia="Cambria" w:cstheme="minorHAnsi"/>
        </w:rPr>
        <w:t xml:space="preserve">Výsledky hodnocení přinesly důležité změny do dalšího fungování programu. Byl zaveden nový odborný oponentský posudek zaměřený speciálně na oblast </w:t>
      </w:r>
      <w:r w:rsidR="008532D1">
        <w:rPr>
          <w:rFonts w:eastAsia="Cambria" w:cstheme="minorHAnsi"/>
        </w:rPr>
        <w:t>společenských, humanitních a uměleckých věd (</w:t>
      </w:r>
      <w:r w:rsidRPr="00DD6D66">
        <w:rPr>
          <w:rFonts w:eastAsia="Cambria" w:cstheme="minorHAnsi"/>
        </w:rPr>
        <w:t>SHUV</w:t>
      </w:r>
      <w:r w:rsidR="008532D1">
        <w:rPr>
          <w:rFonts w:eastAsia="Cambria" w:cstheme="minorHAnsi"/>
        </w:rPr>
        <w:t>)</w:t>
      </w:r>
      <w:r w:rsidRPr="00DD6D66">
        <w:rPr>
          <w:rFonts w:eastAsia="Cambria" w:cstheme="minorHAnsi"/>
        </w:rPr>
        <w:t>, byla upravena přihláška do soutěží a upraven byl i proces hodnocení projektů pro následující veřejné soutěže.</w:t>
      </w:r>
    </w:p>
    <w:p w14:paraId="5AB18654" w14:textId="19A86E03" w:rsidR="0002768A" w:rsidRPr="00DD6D66" w:rsidRDefault="0002768A" w:rsidP="0002768A">
      <w:pPr>
        <w:spacing w:before="240" w:after="240" w:line="276" w:lineRule="auto"/>
        <w:jc w:val="both"/>
        <w:rPr>
          <w:rFonts w:eastAsia="Cambria" w:cstheme="minorHAnsi"/>
          <w:color w:val="000000"/>
        </w:rPr>
      </w:pPr>
      <w:r w:rsidRPr="00DD6D66">
        <w:rPr>
          <w:rFonts w:eastAsia="Cambria" w:cstheme="minorHAnsi"/>
          <w:color w:val="000000"/>
        </w:rPr>
        <w:t>V průběhu roku 2019 byly dále realizov</w:t>
      </w:r>
      <w:r w:rsidRPr="00DD6D66">
        <w:rPr>
          <w:rFonts w:eastAsia="Cambria" w:cstheme="minorHAnsi"/>
        </w:rPr>
        <w:t>á</w:t>
      </w:r>
      <w:r w:rsidRPr="00DD6D66">
        <w:rPr>
          <w:rFonts w:eastAsia="Cambria" w:cstheme="minorHAnsi"/>
          <w:color w:val="000000"/>
        </w:rPr>
        <w:t>n</w:t>
      </w:r>
      <w:r w:rsidRPr="00DD6D66">
        <w:rPr>
          <w:rFonts w:eastAsia="Cambria" w:cstheme="minorHAnsi"/>
        </w:rPr>
        <w:t>y</w:t>
      </w:r>
      <w:r w:rsidRPr="00DD6D66">
        <w:rPr>
          <w:rFonts w:eastAsia="Cambria" w:cstheme="minorHAnsi"/>
          <w:color w:val="000000"/>
        </w:rPr>
        <w:t xml:space="preserve"> dvě </w:t>
      </w:r>
      <w:r w:rsidRPr="00155D1A">
        <w:rPr>
          <w:rFonts w:eastAsia="Cambria" w:cstheme="minorHAnsi"/>
          <w:b/>
          <w:color w:val="000000"/>
        </w:rPr>
        <w:t>závěrečné evaluace, a to programu BETA a programu OMEGA.</w:t>
      </w:r>
      <w:r w:rsidRPr="00DD6D66">
        <w:rPr>
          <w:rFonts w:eastAsia="Cambria" w:cstheme="minorHAnsi"/>
          <w:color w:val="000000"/>
        </w:rPr>
        <w:t xml:space="preserve"> Cílem hodnocení programu BETA bylo předevší</w:t>
      </w:r>
      <w:r w:rsidRPr="00DD6D66">
        <w:rPr>
          <w:rFonts w:eastAsia="Cambria" w:cstheme="minorHAnsi"/>
        </w:rPr>
        <w:t xml:space="preserve">m </w:t>
      </w:r>
      <w:r w:rsidRPr="00DD6D66">
        <w:rPr>
          <w:rFonts w:eastAsia="Cambria" w:cstheme="minorHAnsi"/>
          <w:color w:val="000000"/>
        </w:rPr>
        <w:t xml:space="preserve">posoudit splnění cílů a dosažených přínosů programu. Z evaluace vyplynulo, že </w:t>
      </w:r>
      <w:r w:rsidRPr="00DD6D66">
        <w:rPr>
          <w:rFonts w:eastAsia="Cambria" w:cstheme="minorHAnsi"/>
        </w:rPr>
        <w:t>program je uživateli, tedy primárně jednotlivými ústředními orgány státní správy</w:t>
      </w:r>
      <w:r w:rsidR="009563B0">
        <w:rPr>
          <w:rFonts w:eastAsia="Cambria" w:cstheme="minorHAnsi"/>
        </w:rPr>
        <w:t>,</w:t>
      </w:r>
      <w:r w:rsidRPr="00DD6D66">
        <w:rPr>
          <w:rFonts w:eastAsia="Cambria" w:cstheme="minorHAnsi"/>
        </w:rPr>
        <w:t xml:space="preserve"> považován za potřebný a přínosy za nezanedbatelné. </w:t>
      </w:r>
    </w:p>
    <w:p w14:paraId="677B1EA7" w14:textId="06BE00E1" w:rsidR="0002768A" w:rsidRPr="00DD6D66" w:rsidRDefault="0002768A" w:rsidP="0002768A">
      <w:pPr>
        <w:spacing w:after="0" w:line="276" w:lineRule="auto"/>
        <w:jc w:val="both"/>
        <w:rPr>
          <w:rFonts w:eastAsia="Cambria" w:cstheme="minorHAnsi"/>
          <w:color w:val="000000"/>
        </w:rPr>
      </w:pPr>
      <w:r w:rsidRPr="00DD6D66">
        <w:rPr>
          <w:rFonts w:eastAsia="Cambria" w:cstheme="minorHAnsi"/>
          <w:color w:val="000000"/>
        </w:rPr>
        <w:t xml:space="preserve">Cílem ex-post evaluace programu OMEGA bylo vyhodnotit relevanci a potřebnost programu </w:t>
      </w:r>
      <w:r w:rsidRPr="00DD6D66">
        <w:rPr>
          <w:rFonts w:eastAsia="Cambria" w:cstheme="minorHAnsi"/>
        </w:rPr>
        <w:t>na podporu společenskovědního výzkumu</w:t>
      </w:r>
      <w:r w:rsidRPr="00DD6D66">
        <w:rPr>
          <w:rFonts w:eastAsia="Cambria" w:cstheme="minorHAnsi"/>
          <w:color w:val="000000"/>
        </w:rPr>
        <w:t xml:space="preserve"> OMEGA pro české prostředí </w:t>
      </w:r>
      <w:r w:rsidRPr="00DD6D66">
        <w:rPr>
          <w:rFonts w:eastAsia="Cambria" w:cstheme="minorHAnsi"/>
        </w:rPr>
        <w:t xml:space="preserve">a </w:t>
      </w:r>
      <w:r w:rsidRPr="00DD6D66">
        <w:rPr>
          <w:rFonts w:eastAsia="Cambria" w:cstheme="minorHAnsi"/>
          <w:color w:val="000000"/>
        </w:rPr>
        <w:t>zároveň jeho efektivitu. Mezi hlavní závěry této evaluace patřilo zjištění, že je program OMEGA vnímán jako stavební kámen podpory aplikovaného výzkumu ve</w:t>
      </w:r>
      <w:r w:rsidR="00F574F0">
        <w:t> </w:t>
      </w:r>
      <w:r w:rsidRPr="00DD6D66">
        <w:rPr>
          <w:rFonts w:eastAsia="Cambria" w:cstheme="minorHAnsi"/>
          <w:color w:val="000000"/>
        </w:rPr>
        <w:t xml:space="preserve">společenských a humanitních vědách, na nějž mohl úspěšně navázat již zmiňovaný program ÉTA, a jako takový měl průkopnický a edukativní význam jak pro </w:t>
      </w:r>
      <w:r w:rsidRPr="00DD6D66">
        <w:rPr>
          <w:rFonts w:eastAsia="Cambria" w:cstheme="minorHAnsi"/>
        </w:rPr>
        <w:t>řešitele, tak pro poskytovatele</w:t>
      </w:r>
      <w:r w:rsidRPr="00DD6D66">
        <w:rPr>
          <w:rFonts w:eastAsia="Cambria" w:cstheme="minorHAnsi"/>
          <w:color w:val="000000"/>
        </w:rPr>
        <w:t>.</w:t>
      </w:r>
    </w:p>
    <w:p w14:paraId="7953DA36" w14:textId="77777777" w:rsidR="0002768A" w:rsidRPr="00DD6D66" w:rsidRDefault="0002768A" w:rsidP="000276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theme="minorHAnsi"/>
        </w:rPr>
      </w:pPr>
    </w:p>
    <w:p w14:paraId="20E738E3" w14:textId="7215C20D" w:rsidR="0002768A" w:rsidRPr="00DD6D66" w:rsidRDefault="0002768A" w:rsidP="000276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theme="minorHAnsi"/>
        </w:rPr>
      </w:pPr>
      <w:r w:rsidRPr="00DD6D66">
        <w:rPr>
          <w:rFonts w:eastAsia="Cambria" w:cstheme="minorHAnsi"/>
        </w:rPr>
        <w:t>Obě výše zmiňovaná závěrečná hodnocení byla zadána externímu zpracovateli prostřednictvím veřejné zakázky. Evaluačnímu týmu v rámci TA ČR tak realizace těchto evaluací přinesla zkušenost s řízením veřejných zakázek a</w:t>
      </w:r>
      <w:r w:rsidR="00277624">
        <w:t> </w:t>
      </w:r>
      <w:r w:rsidRPr="00DD6D66">
        <w:rPr>
          <w:rFonts w:eastAsia="Cambria" w:cstheme="minorHAnsi"/>
        </w:rPr>
        <w:t>zkušenost s koordinací a komunikací s externím dodavatelem, a to nejen při zadávání evaluace, ale i po celou dobu její realizace a akceptaci výstupů evaluace. Tyto evaluace přinesly taktéž řadu metodických poznatků, které</w:t>
      </w:r>
      <w:r w:rsidR="00F574F0">
        <w:t> </w:t>
      </w:r>
      <w:r w:rsidRPr="00DD6D66">
        <w:rPr>
          <w:rFonts w:eastAsia="Cambria" w:cstheme="minorHAnsi"/>
        </w:rPr>
        <w:t>jsou TA ČR využívány při realizaci interních evaluací.</w:t>
      </w:r>
    </w:p>
    <w:p w14:paraId="617E2C43" w14:textId="77777777" w:rsidR="0002768A" w:rsidRPr="00DD6D66" w:rsidRDefault="0002768A" w:rsidP="000276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theme="minorHAnsi"/>
        </w:rPr>
      </w:pPr>
    </w:p>
    <w:p w14:paraId="4074F156" w14:textId="3A3CB45C" w:rsidR="0002768A" w:rsidRDefault="0002768A" w:rsidP="0002768A">
      <w:pPr>
        <w:spacing w:line="276" w:lineRule="auto"/>
        <w:jc w:val="both"/>
        <w:rPr>
          <w:rFonts w:eastAsia="Cambria" w:cstheme="minorHAnsi"/>
        </w:rPr>
      </w:pPr>
      <w:bookmarkStart w:id="11" w:name="_heading=h.gjdgxs" w:colFirst="0" w:colLast="0"/>
      <w:bookmarkEnd w:id="11"/>
      <w:r w:rsidRPr="007D09E9">
        <w:rPr>
          <w:rFonts w:eastAsia="Cambria" w:cstheme="minorHAnsi"/>
        </w:rPr>
        <w:t xml:space="preserve">V průběhu roku 2020 bylo Technologickou agenturou ČR zahájeno dalších pět evaluací programů účelové podpory. Jednalo se o </w:t>
      </w:r>
      <w:r w:rsidRPr="00155D1A">
        <w:rPr>
          <w:rFonts w:eastAsia="Cambria" w:cstheme="minorHAnsi"/>
          <w:b/>
        </w:rPr>
        <w:t>ex-ante evaluaci nově vznikajícího programu SIGMA. Průběžnou evaluaci programů BETA2, ZÉTA a THÉTA a závěrečnou evaluaci programu GAMA.</w:t>
      </w:r>
      <w:r w:rsidRPr="007D09E9">
        <w:rPr>
          <w:rFonts w:eastAsia="Cambria" w:cstheme="minorHAnsi"/>
        </w:rPr>
        <w:t xml:space="preserve"> </w:t>
      </w:r>
      <w:r w:rsidR="009563B0">
        <w:rPr>
          <w:rFonts w:eastAsia="Cambria" w:cstheme="minorHAnsi"/>
        </w:rPr>
        <w:t>Evaluace</w:t>
      </w:r>
      <w:r w:rsidRPr="007D09E9">
        <w:rPr>
          <w:rFonts w:eastAsia="Cambria" w:cstheme="minorHAnsi"/>
        </w:rPr>
        <w:t xml:space="preserve"> programů SIGMA, ZÉTA a GAMA byl</w:t>
      </w:r>
      <w:r w:rsidR="009563B0">
        <w:rPr>
          <w:rFonts w:eastAsia="Cambria" w:cstheme="minorHAnsi"/>
        </w:rPr>
        <w:t>y</w:t>
      </w:r>
      <w:r w:rsidRPr="007D09E9">
        <w:rPr>
          <w:rFonts w:eastAsia="Cambria" w:cstheme="minorHAnsi"/>
        </w:rPr>
        <w:t xml:space="preserve"> realizován</w:t>
      </w:r>
      <w:r w:rsidR="009563B0">
        <w:rPr>
          <w:rFonts w:eastAsia="Cambria" w:cstheme="minorHAnsi"/>
        </w:rPr>
        <w:t>y</w:t>
      </w:r>
      <w:r w:rsidRPr="007D09E9">
        <w:rPr>
          <w:rFonts w:eastAsia="Cambria" w:cstheme="minorHAnsi"/>
        </w:rPr>
        <w:t xml:space="preserve"> externím dodavatelem, </w:t>
      </w:r>
      <w:r w:rsidR="009563B0">
        <w:rPr>
          <w:rFonts w:eastAsia="Cambria" w:cstheme="minorHAnsi"/>
        </w:rPr>
        <w:t>evaluace</w:t>
      </w:r>
      <w:r w:rsidRPr="007D09E9">
        <w:rPr>
          <w:rFonts w:eastAsia="Cambria" w:cstheme="minorHAnsi"/>
        </w:rPr>
        <w:t xml:space="preserve"> programů BETA2 a THÉTA interním evaluačním týmem TA ČR. Ex-ante evaluace programu SIGMA byla již dokončena, ostatní evaluace jsou v současné době ve své finální fázi a</w:t>
      </w:r>
      <w:r w:rsidR="00277624">
        <w:t> </w:t>
      </w:r>
      <w:r w:rsidRPr="007D09E9">
        <w:rPr>
          <w:rFonts w:eastAsia="Cambria" w:cstheme="minorHAnsi"/>
        </w:rPr>
        <w:t>budou dokončeny do konce března 2021. Následně budou schváleny předsednictvem TA ČR a zveřejněny na</w:t>
      </w:r>
      <w:r w:rsidR="00277624">
        <w:t> </w:t>
      </w:r>
      <w:r w:rsidRPr="007D09E9">
        <w:rPr>
          <w:rFonts w:eastAsia="Cambria" w:cstheme="minorHAnsi"/>
        </w:rPr>
        <w:t>webových stránkách TA ČR</w:t>
      </w:r>
      <w:r w:rsidR="00155D1A">
        <w:rPr>
          <w:rStyle w:val="Znakapoznpodarou"/>
          <w:rFonts w:eastAsia="Cambria" w:cstheme="minorHAnsi"/>
        </w:rPr>
        <w:footnoteReference w:id="5"/>
      </w:r>
      <w:r w:rsidRPr="007D09E9">
        <w:rPr>
          <w:rFonts w:eastAsia="Cambria" w:cstheme="minorHAnsi"/>
        </w:rPr>
        <w:t>.</w:t>
      </w:r>
    </w:p>
    <w:p w14:paraId="50340F50" w14:textId="2C4C043F" w:rsidR="003E183D" w:rsidRDefault="003E183D" w:rsidP="00041298">
      <w:pPr>
        <w:spacing w:line="276" w:lineRule="auto"/>
        <w:jc w:val="both"/>
      </w:pPr>
    </w:p>
    <w:p w14:paraId="7B4BBBF3" w14:textId="02E14657" w:rsidR="002B3B4B" w:rsidRDefault="002B3B4B">
      <w:r>
        <w:br w:type="page"/>
      </w:r>
    </w:p>
    <w:p w14:paraId="1754393F" w14:textId="77777777" w:rsidR="00175784" w:rsidRDefault="00175784" w:rsidP="00041298">
      <w:pPr>
        <w:spacing w:line="276" w:lineRule="auto"/>
        <w:jc w:val="both"/>
      </w:pPr>
    </w:p>
    <w:p w14:paraId="783C5849" w14:textId="77777777" w:rsidR="000D2AE6" w:rsidRDefault="000D2AE6" w:rsidP="00041298">
      <w:pPr>
        <w:spacing w:line="276" w:lineRule="auto"/>
        <w:jc w:val="both"/>
      </w:pPr>
      <w:r w:rsidRPr="000D2A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69E73F" wp14:editId="6F50161B">
                <wp:simplePos x="0" y="0"/>
                <wp:positionH relativeFrom="column">
                  <wp:posOffset>-46355</wp:posOffset>
                </wp:positionH>
                <wp:positionV relativeFrom="paragraph">
                  <wp:posOffset>-252095</wp:posOffset>
                </wp:positionV>
                <wp:extent cx="3413760" cy="572135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3760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320BE" w14:textId="77777777" w:rsidR="000831DF" w:rsidRPr="0002768A" w:rsidRDefault="000831DF" w:rsidP="00175784">
                            <w:pPr>
                              <w:pStyle w:val="Nadpis1"/>
                            </w:pPr>
                            <w:bookmarkStart w:id="12" w:name="_Toc66366428"/>
                            <w:r>
                              <w:t>3. Strategická část</w:t>
                            </w:r>
                            <w:bookmarkEnd w:id="12"/>
                          </w:p>
                          <w:p w14:paraId="7FBEDD98" w14:textId="70B85288" w:rsidR="000831DF" w:rsidRDefault="000831DF" w:rsidP="000D2AE6">
                            <w:pPr>
                              <w:pStyle w:val="Nadpis1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9E73F" id="Textové pole 10" o:spid="_x0000_s1033" type="#_x0000_t202" style="position:absolute;left:0;text-align:left;margin-left:-3.65pt;margin-top:-19.85pt;width:268.8pt;height:45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" filled="f" stroked="f" strokeweight=".5pt">
                <v:textbox>
                  <w:txbxContent>
                    <w:p w14:paraId="6A4320BE" w14:textId="77777777" w:rsidR="000831DF" w:rsidRPr="0002768A" w:rsidRDefault="000831DF" w:rsidP="00175784">
                      <w:pPr>
                        <w:pStyle w:val="Nadpis1"/>
                      </w:pPr>
                      <w:bookmarkStart w:id="16" w:name="_Toc66366428"/>
                      <w:r>
                        <w:t>3. Strategická část</w:t>
                      </w:r>
                      <w:bookmarkEnd w:id="16"/>
                    </w:p>
                    <w:p w14:paraId="7FBEDD98" w14:textId="70B85288" w:rsidR="000831DF" w:rsidRDefault="000831DF" w:rsidP="000D2AE6">
                      <w:pPr>
                        <w:pStyle w:val="Nadpis1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E13DBC2" w14:textId="77777777" w:rsidR="00DC5923" w:rsidRDefault="00041298">
      <w:r w:rsidRPr="000D2A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008A592" wp14:editId="6E6CEE96">
                <wp:simplePos x="0" y="0"/>
                <wp:positionH relativeFrom="column">
                  <wp:posOffset>0</wp:posOffset>
                </wp:positionH>
                <wp:positionV relativeFrom="paragraph">
                  <wp:posOffset>260985</wp:posOffset>
                </wp:positionV>
                <wp:extent cx="5730240" cy="0"/>
                <wp:effectExtent l="0" t="38100" r="41910" b="3810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2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7EECA6" id="Přímá spojnice 11" o:spid="_x0000_s1026" style="position:absolute;z-index:25164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0.55pt" to="451.2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" strokecolor="#f03741" strokeweight="6pt">
                <v:stroke joinstyle="miter"/>
              </v:line>
            </w:pict>
          </mc:Fallback>
        </mc:AlternateContent>
      </w:r>
    </w:p>
    <w:p w14:paraId="72A3F3B9" w14:textId="77777777" w:rsidR="00175784" w:rsidRDefault="00175784"/>
    <w:p w14:paraId="24C55411" w14:textId="5C4C3541" w:rsidR="00175784" w:rsidRDefault="00175784" w:rsidP="00175784">
      <w:pPr>
        <w:pStyle w:val="Nadpis2"/>
      </w:pPr>
      <w:bookmarkStart w:id="13" w:name="_Toc66366429"/>
      <w:r>
        <w:t>Poslání a hodnoty TA ČR</w:t>
      </w:r>
      <w:bookmarkEnd w:id="13"/>
    </w:p>
    <w:p w14:paraId="7FBE0BC8" w14:textId="3225C176" w:rsidR="000D2AE6" w:rsidRDefault="000D2AE6" w:rsidP="000D2AE6">
      <w:pPr>
        <w:jc w:val="both"/>
      </w:pPr>
      <w:r>
        <w:t>Posláním TA ČR je podpora aplikovaného výzkumu a inovací z veřejných zdrojů. TA ČR podporuje vazby</w:t>
      </w:r>
      <w:r w:rsidR="00277624">
        <w:t xml:space="preserve"> </w:t>
      </w:r>
      <w:r>
        <w:t>v</w:t>
      </w:r>
      <w:r w:rsidR="00277624">
        <w:t> </w:t>
      </w:r>
      <w:r>
        <w:t xml:space="preserve">širokém prostoru oblasti mezi základním a aplikovaným výzkumem a inovacemi s cílem posílit praktické využití výsledků výzkumu a vývoje v aplikační sféře, a to zejména formou inovací produktů, postupů, služeb nebo organizačních inovací s ambicí podpory průlomových inovací. TA ČR rovněž podporuje aplikovaný výzkum pro potřeby státní správy a veřejného sektoru. </w:t>
      </w:r>
    </w:p>
    <w:p w14:paraId="38D6EFEB" w14:textId="434B7024" w:rsidR="000D2AE6" w:rsidRDefault="000D2AE6" w:rsidP="000D2AE6">
      <w:pPr>
        <w:jc w:val="both"/>
      </w:pPr>
      <w:r>
        <w:t>Svými zkušenostmi, analytickými a datovými podklady i metodickými postupy přispívá k vytváření, kultivaci a</w:t>
      </w:r>
      <w:r w:rsidR="00277624">
        <w:t> </w:t>
      </w:r>
      <w:r>
        <w:t>efektivní realizaci státní politiky v oblasti aplikovaného výzkumu. V rámci činností daných TA ČR zákonem postupně rozšiřuje datovou a informační základnu, a to včetně zkušeností s analýzami a využitím těchto dat a</w:t>
      </w:r>
      <w:r w:rsidR="00277624">
        <w:t> </w:t>
      </w:r>
      <w:r>
        <w:t xml:space="preserve">informací. TA ČR systematicky využívá dat a informací nejen pro svou činnost, ale také pro rozvoj celého systému veřejné podpory </w:t>
      </w:r>
      <w:proofErr w:type="spellStart"/>
      <w:r>
        <w:t>VaVaI</w:t>
      </w:r>
      <w:proofErr w:type="spellEnd"/>
      <w:r>
        <w:t xml:space="preserve"> a v rámci spolupráce s ostatními resorty, rovněž pro informování veřejnosti, a</w:t>
      </w:r>
      <w:r w:rsidR="00277624">
        <w:t> </w:t>
      </w:r>
      <w:r>
        <w:t>to</w:t>
      </w:r>
      <w:r w:rsidR="00277624">
        <w:t> </w:t>
      </w:r>
      <w:r>
        <w:t>jak široké veřejnosti, tak odborné veřejnosti (definovaných cílových skupin). Vzhledem k rozsahu poznatků, danému dosavadním objemem vynaložených prostředků, počtem a typem zpracovaných námětů a</w:t>
      </w:r>
      <w:r w:rsidR="00277624">
        <w:t> </w:t>
      </w:r>
      <w:r>
        <w:t xml:space="preserve">podpořených projektů TA ČR může být zázemím pro rozvoj analytické báze pro řízení podpory </w:t>
      </w:r>
      <w:proofErr w:type="spellStart"/>
      <w:r>
        <w:t>VaVaI</w:t>
      </w:r>
      <w:proofErr w:type="spellEnd"/>
      <w:r>
        <w:t xml:space="preserve"> na</w:t>
      </w:r>
      <w:r w:rsidR="00277624">
        <w:t> </w:t>
      </w:r>
      <w:r>
        <w:t>národní</w:t>
      </w:r>
      <w:r w:rsidR="003E183D">
        <w:t xml:space="preserve"> </w:t>
      </w:r>
      <w:r>
        <w:t>úrovni a</w:t>
      </w:r>
      <w:r w:rsidR="00277624">
        <w:t> </w:t>
      </w:r>
      <w:r>
        <w:t>pro práci v regionech a analytickým, metodickým, informačním a poradenským centrem v</w:t>
      </w:r>
      <w:r w:rsidR="00277624">
        <w:t> </w:t>
      </w:r>
      <w:r>
        <w:t>oblasti aplikovaného výzkumu včetně přenosu mezinárodních zkušeností.</w:t>
      </w:r>
    </w:p>
    <w:p w14:paraId="28BED261" w14:textId="77777777" w:rsidR="00283B56" w:rsidRDefault="00283B56" w:rsidP="000D2AE6">
      <w:pPr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EE94C1B" wp14:editId="6409D62B">
                <wp:simplePos x="0" y="0"/>
                <wp:positionH relativeFrom="column">
                  <wp:posOffset>-46355</wp:posOffset>
                </wp:positionH>
                <wp:positionV relativeFrom="paragraph">
                  <wp:posOffset>287020</wp:posOffset>
                </wp:positionV>
                <wp:extent cx="5821680" cy="2133600"/>
                <wp:effectExtent l="0" t="0" r="7620" b="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2133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A5D8C" id="Obdélník 8" o:spid="_x0000_s1026" style="position:absolute;margin-left:-3.65pt;margin-top:22.6pt;width:458.4pt;height:168pt;z-index:251635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" fillcolor="#f2f2f2 [3052]" stroked="f" strokeweight="1pt"/>
            </w:pict>
          </mc:Fallback>
        </mc:AlternateContent>
      </w:r>
    </w:p>
    <w:p w14:paraId="3B999C12" w14:textId="77777777" w:rsidR="00283B56" w:rsidRDefault="00283B56" w:rsidP="000D2AE6">
      <w:pPr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678E708" wp14:editId="686A1C31">
                <wp:simplePos x="0" y="0"/>
                <wp:positionH relativeFrom="column">
                  <wp:posOffset>266065</wp:posOffset>
                </wp:positionH>
                <wp:positionV relativeFrom="paragraph">
                  <wp:posOffset>193040</wp:posOffset>
                </wp:positionV>
                <wp:extent cx="5364480" cy="1874520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480" cy="187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5124D" w14:textId="77777777" w:rsidR="000831DF" w:rsidRPr="00283B56" w:rsidRDefault="000831DF" w:rsidP="00283B56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283B56">
                              <w:rPr>
                                <w:b/>
                              </w:rPr>
                              <w:t>TA ČR staví na základních principech veřejné správy (tedy objektivity, efektivnosti, transparentnosti a rovném přístupu), které zohledňuje v následujících hodnotách:</w:t>
                            </w:r>
                          </w:p>
                          <w:p w14:paraId="6C5BF23B" w14:textId="5BC3146B" w:rsidR="000831DF" w:rsidRDefault="000831DF" w:rsidP="00283B56">
                            <w:pPr>
                              <w:spacing w:line="240" w:lineRule="auto"/>
                            </w:pPr>
                            <w:r>
                              <w:t>•</w:t>
                            </w:r>
                            <w:r>
                              <w:tab/>
                              <w:t>je instituce s otevřeným a kreativním přístupem,</w:t>
                            </w:r>
                          </w:p>
                          <w:p w14:paraId="1E68AE9B" w14:textId="3D76F666" w:rsidR="000831DF" w:rsidRDefault="000831DF" w:rsidP="00283B56">
                            <w:pPr>
                              <w:spacing w:line="240" w:lineRule="auto"/>
                            </w:pPr>
                            <w:r>
                              <w:t>•</w:t>
                            </w:r>
                            <w:r>
                              <w:tab/>
                              <w:t>podporuje inovativní projekty při zachování zásad objektivity, efektivity a smysluplnosti,</w:t>
                            </w:r>
                          </w:p>
                          <w:p w14:paraId="30FF3CD0" w14:textId="42A67549" w:rsidR="000831DF" w:rsidRDefault="000831DF" w:rsidP="00283B56">
                            <w:pPr>
                              <w:spacing w:line="240" w:lineRule="auto"/>
                            </w:pPr>
                            <w:r>
                              <w:t>•</w:t>
                            </w:r>
                            <w:r>
                              <w:tab/>
                              <w:t xml:space="preserve">dbá o vzájemnou důvěru, podporu, slušnost a čestnost, </w:t>
                            </w:r>
                          </w:p>
                          <w:p w14:paraId="4ACCBC7F" w14:textId="7D218D5C" w:rsidR="000831DF" w:rsidRDefault="000831DF" w:rsidP="00283B56">
                            <w:pPr>
                              <w:spacing w:line="240" w:lineRule="auto"/>
                            </w:pPr>
                            <w:r>
                              <w:t>•</w:t>
                            </w:r>
                            <w:r>
                              <w:tab/>
                              <w:t>podporuje týmovou spolupráci a komunikaci,</w:t>
                            </w:r>
                          </w:p>
                          <w:p w14:paraId="2B68322C" w14:textId="77777777" w:rsidR="000831DF" w:rsidRDefault="000831DF" w:rsidP="00283B56">
                            <w:pPr>
                              <w:spacing w:line="360" w:lineRule="auto"/>
                            </w:pPr>
                            <w:r>
                              <w:t>•</w:t>
                            </w:r>
                            <w:r>
                              <w:tab/>
                              <w:t>přistupuje k realizaci agendy odborně, vstřícně a transparentně.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8E708" id="Textové pole 7" o:spid="_x0000_s1034" type="#_x0000_t202" style="position:absolute;left:0;text-align:left;margin-left:20.95pt;margin-top:15.2pt;width:422.4pt;height:147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" filled="f" stroked="f" strokeweight=".5pt">
                <v:textbox>
                  <w:txbxContent>
                    <w:p w14:paraId="5DC5124D" w14:textId="77777777" w:rsidR="000831DF" w:rsidRPr="00283B56" w:rsidRDefault="000831DF" w:rsidP="00283B56">
                      <w:pPr>
                        <w:spacing w:line="240" w:lineRule="auto"/>
                        <w:rPr>
                          <w:b/>
                        </w:rPr>
                      </w:pPr>
                      <w:r w:rsidRPr="00283B56">
                        <w:rPr>
                          <w:b/>
                        </w:rPr>
                        <w:t>TA ČR staví na základních principech veřejné správy (tedy objektivity, efektivnosti, transparentnosti a rovném přístupu), které zohledňuje v následujících hodnotách:</w:t>
                      </w:r>
                    </w:p>
                    <w:p w14:paraId="6C5BF23B" w14:textId="5BC3146B" w:rsidR="000831DF" w:rsidRDefault="000831DF" w:rsidP="00283B56">
                      <w:pPr>
                        <w:spacing w:line="240" w:lineRule="auto"/>
                      </w:pPr>
                      <w:r>
                        <w:t>•</w:t>
                      </w:r>
                      <w:r>
                        <w:tab/>
                        <w:t>je instituce s otevřeným a kreativním přístupem,</w:t>
                      </w:r>
                    </w:p>
                    <w:p w14:paraId="1E68AE9B" w14:textId="3D76F666" w:rsidR="000831DF" w:rsidRDefault="000831DF" w:rsidP="00283B56">
                      <w:pPr>
                        <w:spacing w:line="240" w:lineRule="auto"/>
                      </w:pPr>
                      <w:r>
                        <w:t>•</w:t>
                      </w:r>
                      <w:r>
                        <w:tab/>
                        <w:t>podporuje inovativní projekty při zachování zásad objektivity, efektivity a smysluplnosti,</w:t>
                      </w:r>
                    </w:p>
                    <w:p w14:paraId="30FF3CD0" w14:textId="42A67549" w:rsidR="000831DF" w:rsidRDefault="000831DF" w:rsidP="00283B56">
                      <w:pPr>
                        <w:spacing w:line="240" w:lineRule="auto"/>
                      </w:pPr>
                      <w:r>
                        <w:t>•</w:t>
                      </w:r>
                      <w:r>
                        <w:tab/>
                        <w:t xml:space="preserve">dbá o vzájemnou důvěru, podporu, slušnost a čestnost, </w:t>
                      </w:r>
                    </w:p>
                    <w:p w14:paraId="4ACCBC7F" w14:textId="7D218D5C" w:rsidR="000831DF" w:rsidRDefault="000831DF" w:rsidP="00283B56">
                      <w:pPr>
                        <w:spacing w:line="240" w:lineRule="auto"/>
                      </w:pPr>
                      <w:r>
                        <w:t>•</w:t>
                      </w:r>
                      <w:r>
                        <w:tab/>
                        <w:t>podporuje týmovou spolupráci a komunikaci,</w:t>
                      </w:r>
                    </w:p>
                    <w:p w14:paraId="2B68322C" w14:textId="77777777" w:rsidR="000831DF" w:rsidRDefault="000831DF" w:rsidP="00283B56">
                      <w:pPr>
                        <w:spacing w:line="360" w:lineRule="auto"/>
                      </w:pPr>
                      <w:r>
                        <w:t>•</w:t>
                      </w:r>
                      <w:r>
                        <w:tab/>
                        <w:t>přistupuje k realizaci agendy odborně, vstřícně a transparentně.</w:t>
                      </w:r>
                    </w:p>
                  </w:txbxContent>
                </v:textbox>
              </v:shape>
            </w:pict>
          </mc:Fallback>
        </mc:AlternateContent>
      </w:r>
    </w:p>
    <w:p w14:paraId="0F05274C" w14:textId="77777777" w:rsidR="00283B56" w:rsidRDefault="00283B56" w:rsidP="000D2AE6">
      <w:pPr>
        <w:jc w:val="both"/>
      </w:pPr>
    </w:p>
    <w:p w14:paraId="53C15065" w14:textId="77777777" w:rsidR="00283B56" w:rsidRDefault="00283B56" w:rsidP="000D2AE6">
      <w:pPr>
        <w:jc w:val="both"/>
      </w:pPr>
    </w:p>
    <w:p w14:paraId="3A361EF7" w14:textId="77777777" w:rsidR="00283B56" w:rsidRDefault="00283B56" w:rsidP="000D2AE6">
      <w:pPr>
        <w:jc w:val="both"/>
      </w:pPr>
    </w:p>
    <w:p w14:paraId="494EAF44" w14:textId="77777777" w:rsidR="00283B56" w:rsidRDefault="00283B56" w:rsidP="000D2AE6">
      <w:pPr>
        <w:jc w:val="both"/>
      </w:pPr>
    </w:p>
    <w:p w14:paraId="6AA68CC2" w14:textId="77777777" w:rsidR="00283B56" w:rsidRDefault="00283B56" w:rsidP="000D2AE6">
      <w:pPr>
        <w:jc w:val="both"/>
      </w:pPr>
    </w:p>
    <w:p w14:paraId="1272CC24" w14:textId="77777777" w:rsidR="00283B56" w:rsidRDefault="00283B56" w:rsidP="000D2AE6">
      <w:pPr>
        <w:jc w:val="both"/>
      </w:pPr>
    </w:p>
    <w:p w14:paraId="590E3680" w14:textId="77777777" w:rsidR="00283B56" w:rsidRDefault="00283B56"/>
    <w:p w14:paraId="114DB9E6" w14:textId="6559A0BB" w:rsidR="00283B56" w:rsidRDefault="0004129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5562E20" wp14:editId="49C86535">
                <wp:simplePos x="0" y="0"/>
                <wp:positionH relativeFrom="column">
                  <wp:posOffset>-282575</wp:posOffset>
                </wp:positionH>
                <wp:positionV relativeFrom="paragraph">
                  <wp:posOffset>130175</wp:posOffset>
                </wp:positionV>
                <wp:extent cx="403860" cy="403860"/>
                <wp:effectExtent l="19050" t="19050" r="34290" b="34290"/>
                <wp:wrapNone/>
                <wp:docPr id="28" name="Ová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40386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1CD059" id="Ovál 28" o:spid="_x0000_s1026" style="position:absolute;margin-left:-22.25pt;margin-top:10.25pt;width:31.8pt;height:31.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" filled="f" strokecolor="#f2f2f2 [3052]" strokeweight="4.5pt">
                <v:stroke joinstyle="miter"/>
              </v:oval>
            </w:pict>
          </mc:Fallback>
        </mc:AlternateContent>
      </w:r>
    </w:p>
    <w:p w14:paraId="1624C6B6" w14:textId="3E95CDA3" w:rsidR="002B3B4B" w:rsidRDefault="002B3B4B">
      <w:r>
        <w:br w:type="page"/>
      </w:r>
    </w:p>
    <w:p w14:paraId="13FEC0A8" w14:textId="77777777" w:rsidR="00175784" w:rsidRDefault="00175784"/>
    <w:p w14:paraId="1E9C26CC" w14:textId="0FB63FB7" w:rsidR="00DC5923" w:rsidRDefault="003E183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4175" behindDoc="1" locked="0" layoutInCell="1" allowOverlap="1" wp14:anchorId="054DAD51" wp14:editId="3E4F77F8">
                <wp:simplePos x="0" y="0"/>
                <wp:positionH relativeFrom="column">
                  <wp:posOffset>5550535</wp:posOffset>
                </wp:positionH>
                <wp:positionV relativeFrom="paragraph">
                  <wp:posOffset>131445</wp:posOffset>
                </wp:positionV>
                <wp:extent cx="533400" cy="1173480"/>
                <wp:effectExtent l="19050" t="19050" r="38100" b="4572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17348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87EF9" id="Obdélník 24" o:spid="_x0000_s1026" style="position:absolute;margin-left:437.05pt;margin-top:10.35pt;width:42pt;height:92.4pt;z-index:-25168230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" filled="f" strokecolor="#f2f2f2 [3052]" strokeweight="4.5pt"/>
            </w:pict>
          </mc:Fallback>
        </mc:AlternateContent>
      </w:r>
      <w:r w:rsidR="002E18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DA66653" wp14:editId="563F9F51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403860" cy="403860"/>
                <wp:effectExtent l="19050" t="19050" r="34290" b="34290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40386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D8D86D" id="Ovál 26" o:spid="_x0000_s1026" style="position:absolute;margin-left:0;margin-top:8.5pt;width:31.8pt;height:31.8pt;z-index:2516700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" filled="f" strokecolor="#f2f2f2 [3052]" strokeweight="4.5pt">
                <v:stroke joinstyle="miter"/>
                <w10:wrap anchorx="margin"/>
              </v:oval>
            </w:pict>
          </mc:Fallback>
        </mc:AlternateContent>
      </w:r>
      <w:r w:rsidR="000412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5E23A7AB" wp14:editId="6626028B">
                <wp:simplePos x="0" y="0"/>
                <wp:positionH relativeFrom="column">
                  <wp:posOffset>-518160</wp:posOffset>
                </wp:positionH>
                <wp:positionV relativeFrom="paragraph">
                  <wp:posOffset>358140</wp:posOffset>
                </wp:positionV>
                <wp:extent cx="1710055" cy="1474470"/>
                <wp:effectExtent l="57150" t="57150" r="80645" b="30480"/>
                <wp:wrapNone/>
                <wp:docPr id="18" name="Rovnoramenný trojúhe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1474470"/>
                        </a:xfrm>
                        <a:prstGeom prst="triangle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6DB8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18" o:spid="_x0000_s1026" type="#_x0000_t5" style="position:absolute;margin-left:-40.8pt;margin-top:28.2pt;width:134.65pt;height:1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" filled="f" strokecolor="#f2f2f2 [3052]" strokeweight="4.5pt"/>
            </w:pict>
          </mc:Fallback>
        </mc:AlternateContent>
      </w:r>
    </w:p>
    <w:p w14:paraId="67891A7A" w14:textId="157E63B2" w:rsidR="00DC5923" w:rsidRPr="00927185" w:rsidRDefault="0022475F" w:rsidP="0022475F">
      <w:pPr>
        <w:pStyle w:val="Nadpis2"/>
      </w:pPr>
      <w:bookmarkStart w:id="14" w:name="_Toc66366430"/>
      <w:r w:rsidRPr="00927185">
        <w:t>Cíle TA ČR</w:t>
      </w:r>
      <w:bookmarkEnd w:id="14"/>
    </w:p>
    <w:p w14:paraId="50BFC543" w14:textId="77777777" w:rsidR="0022475F" w:rsidRDefault="0022475F" w:rsidP="0022475F"/>
    <w:p w14:paraId="0022B998" w14:textId="25FE4EBD" w:rsidR="00022D80" w:rsidRPr="00022D80" w:rsidRDefault="002A5505" w:rsidP="0022475F">
      <w:pPr>
        <w:rPr>
          <w:b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3A7B59D" wp14:editId="483D8567">
                <wp:simplePos x="0" y="0"/>
                <wp:positionH relativeFrom="column">
                  <wp:posOffset>-125095</wp:posOffset>
                </wp:positionH>
                <wp:positionV relativeFrom="paragraph">
                  <wp:posOffset>298450</wp:posOffset>
                </wp:positionV>
                <wp:extent cx="6350" cy="2279650"/>
                <wp:effectExtent l="0" t="0" r="31750" b="25400"/>
                <wp:wrapNone/>
                <wp:docPr id="43" name="Přímá spojnic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279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DFAAD" id="Přímá spojnice 43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85pt,23.5pt" to="-9.35pt,2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" strokecolor="#f03741" strokeweight="1.5pt">
                <v:stroke joinstyle="miter"/>
              </v:line>
            </w:pict>
          </mc:Fallback>
        </mc:AlternateContent>
      </w:r>
      <w:r w:rsidR="00C93EBA" w:rsidRPr="00C93EBA">
        <w:t xml:space="preserve">Základní strategické směřování </w:t>
      </w:r>
      <w:r w:rsidR="00C93EBA" w:rsidRPr="00927185">
        <w:t xml:space="preserve">TA ČR </w:t>
      </w:r>
      <w:r w:rsidR="00C93EBA" w:rsidRPr="00C93EBA">
        <w:t xml:space="preserve">bude založeno na těchto cílech: </w:t>
      </w:r>
    </w:p>
    <w:p w14:paraId="4C5958A6" w14:textId="73A60DB3" w:rsidR="00022D80" w:rsidRPr="00022D80" w:rsidRDefault="004C24D3" w:rsidP="00C93EBA">
      <w:pPr>
        <w:jc w:val="both"/>
        <w:rPr>
          <w:color w:val="000000" w:themeColor="text1"/>
        </w:rPr>
      </w:pPr>
      <w:r>
        <w:rPr>
          <w:b/>
          <w:color w:val="F03741"/>
        </w:rPr>
        <w:t>Hlavní c</w:t>
      </w:r>
      <w:r w:rsidR="00C93EBA" w:rsidRPr="00022D80">
        <w:rPr>
          <w:b/>
          <w:color w:val="F03741"/>
        </w:rPr>
        <w:t>íl:</w:t>
      </w:r>
      <w:r w:rsidR="00C93EBA" w:rsidRPr="00022D80">
        <w:rPr>
          <w:color w:val="F03741"/>
        </w:rPr>
        <w:t xml:space="preserve"> </w:t>
      </w:r>
      <w:r w:rsidR="00C93EBA" w:rsidRPr="004C24D3">
        <w:rPr>
          <w:b/>
          <w:color w:val="000000" w:themeColor="text1"/>
        </w:rPr>
        <w:t>TA ČR přispívá k naplňování politik definovaných na národní a evropské úrovni</w:t>
      </w:r>
      <w:r w:rsidR="00E37FA0">
        <w:rPr>
          <w:b/>
          <w:color w:val="000000" w:themeColor="text1"/>
        </w:rPr>
        <w:t>.</w:t>
      </w:r>
      <w:r w:rsidR="00C93EBA" w:rsidRPr="00022D80">
        <w:rPr>
          <w:color w:val="000000" w:themeColor="text1"/>
        </w:rPr>
        <w:t xml:space="preserve"> </w:t>
      </w:r>
      <w:r w:rsidR="00C93EBA" w:rsidRPr="00022D80">
        <w:rPr>
          <w:color w:val="000000" w:themeColor="text1"/>
        </w:rPr>
        <w:br/>
        <w:t xml:space="preserve">Na národní úrovni se řídí Národní inovační strategií; Národní politikou výzkumu, vývoje a inovací České republiky 2021+, Národní RIS3 strategií a Národními prioritami orientovaného výzkumu, experimentálního vývoje a inovací 2021-2030. Ve svých činnostech </w:t>
      </w:r>
      <w:r w:rsidR="00C93EBA" w:rsidRPr="00927185">
        <w:t xml:space="preserve">zohledňuje evropská řešení a přístupy, zejména přístup </w:t>
      </w:r>
      <w:proofErr w:type="spellStart"/>
      <w:r w:rsidR="00C93EBA" w:rsidRPr="00927185">
        <w:t>Responsible</w:t>
      </w:r>
      <w:proofErr w:type="spellEnd"/>
      <w:r w:rsidR="00C93EBA" w:rsidRPr="00927185">
        <w:t xml:space="preserve"> </w:t>
      </w:r>
      <w:proofErr w:type="spellStart"/>
      <w:r w:rsidR="00C93EBA" w:rsidRPr="00927185">
        <w:t>Research</w:t>
      </w:r>
      <w:proofErr w:type="spellEnd"/>
      <w:r w:rsidR="00C93EBA" w:rsidRPr="00927185">
        <w:t xml:space="preserve"> and </w:t>
      </w:r>
      <w:proofErr w:type="spellStart"/>
      <w:r w:rsidR="00C93EBA" w:rsidRPr="00927185">
        <w:t>Innovation</w:t>
      </w:r>
      <w:proofErr w:type="spellEnd"/>
      <w:r w:rsidR="00C93EBA" w:rsidRPr="00927185">
        <w:t xml:space="preserve"> a témata v něm obsažená. </w:t>
      </w:r>
      <w:r w:rsidR="00E41738" w:rsidRPr="00927185">
        <w:t xml:space="preserve">TA ČR implementuje programy vlastní a resortní na základě rozhodnutí vlády a na základě požadavku </w:t>
      </w:r>
      <w:r w:rsidR="002464B2" w:rsidRPr="00927185">
        <w:t>resortu</w:t>
      </w:r>
      <w:r w:rsidR="00E41738" w:rsidRPr="00927185">
        <w:t xml:space="preserve"> poskytuje </w:t>
      </w:r>
      <w:r w:rsidR="002464B2" w:rsidRPr="00927185">
        <w:t xml:space="preserve">dohodnuté služby v rámci realizace programu. </w:t>
      </w:r>
      <w:r w:rsidR="00C93EBA" w:rsidRPr="00927185">
        <w:t xml:space="preserve">Ve svých </w:t>
      </w:r>
      <w:r w:rsidR="00C93EBA" w:rsidRPr="00022D80">
        <w:rPr>
          <w:color w:val="000000" w:themeColor="text1"/>
        </w:rPr>
        <w:t>programech umožní variabilně, rychle a efektivně reagovat na aktuálně vznikající potřeby společnosti a</w:t>
      </w:r>
      <w:r w:rsidR="00277624">
        <w:t> </w:t>
      </w:r>
      <w:r w:rsidR="00C93EBA" w:rsidRPr="00022D80">
        <w:rPr>
          <w:color w:val="000000" w:themeColor="text1"/>
        </w:rPr>
        <w:t xml:space="preserve">hospodářství. </w:t>
      </w:r>
    </w:p>
    <w:p w14:paraId="1AAAC76D" w14:textId="77777777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color w:val="000000" w:themeColor="text1"/>
        </w:rPr>
        <w:t>TA ČR bude</w:t>
      </w:r>
      <w:r w:rsidR="00022D80" w:rsidRPr="00022D80">
        <w:rPr>
          <w:color w:val="000000" w:themeColor="text1"/>
        </w:rPr>
        <w:t>:</w:t>
      </w:r>
    </w:p>
    <w:p w14:paraId="24B16263" w14:textId="151EA776" w:rsidR="00C93EBA" w:rsidRPr="00022D80" w:rsidRDefault="00C93EBA" w:rsidP="00C93EBA">
      <w:pPr>
        <w:pStyle w:val="Odstavecseseznamem"/>
        <w:numPr>
          <w:ilvl w:val="0"/>
          <w:numId w:val="2"/>
        </w:numPr>
        <w:jc w:val="both"/>
        <w:rPr>
          <w:b/>
        </w:rPr>
      </w:pPr>
      <w:r w:rsidRPr="00022D80">
        <w:rPr>
          <w:b/>
        </w:rPr>
        <w:t xml:space="preserve">poskytovatelem národních programů v oblasti </w:t>
      </w:r>
      <w:proofErr w:type="spellStart"/>
      <w:r w:rsidRPr="00022D80">
        <w:rPr>
          <w:b/>
        </w:rPr>
        <w:t>VaVaI</w:t>
      </w:r>
      <w:proofErr w:type="spellEnd"/>
      <w:r w:rsidRPr="00022D80">
        <w:rPr>
          <w:b/>
        </w:rPr>
        <w:t>, na jejichž přípravě, bude aktivně spolupracovat s</w:t>
      </w:r>
      <w:r w:rsidR="00F574F0">
        <w:t> </w:t>
      </w:r>
      <w:r w:rsidRPr="00022D80">
        <w:rPr>
          <w:b/>
        </w:rPr>
        <w:t>příslušnými resorty,</w:t>
      </w:r>
    </w:p>
    <w:p w14:paraId="441835DF" w14:textId="77777777" w:rsidR="00C93EBA" w:rsidRPr="00022D80" w:rsidRDefault="00C93EBA" w:rsidP="00C93EBA">
      <w:pPr>
        <w:pStyle w:val="Odstavecseseznamem"/>
        <w:numPr>
          <w:ilvl w:val="0"/>
          <w:numId w:val="2"/>
        </w:numPr>
        <w:jc w:val="both"/>
        <w:rPr>
          <w:b/>
        </w:rPr>
      </w:pPr>
      <w:r w:rsidRPr="00022D80">
        <w:rPr>
          <w:b/>
        </w:rPr>
        <w:t>implementační agenturou pro aplikovaný výzkum a inovace,</w:t>
      </w:r>
    </w:p>
    <w:p w14:paraId="6FD797E8" w14:textId="77777777" w:rsidR="00C93EBA" w:rsidRPr="00022D80" w:rsidRDefault="00C93EBA" w:rsidP="00C93EBA">
      <w:pPr>
        <w:pStyle w:val="Odstavecseseznamem"/>
        <w:numPr>
          <w:ilvl w:val="0"/>
          <w:numId w:val="2"/>
        </w:numPr>
        <w:jc w:val="both"/>
        <w:rPr>
          <w:b/>
        </w:rPr>
      </w:pPr>
      <w:r w:rsidRPr="00022D80">
        <w:rPr>
          <w:b/>
        </w:rPr>
        <w:t xml:space="preserve">spolupracovat na rozvoji národního a regionálních inovačních ekosystémů. </w:t>
      </w:r>
    </w:p>
    <w:p w14:paraId="3CEB8EB3" w14:textId="77777777" w:rsidR="00DF66C7" w:rsidRDefault="00DF66C7" w:rsidP="00C93EBA">
      <w:pPr>
        <w:pStyle w:val="Odstavecseseznamem"/>
        <w:jc w:val="both"/>
      </w:pPr>
    </w:p>
    <w:p w14:paraId="33CE46C4" w14:textId="77777777" w:rsidR="00C93EBA" w:rsidRDefault="00DF66C7" w:rsidP="00C93EBA">
      <w:pPr>
        <w:pStyle w:val="Odstavecseseznamem"/>
        <w:jc w:val="both"/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C826B8A" wp14:editId="6327B4C0">
                <wp:simplePos x="0" y="0"/>
                <wp:positionH relativeFrom="column">
                  <wp:posOffset>-122555</wp:posOffset>
                </wp:positionH>
                <wp:positionV relativeFrom="paragraph">
                  <wp:posOffset>271780</wp:posOffset>
                </wp:positionV>
                <wp:extent cx="0" cy="1577340"/>
                <wp:effectExtent l="0" t="0" r="38100" b="22860"/>
                <wp:wrapNone/>
                <wp:docPr id="44" name="Přímá spojnic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73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1A63F" id="Přímá spojnice 44" o:spid="_x0000_s1026" style="position:absolute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9.65pt,21.4pt" to="-9.65pt,1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" strokecolor="#f03741" strokeweight="1.5pt">
                <v:stroke joinstyle="miter"/>
              </v:line>
            </w:pict>
          </mc:Fallback>
        </mc:AlternateContent>
      </w:r>
    </w:p>
    <w:p w14:paraId="0B7D8999" w14:textId="5501FB05" w:rsidR="00022D80" w:rsidRPr="00022D80" w:rsidRDefault="00C93EBA" w:rsidP="00C93EBA">
      <w:pPr>
        <w:jc w:val="both"/>
        <w:rPr>
          <w:color w:val="000000" w:themeColor="text1"/>
        </w:rPr>
      </w:pPr>
      <w:r w:rsidRPr="00022D80">
        <w:rPr>
          <w:b/>
          <w:color w:val="F03741"/>
        </w:rPr>
        <w:t xml:space="preserve">Cíl </w:t>
      </w:r>
      <w:r w:rsidR="004C24D3">
        <w:rPr>
          <w:b/>
          <w:color w:val="F03741"/>
        </w:rPr>
        <w:t>1</w:t>
      </w:r>
      <w:r w:rsidRPr="00022D80">
        <w:rPr>
          <w:b/>
          <w:color w:val="F03741"/>
        </w:rPr>
        <w:t>:</w:t>
      </w:r>
      <w:r w:rsidRPr="00022D80">
        <w:rPr>
          <w:color w:val="F03741"/>
        </w:rPr>
        <w:t xml:space="preserve"> </w:t>
      </w:r>
      <w:r w:rsidRPr="00022D80">
        <w:rPr>
          <w:color w:val="000000" w:themeColor="text1"/>
        </w:rPr>
        <w:t xml:space="preserve">TA ČR bude při přípravě a změnách programů systematicky využívat přístupu evidence </w:t>
      </w:r>
      <w:proofErr w:type="spellStart"/>
      <w:r w:rsidRPr="00022D80">
        <w:rPr>
          <w:color w:val="000000" w:themeColor="text1"/>
        </w:rPr>
        <w:t>based</w:t>
      </w:r>
      <w:proofErr w:type="spellEnd"/>
      <w:r w:rsidRPr="00022D80">
        <w:rPr>
          <w:color w:val="000000" w:themeColor="text1"/>
        </w:rPr>
        <w:t xml:space="preserve"> </w:t>
      </w:r>
      <w:proofErr w:type="spellStart"/>
      <w:r w:rsidRPr="00022D80">
        <w:rPr>
          <w:color w:val="000000" w:themeColor="text1"/>
        </w:rPr>
        <w:t>policy</w:t>
      </w:r>
      <w:proofErr w:type="spellEnd"/>
      <w:r w:rsidRPr="00022D80">
        <w:rPr>
          <w:color w:val="000000" w:themeColor="text1"/>
        </w:rPr>
        <w:t>, tedy</w:t>
      </w:r>
      <w:r w:rsidR="00F574F0">
        <w:t> </w:t>
      </w:r>
      <w:r w:rsidRPr="00022D80">
        <w:rPr>
          <w:color w:val="000000" w:themeColor="text1"/>
        </w:rPr>
        <w:t>bude svá rozhodnutí opírat o zjištění a doporučení z evaluační činnosti a z vlastní analytické činnosti. Ve</w:t>
      </w:r>
      <w:r w:rsidR="00F574F0">
        <w:t> </w:t>
      </w:r>
      <w:r w:rsidRPr="00022D80">
        <w:rPr>
          <w:color w:val="000000" w:themeColor="text1"/>
        </w:rPr>
        <w:t xml:space="preserve">svých programech bude usilovat o zefektivnění vyhlašování veřejných soutěží a o uživatelsky přívětivý způsob administrace projektů. </w:t>
      </w:r>
    </w:p>
    <w:p w14:paraId="6A14757E" w14:textId="7D900878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color w:val="000000" w:themeColor="text1"/>
        </w:rPr>
        <w:t>TA ČR</w:t>
      </w:r>
      <w:r w:rsidR="00022D80" w:rsidRPr="00022D80">
        <w:rPr>
          <w:color w:val="000000" w:themeColor="text1"/>
        </w:rPr>
        <w:t>:</w:t>
      </w:r>
    </w:p>
    <w:p w14:paraId="2DEC447B" w14:textId="77777777" w:rsidR="00C93EBA" w:rsidRPr="00022D80" w:rsidRDefault="00C93EBA" w:rsidP="00C93EBA">
      <w:pPr>
        <w:pStyle w:val="Odstavecseseznamem"/>
        <w:numPr>
          <w:ilvl w:val="0"/>
          <w:numId w:val="3"/>
        </w:numPr>
        <w:jc w:val="both"/>
        <w:rPr>
          <w:b/>
        </w:rPr>
      </w:pPr>
      <w:r w:rsidRPr="00022D80">
        <w:rPr>
          <w:b/>
        </w:rPr>
        <w:t xml:space="preserve">zkvalitní přípravu programů </w:t>
      </w:r>
      <w:proofErr w:type="spellStart"/>
      <w:r w:rsidRPr="00022D80">
        <w:rPr>
          <w:b/>
        </w:rPr>
        <w:t>VaVaI</w:t>
      </w:r>
      <w:proofErr w:type="spellEnd"/>
      <w:r w:rsidRPr="00022D80">
        <w:rPr>
          <w:b/>
        </w:rPr>
        <w:t xml:space="preserve"> / přípravu veřejných soutěží </w:t>
      </w:r>
      <w:proofErr w:type="spellStart"/>
      <w:r w:rsidRPr="00022D80">
        <w:rPr>
          <w:b/>
        </w:rPr>
        <w:t>VaVaI</w:t>
      </w:r>
      <w:proofErr w:type="spellEnd"/>
      <w:r w:rsidRPr="00022D80">
        <w:rPr>
          <w:b/>
        </w:rPr>
        <w:t>,</w:t>
      </w:r>
    </w:p>
    <w:p w14:paraId="5C0BF720" w14:textId="77777777" w:rsidR="00C93EBA" w:rsidRPr="00022D80" w:rsidRDefault="00C93EBA" w:rsidP="00C93EBA">
      <w:pPr>
        <w:pStyle w:val="Odstavecseseznamem"/>
        <w:numPr>
          <w:ilvl w:val="0"/>
          <w:numId w:val="3"/>
        </w:numPr>
        <w:jc w:val="both"/>
        <w:rPr>
          <w:b/>
        </w:rPr>
      </w:pPr>
      <w:r w:rsidRPr="00022D80">
        <w:rPr>
          <w:b/>
        </w:rPr>
        <w:t xml:space="preserve">zefektivní hodnocení realizovaných programů, </w:t>
      </w:r>
    </w:p>
    <w:p w14:paraId="52147BAA" w14:textId="77777777" w:rsidR="00C93EBA" w:rsidRPr="00022D80" w:rsidRDefault="00C93EBA" w:rsidP="00C93EBA">
      <w:pPr>
        <w:pStyle w:val="Odstavecseseznamem"/>
        <w:numPr>
          <w:ilvl w:val="0"/>
          <w:numId w:val="3"/>
        </w:numPr>
        <w:jc w:val="both"/>
        <w:rPr>
          <w:b/>
        </w:rPr>
      </w:pPr>
      <w:r w:rsidRPr="00022D80">
        <w:rPr>
          <w:b/>
        </w:rPr>
        <w:t>zefektivní a zdigitalizuje administraci projektů.</w:t>
      </w:r>
    </w:p>
    <w:p w14:paraId="76D8F7F4" w14:textId="77777777" w:rsidR="00C93EBA" w:rsidRDefault="00C93EBA" w:rsidP="00C93EBA">
      <w:pPr>
        <w:pStyle w:val="Odstavecseseznamem"/>
        <w:jc w:val="both"/>
      </w:pPr>
    </w:p>
    <w:p w14:paraId="7CAD4B9D" w14:textId="77777777" w:rsidR="00022D80" w:rsidRDefault="00022D80" w:rsidP="00C93EBA">
      <w:pPr>
        <w:pStyle w:val="Odstavecseseznamem"/>
        <w:jc w:val="both"/>
      </w:pPr>
    </w:p>
    <w:p w14:paraId="1F3ACF88" w14:textId="07DB27BC" w:rsidR="00022D80" w:rsidRPr="00022D80" w:rsidRDefault="00DF66C7" w:rsidP="00C93EBA">
      <w:pPr>
        <w:jc w:val="both"/>
        <w:rPr>
          <w:color w:val="000000" w:themeColor="text1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2F7175F" wp14:editId="054E0C6F">
                <wp:simplePos x="0" y="0"/>
                <wp:positionH relativeFrom="column">
                  <wp:posOffset>-145415</wp:posOffset>
                </wp:positionH>
                <wp:positionV relativeFrom="paragraph">
                  <wp:posOffset>37465</wp:posOffset>
                </wp:positionV>
                <wp:extent cx="0" cy="1158240"/>
                <wp:effectExtent l="0" t="0" r="38100" b="22860"/>
                <wp:wrapNone/>
                <wp:docPr id="45" name="Přímá spojnic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8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4D6964" id="Přímá spojnice 45" o:spid="_x0000_s1026" style="position:absolute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45pt,2.95pt" to="-11.4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" strokecolor="#f03741" strokeweight="1.5pt">
                <v:stroke joinstyle="miter"/>
              </v:line>
            </w:pict>
          </mc:Fallback>
        </mc:AlternateContent>
      </w:r>
      <w:r w:rsidR="00C93EBA" w:rsidRPr="00022D80">
        <w:rPr>
          <w:b/>
          <w:color w:val="F03741"/>
        </w:rPr>
        <w:t xml:space="preserve">Cíl </w:t>
      </w:r>
      <w:r w:rsidR="004C24D3">
        <w:rPr>
          <w:b/>
          <w:color w:val="F03741"/>
        </w:rPr>
        <w:t>2</w:t>
      </w:r>
      <w:r w:rsidR="00C93EBA" w:rsidRPr="00022D80">
        <w:rPr>
          <w:b/>
          <w:color w:val="F03741"/>
        </w:rPr>
        <w:t xml:space="preserve">: </w:t>
      </w:r>
      <w:r w:rsidR="00C93EBA" w:rsidRPr="00022D80">
        <w:rPr>
          <w:color w:val="000000" w:themeColor="text1"/>
        </w:rPr>
        <w:t xml:space="preserve">TA ČR bude posilovat spolupráci výzkumných organizací a aplikační sféry jak v rámci ČR, tak v zahraniční spolupráci. </w:t>
      </w:r>
    </w:p>
    <w:p w14:paraId="2E3853DF" w14:textId="77777777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color w:val="000000" w:themeColor="text1"/>
        </w:rPr>
        <w:t>TA ČR bude</w:t>
      </w:r>
      <w:r w:rsidR="00022D80" w:rsidRPr="00022D80">
        <w:rPr>
          <w:color w:val="000000" w:themeColor="text1"/>
        </w:rPr>
        <w:t>:</w:t>
      </w:r>
    </w:p>
    <w:p w14:paraId="41F66615" w14:textId="77777777" w:rsidR="00C93EBA" w:rsidRPr="00022D80" w:rsidRDefault="00C93EBA" w:rsidP="00C93EBA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022D80">
        <w:rPr>
          <w:b/>
        </w:rPr>
        <w:t xml:space="preserve">rozvíjet spolupráci se subjekty veřejného a soukromého sektoru, </w:t>
      </w:r>
    </w:p>
    <w:p w14:paraId="24B705D4" w14:textId="77777777" w:rsidR="00C93EBA" w:rsidRPr="00022D80" w:rsidRDefault="00C93EBA" w:rsidP="00C93EBA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022D80">
        <w:rPr>
          <w:b/>
        </w:rPr>
        <w:t>motivovat příjemce podpory k uplatnění výsledků v praxi,</w:t>
      </w:r>
    </w:p>
    <w:p w14:paraId="1C675376" w14:textId="77777777" w:rsidR="00C93EBA" w:rsidRPr="00022D80" w:rsidRDefault="00C93EBA" w:rsidP="00C93EBA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022D80">
        <w:rPr>
          <w:b/>
        </w:rPr>
        <w:t>vytvářet podmínky pro zapojení výzkumných týmů do mezinárodních konsorcií.</w:t>
      </w:r>
    </w:p>
    <w:p w14:paraId="42F9873F" w14:textId="77777777" w:rsidR="00DF66C7" w:rsidRDefault="00DF66C7" w:rsidP="00C93EBA">
      <w:pPr>
        <w:pStyle w:val="Odstavecseseznamem"/>
        <w:jc w:val="both"/>
      </w:pPr>
    </w:p>
    <w:p w14:paraId="79C64A42" w14:textId="77777777" w:rsidR="00C93EBA" w:rsidRDefault="00DF66C7" w:rsidP="00C93EBA">
      <w:pPr>
        <w:pStyle w:val="Odstavecseseznamem"/>
        <w:jc w:val="both"/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5535749" wp14:editId="2099BDC9">
                <wp:simplePos x="0" y="0"/>
                <wp:positionH relativeFrom="column">
                  <wp:posOffset>-144145</wp:posOffset>
                </wp:positionH>
                <wp:positionV relativeFrom="paragraph">
                  <wp:posOffset>279400</wp:posOffset>
                </wp:positionV>
                <wp:extent cx="6350" cy="723900"/>
                <wp:effectExtent l="0" t="0" r="31750" b="19050"/>
                <wp:wrapNone/>
                <wp:docPr id="46" name="Přímá spojnic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7239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0FF31" id="Přímá spojnice 46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35pt,22pt" to="-10.8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" strokecolor="#f03741" strokeweight="1.5pt">
                <v:stroke joinstyle="miter"/>
              </v:line>
            </w:pict>
          </mc:Fallback>
        </mc:AlternateContent>
      </w:r>
    </w:p>
    <w:p w14:paraId="471BC607" w14:textId="1CF6BD34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b/>
          <w:color w:val="F03741"/>
        </w:rPr>
        <w:t xml:space="preserve">Cíl </w:t>
      </w:r>
      <w:r w:rsidR="004C24D3">
        <w:rPr>
          <w:b/>
          <w:color w:val="F03741"/>
        </w:rPr>
        <w:t>3</w:t>
      </w:r>
      <w:r w:rsidRPr="00022D80">
        <w:rPr>
          <w:b/>
          <w:color w:val="F03741"/>
        </w:rPr>
        <w:t xml:space="preserve">: </w:t>
      </w:r>
      <w:r w:rsidRPr="00022D80">
        <w:rPr>
          <w:color w:val="000000" w:themeColor="text1"/>
        </w:rPr>
        <w:t xml:space="preserve">TA ČR bude rozšiřovat svoje zapojení do mezinárodní spolupráce v oblasti </w:t>
      </w:r>
      <w:proofErr w:type="spellStart"/>
      <w:r w:rsidRPr="00022D80">
        <w:rPr>
          <w:color w:val="000000" w:themeColor="text1"/>
        </w:rPr>
        <w:t>VaVaI</w:t>
      </w:r>
      <w:proofErr w:type="spellEnd"/>
      <w:r w:rsidR="00C4015C">
        <w:rPr>
          <w:color w:val="000000" w:themeColor="text1"/>
        </w:rPr>
        <w:t xml:space="preserve"> v koordinaci s Ministerstvem školství, mládeže a tělovýchovy</w:t>
      </w:r>
      <w:r w:rsidR="00C4015C">
        <w:rPr>
          <w:rStyle w:val="Znakapoznpodarou"/>
          <w:color w:val="000000" w:themeColor="text1"/>
        </w:rPr>
        <w:footnoteReference w:id="6"/>
      </w:r>
      <w:r w:rsidRPr="00022D80">
        <w:rPr>
          <w:color w:val="000000" w:themeColor="text1"/>
        </w:rPr>
        <w:t xml:space="preserve">. </w:t>
      </w:r>
    </w:p>
    <w:p w14:paraId="0F88E4B8" w14:textId="77777777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color w:val="000000" w:themeColor="text1"/>
        </w:rPr>
        <w:t>TA ČR (se) bude</w:t>
      </w:r>
      <w:r w:rsidR="00022D80" w:rsidRPr="00022D80">
        <w:rPr>
          <w:color w:val="000000" w:themeColor="text1"/>
        </w:rPr>
        <w:t>:</w:t>
      </w:r>
    </w:p>
    <w:p w14:paraId="11BB2915" w14:textId="4E2EDD3B" w:rsidR="00C93EBA" w:rsidRPr="00022D80" w:rsidRDefault="002A5505" w:rsidP="00C93EBA">
      <w:pPr>
        <w:pStyle w:val="Odstavecseseznamem"/>
        <w:numPr>
          <w:ilvl w:val="0"/>
          <w:numId w:val="5"/>
        </w:numPr>
        <w:jc w:val="both"/>
        <w:rPr>
          <w:b/>
          <w:color w:val="000000" w:themeColor="text1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6E9EF54" wp14:editId="6877DC6A">
                <wp:simplePos x="0" y="0"/>
                <wp:positionH relativeFrom="column">
                  <wp:posOffset>-133350</wp:posOffset>
                </wp:positionH>
                <wp:positionV relativeFrom="paragraph">
                  <wp:posOffset>-6350</wp:posOffset>
                </wp:positionV>
                <wp:extent cx="6350" cy="723900"/>
                <wp:effectExtent l="0" t="0" r="31750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7239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67B8C" id="Přímá spojnice 12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-.5pt" to="-10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" strokecolor="#f03741" strokeweight="1.5pt">
                <v:stroke joinstyle="miter"/>
              </v:line>
            </w:pict>
          </mc:Fallback>
        </mc:AlternateContent>
      </w:r>
      <w:r w:rsidR="00C93EBA" w:rsidRPr="00022D80">
        <w:rPr>
          <w:b/>
          <w:color w:val="000000" w:themeColor="text1"/>
        </w:rPr>
        <w:t>aktivní v evropském sdružení inovačních agentur TAFTIE,</w:t>
      </w:r>
    </w:p>
    <w:p w14:paraId="5423D3FC" w14:textId="77777777" w:rsidR="00C93EBA" w:rsidRPr="00022D80" w:rsidRDefault="00C93EBA" w:rsidP="00C93EBA">
      <w:pPr>
        <w:pStyle w:val="Odstavecseseznamem"/>
        <w:numPr>
          <w:ilvl w:val="0"/>
          <w:numId w:val="5"/>
        </w:numPr>
        <w:jc w:val="both"/>
        <w:rPr>
          <w:b/>
          <w:color w:val="000000" w:themeColor="text1"/>
        </w:rPr>
      </w:pPr>
      <w:r w:rsidRPr="00022D80">
        <w:rPr>
          <w:b/>
          <w:color w:val="000000" w:themeColor="text1"/>
        </w:rPr>
        <w:t>zapojovat do nových nástrojů unijních programů,</w:t>
      </w:r>
    </w:p>
    <w:p w14:paraId="7D883DB7" w14:textId="423F884F" w:rsidR="00C93EBA" w:rsidRPr="00022D80" w:rsidRDefault="00C93EBA" w:rsidP="00C93EBA">
      <w:pPr>
        <w:pStyle w:val="Odstavecseseznamem"/>
        <w:numPr>
          <w:ilvl w:val="0"/>
          <w:numId w:val="5"/>
        </w:numPr>
        <w:jc w:val="both"/>
        <w:rPr>
          <w:b/>
          <w:color w:val="000000" w:themeColor="text1"/>
        </w:rPr>
      </w:pPr>
      <w:r w:rsidRPr="00022D80">
        <w:rPr>
          <w:b/>
          <w:color w:val="000000" w:themeColor="text1"/>
        </w:rPr>
        <w:t>u relevantních zahraničních agentur sledovat a vyhodnocovat ověřené dobré postupy a</w:t>
      </w:r>
      <w:r w:rsidR="00F574F0">
        <w:t> </w:t>
      </w:r>
      <w:r w:rsidRPr="00022D80">
        <w:rPr>
          <w:b/>
          <w:color w:val="000000" w:themeColor="text1"/>
        </w:rPr>
        <w:t>implementovat je do své činnosti.</w:t>
      </w:r>
    </w:p>
    <w:p w14:paraId="6EB48725" w14:textId="77777777" w:rsidR="00C93EBA" w:rsidRDefault="00DF66C7" w:rsidP="00C93EBA">
      <w:pPr>
        <w:jc w:val="both"/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9820ACD" wp14:editId="0DD9A889">
                <wp:simplePos x="0" y="0"/>
                <wp:positionH relativeFrom="column">
                  <wp:posOffset>-145415</wp:posOffset>
                </wp:positionH>
                <wp:positionV relativeFrom="paragraph">
                  <wp:posOffset>283845</wp:posOffset>
                </wp:positionV>
                <wp:extent cx="0" cy="1021080"/>
                <wp:effectExtent l="0" t="0" r="38100" b="26670"/>
                <wp:wrapNone/>
                <wp:docPr id="47" name="Přímá spojnic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10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A3B20C" id="Přímá spojnice 47" o:spid="_x0000_s1026" style="position:absolute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45pt,22.35pt" to="-11.4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" strokecolor="#f03741" strokeweight="1.5pt">
                <v:stroke joinstyle="miter"/>
              </v:line>
            </w:pict>
          </mc:Fallback>
        </mc:AlternateContent>
      </w:r>
    </w:p>
    <w:p w14:paraId="1EB1856A" w14:textId="117EFCB0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b/>
          <w:color w:val="F03741"/>
        </w:rPr>
        <w:t xml:space="preserve">Cíl </w:t>
      </w:r>
      <w:r w:rsidR="004C24D3">
        <w:rPr>
          <w:b/>
          <w:color w:val="F03741"/>
        </w:rPr>
        <w:t>4</w:t>
      </w:r>
      <w:r w:rsidRPr="00022D80">
        <w:rPr>
          <w:b/>
          <w:color w:val="F03741"/>
        </w:rPr>
        <w:t xml:space="preserve">: </w:t>
      </w:r>
      <w:r w:rsidRPr="00022D80">
        <w:rPr>
          <w:color w:val="000000" w:themeColor="text1"/>
        </w:rPr>
        <w:t xml:space="preserve">TA ČR bude rozvíjet řízení agentury v souladu s principy tzv. </w:t>
      </w:r>
      <w:r w:rsidR="00F574F0">
        <w:rPr>
          <w:color w:val="000000" w:themeColor="text1"/>
        </w:rPr>
        <w:t>„</w:t>
      </w:r>
      <w:proofErr w:type="spellStart"/>
      <w:r w:rsidRPr="00022D80">
        <w:rPr>
          <w:color w:val="000000" w:themeColor="text1"/>
        </w:rPr>
        <w:t>good</w:t>
      </w:r>
      <w:proofErr w:type="spellEnd"/>
      <w:r w:rsidRPr="00022D80">
        <w:rPr>
          <w:color w:val="000000" w:themeColor="text1"/>
        </w:rPr>
        <w:t xml:space="preserve"> </w:t>
      </w:r>
      <w:proofErr w:type="spellStart"/>
      <w:r w:rsidRPr="00022D80">
        <w:rPr>
          <w:color w:val="000000" w:themeColor="text1"/>
        </w:rPr>
        <w:t>governance</w:t>
      </w:r>
      <w:proofErr w:type="spellEnd"/>
      <w:r w:rsidR="00F574F0">
        <w:rPr>
          <w:color w:val="000000" w:themeColor="text1"/>
        </w:rPr>
        <w:t>“</w:t>
      </w:r>
      <w:r w:rsidRPr="00022D80">
        <w:rPr>
          <w:color w:val="000000" w:themeColor="text1"/>
        </w:rPr>
        <w:t xml:space="preserve">. </w:t>
      </w:r>
    </w:p>
    <w:p w14:paraId="1B57E770" w14:textId="77777777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color w:val="000000" w:themeColor="text1"/>
        </w:rPr>
        <w:t>TA ČR bude</w:t>
      </w:r>
      <w:r w:rsidR="00022D80" w:rsidRPr="00022D80">
        <w:rPr>
          <w:color w:val="000000" w:themeColor="text1"/>
        </w:rPr>
        <w:t>:</w:t>
      </w:r>
    </w:p>
    <w:p w14:paraId="16566272" w14:textId="1D94C103" w:rsidR="00C93EBA" w:rsidRPr="00022D80" w:rsidRDefault="00C93EBA" w:rsidP="00C93EBA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022D80">
        <w:rPr>
          <w:b/>
        </w:rPr>
        <w:t>uplatňovat metody strategického řízení</w:t>
      </w:r>
      <w:r w:rsidR="00D16B94">
        <w:rPr>
          <w:b/>
        </w:rPr>
        <w:t xml:space="preserve"> a</w:t>
      </w:r>
      <w:r w:rsidRPr="00022D80">
        <w:rPr>
          <w:b/>
        </w:rPr>
        <w:t xml:space="preserve"> procesního řízení,</w:t>
      </w:r>
    </w:p>
    <w:p w14:paraId="0B0B7015" w14:textId="77777777" w:rsidR="00C93EBA" w:rsidRPr="00022D80" w:rsidRDefault="00C93EBA" w:rsidP="00C93EBA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022D80">
        <w:rPr>
          <w:b/>
        </w:rPr>
        <w:t>aktivní ve vnější a interní komunikaci,</w:t>
      </w:r>
    </w:p>
    <w:p w14:paraId="50D77FBD" w14:textId="77777777" w:rsidR="00C93EBA" w:rsidRPr="00022D80" w:rsidRDefault="00C93EBA" w:rsidP="00C93EBA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022D80">
        <w:rPr>
          <w:b/>
        </w:rPr>
        <w:t>rozvíjet profesionalizaci zaměstnanců.</w:t>
      </w:r>
    </w:p>
    <w:p w14:paraId="764C52A5" w14:textId="77777777" w:rsidR="00C93EBA" w:rsidRDefault="00DF66C7" w:rsidP="00C93EBA">
      <w:pPr>
        <w:pStyle w:val="Odstavecseseznamem"/>
        <w:jc w:val="both"/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F96386D" wp14:editId="72233D79">
                <wp:simplePos x="0" y="0"/>
                <wp:positionH relativeFrom="column">
                  <wp:posOffset>-145415</wp:posOffset>
                </wp:positionH>
                <wp:positionV relativeFrom="paragraph">
                  <wp:posOffset>265430</wp:posOffset>
                </wp:positionV>
                <wp:extent cx="0" cy="1264920"/>
                <wp:effectExtent l="0" t="0" r="38100" b="30480"/>
                <wp:wrapNone/>
                <wp:docPr id="48" name="Přímá spojnic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49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71F0AB" id="Přímá spojnice 48" o:spid="_x0000_s1026" style="position:absolute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45pt,20.9pt" to="-11.45pt,1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" strokecolor="#f03741" strokeweight="1.5pt">
                <v:stroke joinstyle="miter"/>
              </v:line>
            </w:pict>
          </mc:Fallback>
        </mc:AlternateContent>
      </w:r>
    </w:p>
    <w:p w14:paraId="690B6DBD" w14:textId="3674DB6C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b/>
          <w:color w:val="F03741"/>
        </w:rPr>
        <w:t xml:space="preserve">Cíl </w:t>
      </w:r>
      <w:r w:rsidR="004C24D3">
        <w:rPr>
          <w:b/>
          <w:color w:val="F03741"/>
        </w:rPr>
        <w:t>5</w:t>
      </w:r>
      <w:r w:rsidRPr="00022D80">
        <w:rPr>
          <w:b/>
          <w:color w:val="F03741"/>
        </w:rPr>
        <w:t>:</w:t>
      </w:r>
      <w:r w:rsidRPr="00022D80">
        <w:rPr>
          <w:color w:val="000000" w:themeColor="text1"/>
        </w:rPr>
        <w:t xml:space="preserve"> TA ČR bude rozvíjet analytickou bázi pro veřejnou správu. </w:t>
      </w:r>
    </w:p>
    <w:p w14:paraId="767DD7C7" w14:textId="77777777" w:rsidR="00C93EBA" w:rsidRPr="00022D80" w:rsidRDefault="00C93EBA" w:rsidP="00C93EBA">
      <w:pPr>
        <w:jc w:val="both"/>
        <w:rPr>
          <w:color w:val="000000" w:themeColor="text1"/>
        </w:rPr>
      </w:pPr>
      <w:r w:rsidRPr="00022D80">
        <w:rPr>
          <w:color w:val="000000" w:themeColor="text1"/>
        </w:rPr>
        <w:t>TA ČR bude</w:t>
      </w:r>
      <w:r w:rsidR="00022D80" w:rsidRPr="00022D80">
        <w:rPr>
          <w:color w:val="000000" w:themeColor="text1"/>
        </w:rPr>
        <w:t>:</w:t>
      </w:r>
    </w:p>
    <w:p w14:paraId="54CBF19E" w14:textId="77777777" w:rsidR="00C93EBA" w:rsidRPr="00022D80" w:rsidRDefault="00C93EBA" w:rsidP="00C93EBA">
      <w:pPr>
        <w:pStyle w:val="Odstavecseseznamem"/>
        <w:numPr>
          <w:ilvl w:val="0"/>
          <w:numId w:val="7"/>
        </w:numPr>
        <w:jc w:val="both"/>
        <w:rPr>
          <w:b/>
        </w:rPr>
      </w:pPr>
      <w:r w:rsidRPr="00022D80">
        <w:rPr>
          <w:b/>
        </w:rPr>
        <w:t>analyzovat data získaná v průběhu celého procesu podpory a bude mapovat inovační potenciál v ČR,</w:t>
      </w:r>
    </w:p>
    <w:p w14:paraId="2F010BD9" w14:textId="77777777" w:rsidR="00C93EBA" w:rsidRPr="00022D80" w:rsidRDefault="00C93EBA" w:rsidP="00C93EBA">
      <w:pPr>
        <w:pStyle w:val="Odstavecseseznamem"/>
        <w:numPr>
          <w:ilvl w:val="0"/>
          <w:numId w:val="7"/>
        </w:numPr>
        <w:jc w:val="both"/>
        <w:rPr>
          <w:b/>
        </w:rPr>
      </w:pPr>
      <w:r w:rsidRPr="00022D80">
        <w:rPr>
          <w:b/>
        </w:rPr>
        <w:t>zpřístupňovat informace pomocí analytického a vizualizačního nástroje STARFOS,</w:t>
      </w:r>
    </w:p>
    <w:p w14:paraId="56304851" w14:textId="77777777" w:rsidR="00C93EBA" w:rsidRPr="00022D80" w:rsidRDefault="00C93EBA" w:rsidP="00C93EBA">
      <w:pPr>
        <w:pStyle w:val="Odstavecseseznamem"/>
        <w:numPr>
          <w:ilvl w:val="0"/>
          <w:numId w:val="7"/>
        </w:numPr>
        <w:jc w:val="both"/>
        <w:rPr>
          <w:b/>
        </w:rPr>
      </w:pPr>
      <w:r w:rsidRPr="00022D80">
        <w:rPr>
          <w:b/>
        </w:rPr>
        <w:t>poskytovat poradenství v regionech ve spolupráci s ostatními orgány státní správy,</w:t>
      </w:r>
    </w:p>
    <w:p w14:paraId="14E18A2C" w14:textId="4A6F75DA" w:rsidR="0015725D" w:rsidRPr="00D3648D" w:rsidRDefault="00C93EBA" w:rsidP="00D3648D">
      <w:pPr>
        <w:pStyle w:val="Odstavecseseznamem"/>
        <w:numPr>
          <w:ilvl w:val="0"/>
          <w:numId w:val="7"/>
        </w:numPr>
        <w:jc w:val="both"/>
        <w:rPr>
          <w:b/>
        </w:rPr>
      </w:pPr>
      <w:r w:rsidRPr="00022D80">
        <w:rPr>
          <w:b/>
        </w:rPr>
        <w:t xml:space="preserve">rozvíjet informační systémy pro správu projektů </w:t>
      </w:r>
      <w:proofErr w:type="spellStart"/>
      <w:r w:rsidRPr="00022D80">
        <w:rPr>
          <w:b/>
        </w:rPr>
        <w:t>VaVaI</w:t>
      </w:r>
      <w:proofErr w:type="spellEnd"/>
      <w:r w:rsidRPr="00022D80">
        <w:rPr>
          <w:b/>
        </w:rPr>
        <w:t>.</w:t>
      </w:r>
    </w:p>
    <w:p w14:paraId="2E593EA8" w14:textId="3108FFBE" w:rsidR="006E3A3E" w:rsidRDefault="006E3A3E"/>
    <w:p w14:paraId="4147EF45" w14:textId="77777777" w:rsidR="00D3648D" w:rsidRDefault="00D3648D"/>
    <w:p w14:paraId="10875A05" w14:textId="77777777" w:rsidR="00D3648D" w:rsidRDefault="00D3648D">
      <w:r>
        <w:br w:type="page"/>
      </w:r>
    </w:p>
    <w:p w14:paraId="3DF137F5" w14:textId="7FB2FC56" w:rsidR="00DC5923" w:rsidRDefault="00C93EBA">
      <w:r w:rsidRPr="00C93EBA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457F83E" wp14:editId="4CFA4384">
                <wp:simplePos x="0" y="0"/>
                <wp:positionH relativeFrom="column">
                  <wp:posOffset>-127000</wp:posOffset>
                </wp:positionH>
                <wp:positionV relativeFrom="paragraph">
                  <wp:posOffset>-132080</wp:posOffset>
                </wp:positionV>
                <wp:extent cx="5684520" cy="572135"/>
                <wp:effectExtent l="0" t="0" r="0" b="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4520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6AE50" w14:textId="54592A49" w:rsidR="000831DF" w:rsidRDefault="000831DF" w:rsidP="00C93EBA">
                            <w:pPr>
                              <w:pStyle w:val="Nadpis1"/>
                              <w:jc w:val="both"/>
                            </w:pPr>
                            <w:bookmarkStart w:id="15" w:name="_Toc62551380"/>
                            <w:bookmarkStart w:id="16" w:name="_Toc66366431"/>
                            <w:r>
                              <w:t xml:space="preserve">4. Implementace </w:t>
                            </w:r>
                            <w:r w:rsidR="00B47082">
                              <w:t>–</w:t>
                            </w:r>
                            <w:r>
                              <w:t xml:space="preserve"> Programy TA ČR</w:t>
                            </w:r>
                            <w:bookmarkEnd w:id="15"/>
                            <w:bookmarkEnd w:id="1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7F83E" id="_x0000_t202" coordsize="21600,21600" o:spt="202" path="m,l,21600r21600,l21600,xe">
                <v:stroke joinstyle="miter"/>
                <v:path gradientshapeok="t" o:connecttype="rect"/>
              </v:shapetype>
              <v:shape id="Textové pole 16" o:spid="_x0000_s1035" type="#_x0000_t202" style="position:absolute;margin-left:-10pt;margin-top:-10.4pt;width:447.6pt;height:45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" filled="f" stroked="f" strokeweight=".5pt">
                <v:textbox>
                  <w:txbxContent>
                    <w:p w14:paraId="15C6AE50" w14:textId="54592A49" w:rsidR="000831DF" w:rsidRDefault="000831DF" w:rsidP="00C93EBA">
                      <w:pPr>
                        <w:pStyle w:val="Nadpis1"/>
                        <w:jc w:val="both"/>
                      </w:pPr>
                      <w:bookmarkStart w:id="17" w:name="_Toc62551380"/>
                      <w:bookmarkStart w:id="18" w:name="_Toc66366431"/>
                      <w:r>
                        <w:t xml:space="preserve">4. Implementace </w:t>
                      </w:r>
                      <w:r w:rsidR="00B47082">
                        <w:t>–</w:t>
                      </w:r>
                      <w:r>
                        <w:t xml:space="preserve"> Programy TA ČR</w:t>
                      </w:r>
                      <w:bookmarkEnd w:id="17"/>
                      <w:bookmarkEnd w:id="18"/>
                    </w:p>
                  </w:txbxContent>
                </v:textbox>
              </v:shape>
            </w:pict>
          </mc:Fallback>
        </mc:AlternateContent>
      </w:r>
    </w:p>
    <w:p w14:paraId="69FC80E7" w14:textId="4E7D0692" w:rsidR="00DC5923" w:rsidRDefault="00DC5923"/>
    <w:p w14:paraId="64281F6F" w14:textId="2D71F71E" w:rsidR="0015725D" w:rsidRDefault="005901D3" w:rsidP="00C93EBA">
      <w:pPr>
        <w:jc w:val="both"/>
      </w:pPr>
      <w:r w:rsidRPr="00C93EB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CC4A32F" wp14:editId="37FD02D5">
                <wp:simplePos x="0" y="0"/>
                <wp:positionH relativeFrom="column">
                  <wp:posOffset>1270</wp:posOffset>
                </wp:positionH>
                <wp:positionV relativeFrom="paragraph">
                  <wp:posOffset>43815</wp:posOffset>
                </wp:positionV>
                <wp:extent cx="5730240" cy="0"/>
                <wp:effectExtent l="0" t="38100" r="41910" b="3810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2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9C03FE" id="Přímá spojnice 17" o:spid="_x0000_s1026" style="position:absolute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3.45pt" to="451.3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" strokecolor="#f03741" strokeweight="6pt">
                <v:stroke joinstyle="miter"/>
              </v:line>
            </w:pict>
          </mc:Fallback>
        </mc:AlternateContent>
      </w:r>
    </w:p>
    <w:p w14:paraId="230B8E2C" w14:textId="16215B93" w:rsidR="00C93EBA" w:rsidRDefault="00C93EBA" w:rsidP="00C93EBA">
      <w:pPr>
        <w:jc w:val="both"/>
      </w:pPr>
      <w:r>
        <w:t xml:space="preserve">Uvedené strategické směřování bude realizováno prostřednictvím programových nástrojů na podporu aplikovaného výzkumu a inovací. Přehled všech programů TA ČR je uveden v příloze </w:t>
      </w:r>
      <w:r w:rsidR="00E37FA0">
        <w:t>tohoto dokumentu</w:t>
      </w:r>
      <w:r>
        <w:t>. V</w:t>
      </w:r>
      <w:r w:rsidR="00E37FA0">
        <w:t> </w:t>
      </w:r>
      <w:r>
        <w:t>současné době agentura disponuje celkem devíti vlastními programy – ZÉTA, ÉTA, DELTA</w:t>
      </w:r>
      <w:r w:rsidR="00E37FA0">
        <w:t>2</w:t>
      </w:r>
      <w:r>
        <w:t>, GAMA</w:t>
      </w:r>
      <w:r w:rsidR="00E37FA0">
        <w:t>2</w:t>
      </w:r>
      <w:r>
        <w:t>, NÁRODNÍ CENTRA KOMPETENCE, THÉTA, KAPPA, EPSILON, BETA</w:t>
      </w:r>
      <w:r w:rsidR="00E37FA0">
        <w:t>2</w:t>
      </w:r>
      <w:r>
        <w:t>. Od roku 2019 přibyla agentuře implementační role a</w:t>
      </w:r>
      <w:r w:rsidR="00E37FA0">
        <w:t> </w:t>
      </w:r>
      <w:r>
        <w:t>st</w:t>
      </w:r>
      <w:r w:rsidR="002A5505">
        <w:t>ala</w:t>
      </w:r>
      <w:r>
        <w:t xml:space="preserve"> se agenturou, která má za úkol zajišťovat také realizaci programů pro další resorty. Směřuje tak k naplnění vize, se kterou byla založena – být hlavním poskytovatelem veřejných prostředků pro aplikovaný výzkum a</w:t>
      </w:r>
      <w:r w:rsidR="00E37FA0">
        <w:t> </w:t>
      </w:r>
      <w:r>
        <w:t>inovace</w:t>
      </w:r>
      <w:r w:rsidR="00E37FA0">
        <w:t xml:space="preserve">. </w:t>
      </w:r>
    </w:p>
    <w:p w14:paraId="0D59E3A3" w14:textId="24B6B11A" w:rsidR="00237E3F" w:rsidRDefault="00237E3F" w:rsidP="00237E3F">
      <w:pPr>
        <w:pStyle w:val="Nadpis2"/>
      </w:pPr>
      <w:bookmarkStart w:id="17" w:name="_Toc66366432"/>
      <w:r>
        <w:t>Stávající programy TA ČR</w:t>
      </w:r>
      <w:bookmarkEnd w:id="17"/>
    </w:p>
    <w:p w14:paraId="2FDEAF5A" w14:textId="55210EA0" w:rsidR="00237E3F" w:rsidRDefault="00237E3F" w:rsidP="00237E3F">
      <w:pPr>
        <w:jc w:val="both"/>
      </w:pPr>
      <w:r w:rsidRPr="00237E3F">
        <w:t>Současné programy TA ČR jsou tematicky nebo sektorově zaměřeny. Výjimkou je program BETA</w:t>
      </w:r>
      <w:r w:rsidR="00F574F0">
        <w:t>2</w:t>
      </w:r>
      <w:r w:rsidRPr="00237E3F">
        <w:t>, který řeší aktuální potřeby orgánů státní správy, prostřednictvím zadávání veřejných zakázek. Všechny stávající programy byly vytvářeny samostatně a následně podléhaly schválení Radou pro výzkum, vývoj a inovace a dále Vládou ČR. Příprava a schválení jednotlivých programů účelové podpory trvá několik let, a proto se v souladu s</w:t>
      </w:r>
      <w:r w:rsidR="00E37FA0">
        <w:t> </w:t>
      </w:r>
      <w:r w:rsidRPr="00237E3F">
        <w:t xml:space="preserve">vyjmenovanými strategickými cíli jeví jako žádoucí sjednotit vlastní programové portfolio TA ČR do jednoho programu účelové podpory. Toto zjednodušení v programové oblasti a její diverzifikované cílení pomocí veřejných soutěží dále zvýší produktivitu a efektivitu agentury, která bude kvalitně plnit roli </w:t>
      </w:r>
      <w:r w:rsidR="00F574F0">
        <w:t>agentury implementující vládou schválené programy</w:t>
      </w:r>
      <w:r w:rsidRPr="00237E3F">
        <w:t>.</w:t>
      </w:r>
    </w:p>
    <w:p w14:paraId="0CF9E8CA" w14:textId="08A44EB0" w:rsidR="00237E3F" w:rsidRDefault="00237E3F" w:rsidP="00237E3F">
      <w:pPr>
        <w:pStyle w:val="Nadpis2"/>
      </w:pPr>
      <w:bookmarkStart w:id="18" w:name="_Toc66366433"/>
      <w:r>
        <w:t xml:space="preserve">Stávající resortní programy </w:t>
      </w:r>
      <w:r w:rsidR="00083D32">
        <w:t xml:space="preserve">implementované </w:t>
      </w:r>
      <w:r>
        <w:t>TA ČR</w:t>
      </w:r>
      <w:bookmarkEnd w:id="18"/>
    </w:p>
    <w:p w14:paraId="22EDEB89" w14:textId="30E1E9E1" w:rsidR="00237E3F" w:rsidRDefault="00237E3F" w:rsidP="00237E3F">
      <w:pPr>
        <w:jc w:val="both"/>
      </w:pPr>
      <w:r>
        <w:t>Vláda ČR schválila návrhy tří nových resortních programů – TREND, Doprava 2020+, Prostředí pro život, u</w:t>
      </w:r>
      <w:r w:rsidR="00F574F0">
        <w:t> </w:t>
      </w:r>
      <w:r>
        <w:t>nichž se poskytovatelem a realizátorem stala TA ČR</w:t>
      </w:r>
      <w:r w:rsidR="006E3A3E">
        <w:t>, prostřednictvím usnesení ze dne 25. března 2019 č. 202-204</w:t>
      </w:r>
      <w:r>
        <w:t>. Implementace těchto programů prostřednictvím TA ČR umožňuje uchazečům a příjemcům podpory v různých programech žádat o podporu stejným způsobem, za stejných podmínek na stejném místě. Stanovení zaměření, cílů, témat či výzkumných potřeb veřejných soutěží jsou v těchto resortních programech v pravomoci a</w:t>
      </w:r>
      <w:r w:rsidR="00F574F0">
        <w:t> </w:t>
      </w:r>
      <w:r>
        <w:t>gesci odpovědných resortů. Dalším typem spolupráce TA ČR s resorty je poskytnutí informačního systému</w:t>
      </w:r>
      <w:r w:rsidR="006E3A3E">
        <w:t xml:space="preserve"> TA ČR</w:t>
      </w:r>
      <w:r>
        <w:t xml:space="preserve"> </w:t>
      </w:r>
      <w:r w:rsidR="006E3A3E">
        <w:t>(dále jen „ISTA“)</w:t>
      </w:r>
      <w:r>
        <w:t xml:space="preserve"> jako služby.  ISTA byl doposud poskytnut Ministerstvu průmyslu a obchodu </w:t>
      </w:r>
      <w:r w:rsidR="00BA1AEC">
        <w:t xml:space="preserve">(MPO) </w:t>
      </w:r>
      <w:r>
        <w:t xml:space="preserve">pro program </w:t>
      </w:r>
      <w:proofErr w:type="spellStart"/>
      <w:r>
        <w:t>The</w:t>
      </w:r>
      <w:proofErr w:type="spellEnd"/>
      <w:r w:rsidR="00F574F0">
        <w:t> </w:t>
      </w:r>
      <w:r>
        <w:t xml:space="preserve">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>, Ministerstvu zemědělství pro program ZEMĚ a Ministerstvu vnitra pro program IMPAKT 1. Využív</w:t>
      </w:r>
      <w:r w:rsidR="00BA1AEC">
        <w:t>á</w:t>
      </w:r>
      <w:r>
        <w:t>na je tak i metodická a systémové podpora TA ČR.</w:t>
      </w:r>
    </w:p>
    <w:p w14:paraId="1C71B140" w14:textId="2E85AB20" w:rsidR="00237E3F" w:rsidRDefault="00237E3F" w:rsidP="00237E3F">
      <w:pPr>
        <w:pStyle w:val="Nadpis2"/>
      </w:pPr>
      <w:bookmarkStart w:id="19" w:name="_Toc66366434"/>
      <w:r>
        <w:t xml:space="preserve">Mezinárodní spolupráce ERA-NET </w:t>
      </w:r>
      <w:proofErr w:type="spellStart"/>
      <w:r>
        <w:t>cofundy</w:t>
      </w:r>
      <w:bookmarkEnd w:id="19"/>
      <w:proofErr w:type="spellEnd"/>
    </w:p>
    <w:p w14:paraId="7827A4F7" w14:textId="5042D04A" w:rsidR="00DC5923" w:rsidRDefault="00237E3F" w:rsidP="00FD4DF7">
      <w:pPr>
        <w:jc w:val="both"/>
      </w:pPr>
      <w:r w:rsidRPr="00237E3F">
        <w:t xml:space="preserve">TA ČR se od roku 2017 zapojuje do nástroje ERA-NET </w:t>
      </w:r>
      <w:proofErr w:type="spellStart"/>
      <w:r w:rsidRPr="00237E3F">
        <w:t>Cofund</w:t>
      </w:r>
      <w:proofErr w:type="spellEnd"/>
      <w:r w:rsidRPr="00237E3F">
        <w:t xml:space="preserve">. Jedná se o nástroj Evropské komise v rámci programu Horizont 2020, který dává příležitost poskytovatelům z jednotlivých členských států (jako je TA ČR) vyhlašovat společné výzvy s ostatními zeměmi na dohodnutá témata a tím finančně podpořit národní uchazeče v mezinárodních projektech </w:t>
      </w:r>
      <w:proofErr w:type="spellStart"/>
      <w:r w:rsidRPr="00237E3F">
        <w:t>VaVaI</w:t>
      </w:r>
      <w:proofErr w:type="spellEnd"/>
      <w:r w:rsidRPr="00237E3F">
        <w:t xml:space="preserve">. Účast v mezinárodních výzvách ERA-NET </w:t>
      </w:r>
      <w:proofErr w:type="spellStart"/>
      <w:r w:rsidRPr="00237E3F">
        <w:t>Cofundů</w:t>
      </w:r>
      <w:proofErr w:type="spellEnd"/>
      <w:r w:rsidRPr="00237E3F">
        <w:t xml:space="preserve">, do kterých je TA ČR zapojena, jsou financovány prostřednictvím programů EPSILON, ZÉTA, Prostředí pro život </w:t>
      </w:r>
      <w:r w:rsidR="00BA1AEC">
        <w:t xml:space="preserve">a </w:t>
      </w:r>
      <w:r w:rsidRPr="00237E3F">
        <w:t>THÉTA. Záměrem TA</w:t>
      </w:r>
      <w:r w:rsidR="00E37FA0">
        <w:t> </w:t>
      </w:r>
      <w:r w:rsidRPr="00237E3F">
        <w:t xml:space="preserve">ČR je, aby tato podpora pokračovala prostřednictvím připravovaného programu SIGMA. Jeden ze záměrů tohoto programu je umožnění podpory rovněž dalších nástrojů využitelných pro rozvoj mezinárodní spolupráce z programu </w:t>
      </w:r>
      <w:proofErr w:type="spellStart"/>
      <w:r w:rsidRPr="00237E3F">
        <w:t>Horizon</w:t>
      </w:r>
      <w:proofErr w:type="spellEnd"/>
      <w:r w:rsidRPr="00237E3F">
        <w:t xml:space="preserve"> </w:t>
      </w:r>
      <w:proofErr w:type="spellStart"/>
      <w:r w:rsidRPr="00237E3F">
        <w:t>Europe</w:t>
      </w:r>
      <w:proofErr w:type="spellEnd"/>
      <w:r w:rsidRPr="00237E3F">
        <w:t xml:space="preserve">, zejména Evropských partnerství a příp. dalších unijních programů. Účast v ERA-NET </w:t>
      </w:r>
      <w:proofErr w:type="spellStart"/>
      <w:r w:rsidRPr="00237E3F">
        <w:t>Cofund</w:t>
      </w:r>
      <w:proofErr w:type="spellEnd"/>
      <w:r w:rsidRPr="00237E3F">
        <w:t xml:space="preserve"> je předstupeň účasti ve výzvách dalších unijních programů.</w:t>
      </w:r>
    </w:p>
    <w:p w14:paraId="23F081FB" w14:textId="699DA745" w:rsidR="00DC5923" w:rsidRDefault="00EF4F9D" w:rsidP="00237E3F">
      <w:pPr>
        <w:pStyle w:val="Nadpis2"/>
      </w:pPr>
      <w:bookmarkStart w:id="20" w:name="_Toc62551384"/>
      <w:bookmarkStart w:id="21" w:name="_Toc66366435"/>
      <w:r>
        <w:t>Z</w:t>
      </w:r>
      <w:r w:rsidRPr="00EF4F9D">
        <w:t>áměry nových programů TA ČR</w:t>
      </w:r>
      <w:bookmarkEnd w:id="20"/>
      <w:r>
        <w:t xml:space="preserve"> – návrh rámcového programu SIGMA</w:t>
      </w:r>
      <w:bookmarkEnd w:id="21"/>
    </w:p>
    <w:p w14:paraId="5CB74389" w14:textId="53AFC744" w:rsidR="00237E3F" w:rsidRDefault="00237E3F" w:rsidP="00237E3F">
      <w:pPr>
        <w:jc w:val="both"/>
      </w:pPr>
      <w:r>
        <w:t>Návrh programu SIGMA je koncipován tak, aby byl připraven v průběhu svého trvání (2022-2035) postupně převzít podporu oblastí většiny vlastních programů TA ČR, které bude zastřešovat a které budou dle jejich doby trvání v následném období končit. Konkrétně jde o programy GAMA</w:t>
      </w:r>
      <w:r w:rsidR="00BA1AEC">
        <w:t xml:space="preserve"> 2</w:t>
      </w:r>
      <w:r>
        <w:t xml:space="preserve">, ZÉTA, ÉTA, DELTA </w:t>
      </w:r>
      <w:r w:rsidR="00BA1AEC">
        <w:t xml:space="preserve">2 </w:t>
      </w:r>
      <w:r>
        <w:t xml:space="preserve">a nástroje unijních programů (typu ERA-NET </w:t>
      </w:r>
      <w:proofErr w:type="spellStart"/>
      <w:r>
        <w:t>Cofund</w:t>
      </w:r>
      <w:proofErr w:type="spellEnd"/>
      <w:r>
        <w:t xml:space="preserve"> apod.). Současné programy NÁRODNÍ CENTRA KOMPETENCE, THÉTA, BETA</w:t>
      </w:r>
      <w:r w:rsidR="00BA1AEC">
        <w:t>2</w:t>
      </w:r>
      <w:r>
        <w:t>, KAPPA jsou programy s velkou mírou zapojení a ingerence jiných organizačních složek státu podobně jako resortní programy. Tyto typy programů budou stát nadále samostatně a nebudou do programu SIGMA začleněny.</w:t>
      </w:r>
    </w:p>
    <w:p w14:paraId="04C4F3A5" w14:textId="1031BA76" w:rsidR="00237E3F" w:rsidRDefault="00237E3F" w:rsidP="00237E3F">
      <w:pPr>
        <w:jc w:val="both"/>
      </w:pPr>
      <w:r>
        <w:lastRenderedPageBreak/>
        <w:t xml:space="preserve">Program SIGMA je navržen se záměrem zrychlit a zjednodušit vyhlašování veřejných soutěží a umožnit potřebnou </w:t>
      </w:r>
      <w:proofErr w:type="spellStart"/>
      <w:r>
        <w:t>průřezovost</w:t>
      </w:r>
      <w:proofErr w:type="spellEnd"/>
      <w:r>
        <w:t xml:space="preserve"> a flexibilitu při realizaci aktivit v průběhu celého období trvání programu. Novost tohoto programu tkví v tom, že na úrovni programu jsou stanoveny pouze základní parametry a další tematické a</w:t>
      </w:r>
      <w:r w:rsidR="00E37FA0">
        <w:t> t</w:t>
      </w:r>
      <w:r>
        <w:t>echnické záležitosti budou stanoveny dle aktuálních potřeb při přípravě soutěží. Tento způsob značně zpružní a</w:t>
      </w:r>
      <w:r w:rsidR="00E37FA0">
        <w:t> </w:t>
      </w:r>
      <w:r>
        <w:t>zrychlí celý proces podpory aplikovaného výzkumu a inovací. Kontrola bude probíhat podle detailně stanoveného evaluačního rámce, který zahrnuje: ex-ante hodnocení programu, pravidelné průběžné hodnocení programu a</w:t>
      </w:r>
      <w:r w:rsidR="00E37FA0">
        <w:t> </w:t>
      </w:r>
      <w:r>
        <w:t>zvlášť jednotlivých veřejných soutěží, závěrečné hodnocení programu a hodnocení dopadů programu.</w:t>
      </w:r>
    </w:p>
    <w:p w14:paraId="12C3A330" w14:textId="602701AB" w:rsidR="00237E3F" w:rsidRDefault="00EF4F9D" w:rsidP="00237E3F">
      <w:pPr>
        <w:pStyle w:val="Nadpis2"/>
      </w:pPr>
      <w:bookmarkStart w:id="22" w:name="_Toc66366436"/>
      <w:r>
        <w:t>Z</w:t>
      </w:r>
      <w:r w:rsidRPr="00EF4F9D">
        <w:t xml:space="preserve">áměry </w:t>
      </w:r>
      <w:r>
        <w:t>dalších</w:t>
      </w:r>
      <w:r w:rsidRPr="00EF4F9D">
        <w:t xml:space="preserve"> programů TA ČR</w:t>
      </w:r>
      <w:bookmarkEnd w:id="22"/>
    </w:p>
    <w:p w14:paraId="76581C49" w14:textId="77777777" w:rsidR="00237E3F" w:rsidRPr="00237E3F" w:rsidRDefault="00237E3F" w:rsidP="00237E3F">
      <w:pPr>
        <w:rPr>
          <w:b/>
        </w:rPr>
      </w:pPr>
      <w:r w:rsidRPr="00237E3F">
        <w:rPr>
          <w:b/>
        </w:rPr>
        <w:t xml:space="preserve">V delším časovém horizontu budou pro tvorbu nových programů na podporu aplikovaného výzkumu </w:t>
      </w:r>
      <w:r w:rsidR="00623EC4">
        <w:rPr>
          <w:b/>
        </w:rPr>
        <w:br/>
      </w:r>
      <w:r w:rsidRPr="00237E3F">
        <w:rPr>
          <w:b/>
        </w:rPr>
        <w:t>a inovací posuzovány zejména tyto možnosti:</w:t>
      </w:r>
    </w:p>
    <w:p w14:paraId="2D421109" w14:textId="33B967F4" w:rsidR="00237E3F" w:rsidRDefault="00237E3F" w:rsidP="00237E3F">
      <w:pPr>
        <w:pStyle w:val="Odstavecseseznamem"/>
        <w:numPr>
          <w:ilvl w:val="0"/>
          <w:numId w:val="8"/>
        </w:numPr>
        <w:jc w:val="both"/>
      </w:pPr>
      <w:r>
        <w:t>kofinancování účasti českých subjektů v Evropském obranném fondu, příp. dalších unijních programech, a také podpora národních projektů v oblasti obranného výzkumu. TA ČR ve spolupráci s</w:t>
      </w:r>
      <w:r w:rsidR="00277624">
        <w:t> </w:t>
      </w:r>
      <w:r>
        <w:t>Ministerstvem obrany rozvíjí spolupráci při přípravě programu, který umožní výše zmíněnou podporu. Tvorba programu je ukotvena v Inovační strategii 2030 a TA ČR bude plnit roli implementátora programu.</w:t>
      </w:r>
    </w:p>
    <w:p w14:paraId="5A944B21" w14:textId="197C541F" w:rsidR="00237E3F" w:rsidRDefault="00237E3F" w:rsidP="00237E3F">
      <w:pPr>
        <w:pStyle w:val="Odstavecseseznamem"/>
        <w:numPr>
          <w:ilvl w:val="0"/>
          <w:numId w:val="8"/>
        </w:numPr>
        <w:jc w:val="both"/>
      </w:pPr>
      <w:r>
        <w:t>zajištění dalšího řešení výzkumných a vývojových potřeb orgánů státní správy a zvýšení aktivit státní správy (prodloužení programu BETA</w:t>
      </w:r>
      <w:r w:rsidR="00BA1AEC">
        <w:t>2</w:t>
      </w:r>
      <w:r>
        <w:t xml:space="preserve">, či příprava jeho navazující verze), </w:t>
      </w:r>
    </w:p>
    <w:p w14:paraId="0613080F" w14:textId="77777777" w:rsidR="00237E3F" w:rsidRDefault="00237E3F" w:rsidP="00237E3F">
      <w:pPr>
        <w:pStyle w:val="Odstavecseseznamem"/>
        <w:numPr>
          <w:ilvl w:val="0"/>
          <w:numId w:val="8"/>
        </w:numPr>
        <w:jc w:val="both"/>
      </w:pPr>
      <w:r>
        <w:t>možnost podpory mezinárodní spolupráce v projektech zaměřených na oblast energetiky nebo dalších oborů (příprava podnětů pro program, navazující na program THÉTA), a to ve spolupráci s gesčně odpovědným resortem (MPO),</w:t>
      </w:r>
    </w:p>
    <w:p w14:paraId="71C5435F" w14:textId="42105E89" w:rsidR="00237E3F" w:rsidRDefault="00237E3F" w:rsidP="00237E3F">
      <w:pPr>
        <w:pStyle w:val="Odstavecseseznamem"/>
        <w:numPr>
          <w:ilvl w:val="0"/>
          <w:numId w:val="8"/>
        </w:numPr>
        <w:jc w:val="both"/>
      </w:pPr>
      <w:r>
        <w:t>př</w:t>
      </w:r>
      <w:r w:rsidR="00FC50CD">
        <w:t xml:space="preserve">ipravenost </w:t>
      </w:r>
      <w:r>
        <w:t>na rozšíření implementační role TA ČR pro programy na podporu aplikovaného výzkumu i</w:t>
      </w:r>
      <w:r w:rsidR="00F574F0">
        <w:t> </w:t>
      </w:r>
      <w:r>
        <w:t>pro další resorty</w:t>
      </w:r>
      <w:r w:rsidR="002464B2">
        <w:t xml:space="preserve"> na základě usnesení vlády</w:t>
      </w:r>
      <w:r>
        <w:t>. Tuto záležitost bude TA ČR aktivně vyjednávat s RVVI, resorty a</w:t>
      </w:r>
      <w:r w:rsidR="00277624">
        <w:t> </w:t>
      </w:r>
      <w:r>
        <w:t>dalšími partnery.</w:t>
      </w:r>
    </w:p>
    <w:p w14:paraId="42EBF0DC" w14:textId="77777777" w:rsidR="0032664C" w:rsidRDefault="0032664C" w:rsidP="00237E3F">
      <w:pPr>
        <w:jc w:val="both"/>
      </w:pPr>
    </w:p>
    <w:p w14:paraId="3969F6ED" w14:textId="77777777" w:rsidR="00595B60" w:rsidRDefault="00595B60">
      <w:r>
        <w:br w:type="page"/>
      </w:r>
    </w:p>
    <w:p w14:paraId="0F32B266" w14:textId="77777777" w:rsidR="00237E3F" w:rsidRDefault="00237E3F" w:rsidP="00237E3F">
      <w:pPr>
        <w:jc w:val="both"/>
      </w:pPr>
    </w:p>
    <w:p w14:paraId="26F2A03D" w14:textId="77777777" w:rsidR="00237E3F" w:rsidRDefault="00237E3F" w:rsidP="00237E3F">
      <w:pPr>
        <w:jc w:val="both"/>
      </w:pPr>
    </w:p>
    <w:p w14:paraId="58171105" w14:textId="77777777" w:rsidR="00237E3F" w:rsidRDefault="00237E3F" w:rsidP="00237E3F">
      <w:pPr>
        <w:jc w:val="both"/>
      </w:pPr>
    </w:p>
    <w:p w14:paraId="07F4D8F1" w14:textId="77777777" w:rsidR="00237E3F" w:rsidRPr="00237E3F" w:rsidRDefault="00237E3F" w:rsidP="00237E3F">
      <w:pPr>
        <w:jc w:val="both"/>
      </w:pPr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F6EB5DF" wp14:editId="1D05E343">
                <wp:simplePos x="0" y="0"/>
                <wp:positionH relativeFrom="column">
                  <wp:posOffset>-69215</wp:posOffset>
                </wp:positionH>
                <wp:positionV relativeFrom="paragraph">
                  <wp:posOffset>-572135</wp:posOffset>
                </wp:positionV>
                <wp:extent cx="5684520" cy="572135"/>
                <wp:effectExtent l="0" t="0" r="0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4520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E03B9" w14:textId="77777777" w:rsidR="000831DF" w:rsidRPr="00075C63" w:rsidRDefault="000831DF" w:rsidP="00237E3F">
                            <w:pPr>
                              <w:pStyle w:val="Nadpis1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23" w:name="_Toc62551387"/>
                            <w:bookmarkStart w:id="24" w:name="_Toc66366437"/>
                            <w:r w:rsidRPr="00075C63">
                              <w:rPr>
                                <w:color w:val="FFFFFF" w:themeColor="background1"/>
                              </w:rPr>
                              <w:t>Příloha: Popis programů TA ČR</w:t>
                            </w:r>
                            <w:bookmarkEnd w:id="23"/>
                            <w:bookmarkEnd w:id="2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EB5DF" id="Textové pole 22" o:spid="_x0000_s1036" type="#_x0000_t202" style="position:absolute;left:0;text-align:left;margin-left:-5.45pt;margin-top:-45.05pt;width:447.6pt;height:45.0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" filled="f" stroked="f" strokeweight=".5pt">
                <v:textbox>
                  <w:txbxContent>
                    <w:p w14:paraId="23AE03B9" w14:textId="77777777" w:rsidR="000831DF" w:rsidRPr="00075C63" w:rsidRDefault="000831DF" w:rsidP="00237E3F">
                      <w:pPr>
                        <w:pStyle w:val="Nadpis1"/>
                        <w:jc w:val="center"/>
                        <w:rPr>
                          <w:color w:val="FFFFFF" w:themeColor="background1"/>
                        </w:rPr>
                      </w:pPr>
                      <w:bookmarkStart w:id="32" w:name="_Toc62551387"/>
                      <w:bookmarkStart w:id="33" w:name="_Toc66366437"/>
                      <w:r w:rsidRPr="00075C63">
                        <w:rPr>
                          <w:color w:val="FFFFFF" w:themeColor="background1"/>
                        </w:rPr>
                        <w:t>Příloha: Popis programů TA ČR</w:t>
                      </w:r>
                      <w:bookmarkEnd w:id="32"/>
                      <w:bookmarkEnd w:id="33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4F9395D" wp14:editId="05EC4993">
                <wp:simplePos x="0" y="0"/>
                <wp:positionH relativeFrom="column">
                  <wp:posOffset>-892175</wp:posOffset>
                </wp:positionH>
                <wp:positionV relativeFrom="paragraph">
                  <wp:posOffset>-983615</wp:posOffset>
                </wp:positionV>
                <wp:extent cx="7528560" cy="1386840"/>
                <wp:effectExtent l="0" t="0" r="0" b="381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560" cy="1386840"/>
                        </a:xfrm>
                        <a:prstGeom prst="rect">
                          <a:avLst/>
                        </a:prstGeom>
                        <a:solidFill>
                          <a:srgbClr val="F037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B36061" id="Obdélník 21" o:spid="_x0000_s1026" style="position:absolute;margin-left:-70.25pt;margin-top:-77.45pt;width:592.8pt;height:109.2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" fillcolor="#f03741" stroked="f" strokeweight="1pt"/>
            </w:pict>
          </mc:Fallback>
        </mc:AlternateContent>
      </w:r>
    </w:p>
    <w:p w14:paraId="57334D26" w14:textId="77777777" w:rsidR="00DC5923" w:rsidRDefault="00DC5923"/>
    <w:p w14:paraId="66237C1A" w14:textId="798EFC0A" w:rsidR="00DC5923" w:rsidRDefault="00DC5923"/>
    <w:p w14:paraId="7D680251" w14:textId="1A2DD2D7" w:rsidR="002464B2" w:rsidRDefault="002464B2"/>
    <w:p w14:paraId="6AFE4DDB" w14:textId="15963414" w:rsidR="002464B2" w:rsidRDefault="002464B2" w:rsidP="00BA1AEC">
      <w:pPr>
        <w:jc w:val="both"/>
      </w:pPr>
      <w:r>
        <w:t xml:space="preserve">Hlavním nástrojem implementace strategie a směřování TA ČR je realizace programů. Všechny programy reflektují a naplňují příslušná opatření a cíle </w:t>
      </w:r>
      <w:r w:rsidR="009D4AFE">
        <w:t xml:space="preserve">NP </w:t>
      </w:r>
      <w:proofErr w:type="spellStart"/>
      <w:r w:rsidR="009D4AFE">
        <w:t>VaVaI</w:t>
      </w:r>
      <w:proofErr w:type="spellEnd"/>
      <w:r>
        <w:t xml:space="preserve">. Popis jejich realizace a evaluace programů jsou důležitým doplňkem analýz v rámci přípravy tohoto dokumentu, a to včetně stanovení cílů. Níže je u každého programu uveden stručný popis včetně uvedení příslušného/příslušných opatření NP </w:t>
      </w:r>
      <w:proofErr w:type="spellStart"/>
      <w:r>
        <w:t>VaVaI</w:t>
      </w:r>
      <w:proofErr w:type="spellEnd"/>
      <w:r w:rsidR="009D4AFE">
        <w:t>.</w:t>
      </w:r>
    </w:p>
    <w:p w14:paraId="6EF4C167" w14:textId="77777777" w:rsidR="002464B2" w:rsidRDefault="002464B2"/>
    <w:p w14:paraId="55655BE3" w14:textId="47100632" w:rsidR="00DC5923" w:rsidRDefault="00237E3F" w:rsidP="00F5505E">
      <w:pPr>
        <w:pStyle w:val="Nadpis2"/>
      </w:pPr>
      <w:bookmarkStart w:id="25" w:name="_Toc66366438"/>
      <w:r w:rsidRPr="00237E3F">
        <w:rPr>
          <w:rStyle w:val="Nadpis1Char"/>
        </w:rPr>
        <w:t xml:space="preserve">Stávající programy </w:t>
      </w:r>
      <w:r w:rsidRPr="00927185">
        <w:rPr>
          <w:rStyle w:val="Nadpis1Char"/>
          <w:color w:val="auto"/>
        </w:rPr>
        <w:t>TA ČR</w:t>
      </w:r>
      <w:bookmarkEnd w:id="25"/>
      <w:r w:rsidRPr="00927185">
        <w:t xml:space="preserve"> </w:t>
      </w:r>
      <w:r>
        <w:br/>
      </w:r>
    </w:p>
    <w:bookmarkStart w:id="26" w:name="_Toc66366439"/>
    <w:p w14:paraId="2C8303C9" w14:textId="77777777" w:rsidR="00237E3F" w:rsidRDefault="00237E3F" w:rsidP="00F5505E">
      <w:pPr>
        <w:pStyle w:val="Nadpis3"/>
      </w:pPr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AFCF75D" wp14:editId="54CF43C6">
                <wp:simplePos x="0" y="0"/>
                <wp:positionH relativeFrom="column">
                  <wp:posOffset>-635</wp:posOffset>
                </wp:positionH>
                <wp:positionV relativeFrom="paragraph">
                  <wp:posOffset>280035</wp:posOffset>
                </wp:positionV>
                <wp:extent cx="281940" cy="0"/>
                <wp:effectExtent l="0" t="19050" r="22860" b="19050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76E654" id="Přímá spojnice 29" o:spid="_x0000_s1026" style="position:absolute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22.05pt" to="22.1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" strokecolor="#f03741" strokeweight="3pt">
                <v:stroke joinstyle="miter"/>
              </v:line>
            </w:pict>
          </mc:Fallback>
        </mc:AlternateContent>
      </w:r>
      <w:r>
        <w:t xml:space="preserve">Program </w:t>
      </w:r>
      <w:r w:rsidRPr="00DF66C7">
        <w:t>Národní centra kompetence</w:t>
      </w:r>
      <w:bookmarkEnd w:id="26"/>
      <w:r>
        <w:br/>
      </w:r>
    </w:p>
    <w:p w14:paraId="3934F436" w14:textId="1FA2F0E4" w:rsidR="00237E3F" w:rsidRPr="00237E3F" w:rsidRDefault="00237E3F" w:rsidP="00237E3F">
      <w:pPr>
        <w:jc w:val="both"/>
      </w:pPr>
      <w:r>
        <w:t xml:space="preserve">Program tematicky navazuje na předcházející program Centra kompetence a je zaměřen na podporu dlouhodobé spolupráce mezi výzkumnou a aplikační sférou a posílení institucionální základny aplikovaného výzkumu. Program je v souladu s Opatřením 20 (Podpora dlouhodobé spolupráce ve </w:t>
      </w:r>
      <w:proofErr w:type="spellStart"/>
      <w:r>
        <w:t>VaVaI</w:t>
      </w:r>
      <w:proofErr w:type="spellEnd"/>
      <w:r>
        <w:t xml:space="preserve"> mezi výzkumnými organizacemi a podniky a uplatnění společných výsledků aplikovaného výzkumu v praxi) Národní politiky výzkumu,</w:t>
      </w:r>
      <w:r w:rsidR="0015725D">
        <w:t xml:space="preserve"> </w:t>
      </w:r>
      <w:r>
        <w:t>vývoje</w:t>
      </w:r>
      <w:r w:rsidR="0080631F">
        <w:t xml:space="preserve"> </w:t>
      </w:r>
      <w:r>
        <w:t>a</w:t>
      </w:r>
      <w:r w:rsidR="0080631F">
        <w:t> </w:t>
      </w:r>
      <w:r>
        <w:t>inovací České republiky 2021+. Cílem je synergicky provázat již existující úspěšná centra, která vznikla za</w:t>
      </w:r>
      <w:r w:rsidR="0080631F">
        <w:t> </w:t>
      </w:r>
      <w:r>
        <w:t xml:space="preserve">podpory TA ČR (Centra kompetence), GA ČR (Centra excelence) a operačních programů (zejména tzv. </w:t>
      </w:r>
      <w:proofErr w:type="spellStart"/>
      <w:r>
        <w:t>VaVaI</w:t>
      </w:r>
      <w:proofErr w:type="spellEnd"/>
      <w:r>
        <w:t xml:space="preserve"> Centra) s dalšími výzkumnými centry a jednotkami do jednoho integrovaného systému. Program pomůže výrazně posílit segment výzkumných organizací zaměřených na aplikovaný výzkum a motivovat relevantní stávající výzkumná pracoviště s cílem koncentrace jejich výzkumných a technologických kapacit do center NCK, kde bude realizován kvalitní aplikovaný výzkum podle potřeb aplikační sféry.</w:t>
      </w:r>
    </w:p>
    <w:p w14:paraId="3F898C51" w14:textId="77777777" w:rsidR="00DC5923" w:rsidRDefault="00DC5923"/>
    <w:p w14:paraId="1AD8CAF5" w14:textId="77777777" w:rsidR="00237E3F" w:rsidRDefault="00237E3F" w:rsidP="00F5505E">
      <w:pPr>
        <w:pStyle w:val="Nadpis3"/>
      </w:pPr>
      <w:bookmarkStart w:id="27" w:name="_Toc66366440"/>
      <w:r>
        <w:t xml:space="preserve">Program </w:t>
      </w:r>
      <w:r w:rsidRPr="00DF66C7">
        <w:rPr>
          <w:color w:val="F03741"/>
        </w:rPr>
        <w:t>THÉTA</w:t>
      </w:r>
      <w:bookmarkEnd w:id="27"/>
    </w:p>
    <w:p w14:paraId="09EED014" w14:textId="77777777" w:rsidR="00237E3F" w:rsidRDefault="00237E3F" w:rsidP="00237E3F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1AD3C02" wp14:editId="2E67E5B0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281940" cy="0"/>
                <wp:effectExtent l="0" t="19050" r="22860" b="19050"/>
                <wp:wrapNone/>
                <wp:docPr id="30" name="Přímá spojni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6FBC1C" id="Přímá spojnice 30" o:spid="_x0000_s1026" style="position:absolute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25pt" to="22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" strokecolor="#f03741" strokeweight="3pt">
                <v:stroke joinstyle="miter"/>
              </v:line>
            </w:pict>
          </mc:Fallback>
        </mc:AlternateContent>
      </w:r>
    </w:p>
    <w:p w14:paraId="29B15626" w14:textId="7AD52B64" w:rsidR="00237E3F" w:rsidRDefault="00237E3F" w:rsidP="00237E3F">
      <w:pPr>
        <w:jc w:val="both"/>
      </w:pPr>
      <w:r>
        <w:t>Zaměření programu THÉTA vychází z aktualizované Státní energetické koncepce České republiky. Cílem programu je prostřednictvím výstupů, výsledků a dopadů z podpořených projektů přispět ve střednědobém a</w:t>
      </w:r>
      <w:r w:rsidR="0080631F">
        <w:t> </w:t>
      </w:r>
      <w:r>
        <w:t>dlouhodobém horizontu k naplnění vize transformace a modernizace energetického sektoru v souladu se</w:t>
      </w:r>
      <w:r w:rsidR="0080631F">
        <w:t> </w:t>
      </w:r>
      <w:r>
        <w:t>schválenými strategickými materiály.</w:t>
      </w:r>
    </w:p>
    <w:p w14:paraId="1342C334" w14:textId="77777777" w:rsidR="00075C63" w:rsidRDefault="00075C63" w:rsidP="00237E3F">
      <w:pPr>
        <w:jc w:val="both"/>
        <w:rPr>
          <w:b/>
        </w:rPr>
      </w:pPr>
      <w:r w:rsidRPr="00075C63">
        <w:rPr>
          <w:b/>
        </w:rPr>
        <w:t>Program je členěn na tři podprogramy:</w:t>
      </w:r>
    </w:p>
    <w:p w14:paraId="03475BBD" w14:textId="77777777" w:rsidR="00075C63" w:rsidRPr="00075C63" w:rsidRDefault="00075C63" w:rsidP="00075C63">
      <w:pPr>
        <w:pStyle w:val="Odstavecseseznamem"/>
        <w:numPr>
          <w:ilvl w:val="0"/>
          <w:numId w:val="9"/>
        </w:numPr>
        <w:jc w:val="both"/>
      </w:pPr>
      <w:r w:rsidRPr="00075C63">
        <w:t>podprogram 1 – Výzkum ve veřejném zájmu</w:t>
      </w:r>
    </w:p>
    <w:p w14:paraId="63971DD3" w14:textId="77777777" w:rsidR="00075C63" w:rsidRPr="00075C63" w:rsidRDefault="00075C63" w:rsidP="00075C63">
      <w:pPr>
        <w:pStyle w:val="Odstavecseseznamem"/>
        <w:numPr>
          <w:ilvl w:val="0"/>
          <w:numId w:val="9"/>
        </w:numPr>
        <w:jc w:val="both"/>
      </w:pPr>
      <w:r w:rsidRPr="00075C63">
        <w:t>podprogram 2 – Strategické energetické technologie</w:t>
      </w:r>
    </w:p>
    <w:p w14:paraId="37602263" w14:textId="77777777" w:rsidR="00075C63" w:rsidRDefault="00075C63" w:rsidP="00075C63">
      <w:pPr>
        <w:pStyle w:val="Odstavecseseznamem"/>
        <w:numPr>
          <w:ilvl w:val="0"/>
          <w:numId w:val="9"/>
        </w:numPr>
        <w:jc w:val="both"/>
      </w:pPr>
      <w:r w:rsidRPr="00075C63">
        <w:t>podprogram 3 – Dlouhodobé technologické perspektivy</w:t>
      </w:r>
    </w:p>
    <w:p w14:paraId="7E140EAC" w14:textId="73077737" w:rsidR="00075C63" w:rsidRDefault="00075C63" w:rsidP="00075C63">
      <w:pPr>
        <w:jc w:val="both"/>
      </w:pPr>
      <w:r>
        <w:t xml:space="preserve">Program THÉTA je také využíván v tzv. ERA-NET </w:t>
      </w:r>
      <w:proofErr w:type="spellStart"/>
      <w:r>
        <w:t>Cofundových</w:t>
      </w:r>
      <w:proofErr w:type="spellEnd"/>
      <w:r>
        <w:t xml:space="preserve"> výzvách pro financování úspěšných českých uchazečů v projektech vybraných na mezinárodní úrovni. Je plánováno také zapojení do Evropských partnerství programu Horizon</w:t>
      </w:r>
      <w:r w:rsidR="009D4AFE">
        <w:t>t</w:t>
      </w:r>
      <w:r>
        <w:t xml:space="preserve"> E</w:t>
      </w:r>
      <w:r w:rsidR="009D4AFE">
        <w:t>vropa</w:t>
      </w:r>
      <w:r>
        <w:t xml:space="preserve">. </w:t>
      </w:r>
    </w:p>
    <w:p w14:paraId="6283CD1A" w14:textId="664CF82F" w:rsidR="00075C63" w:rsidRPr="00075C63" w:rsidRDefault="00075C63" w:rsidP="00075C63">
      <w:pPr>
        <w:jc w:val="both"/>
      </w:pPr>
      <w:r>
        <w:lastRenderedPageBreak/>
        <w:t>TA ČR, společně s Ministerstvem průmyslu a obchodu jakožto gestorem pro oblast energetiky, zahájí v</w:t>
      </w:r>
      <w:r w:rsidR="0080631F">
        <w:t> </w:t>
      </w:r>
      <w:r>
        <w:t>dostatečném předstihu diskuze o vhodném navazujícím nástroji. Zaměří se rovněž na průzkum možností zavedení podpory mezinárodní spolupráce v projektech zaměřených na oblast energetiky.</w:t>
      </w:r>
    </w:p>
    <w:p w14:paraId="75603895" w14:textId="77777777" w:rsidR="00DC5923" w:rsidRDefault="00DC5923"/>
    <w:p w14:paraId="076799AE" w14:textId="77777777" w:rsidR="00DC5923" w:rsidRPr="00DF66C7" w:rsidRDefault="00075C63" w:rsidP="00F5505E">
      <w:pPr>
        <w:pStyle w:val="Nadpis3"/>
        <w:rPr>
          <w:color w:val="F03741"/>
        </w:rPr>
      </w:pPr>
      <w:bookmarkStart w:id="28" w:name="_Toc66366441"/>
      <w:r>
        <w:t xml:space="preserve">Program </w:t>
      </w:r>
      <w:r w:rsidRPr="00DF66C7">
        <w:rPr>
          <w:color w:val="F03741"/>
        </w:rPr>
        <w:t>GAMA 2</w:t>
      </w:r>
      <w:bookmarkEnd w:id="28"/>
    </w:p>
    <w:p w14:paraId="2C7F4AE7" w14:textId="77777777" w:rsidR="00075C63" w:rsidRDefault="00075C63" w:rsidP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A737227" wp14:editId="62E353D9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281940" cy="0"/>
                <wp:effectExtent l="0" t="19050" r="22860" b="19050"/>
                <wp:wrapNone/>
                <wp:docPr id="31" name="Přímá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E6695C" id="Přímá spojnice 31" o:spid="_x0000_s1026" style="position:absolute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7.5pt" to="22.2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" strokecolor="#f03741" strokeweight="3pt">
                <v:stroke joinstyle="miter"/>
              </v:line>
            </w:pict>
          </mc:Fallback>
        </mc:AlternateContent>
      </w:r>
    </w:p>
    <w:p w14:paraId="2A695D94" w14:textId="2AB482F3" w:rsidR="00075C63" w:rsidRDefault="00075C63" w:rsidP="00075C63">
      <w:pPr>
        <w:jc w:val="both"/>
      </w:pPr>
      <w:r>
        <w:t>Program navazuje na program GAMA. Je zaměřen na podporu ověření výsledků aplikovaného výzkumu a</w:t>
      </w:r>
      <w:r w:rsidR="0080631F">
        <w:t> </w:t>
      </w:r>
      <w:r>
        <w:t>experimentálního vývoje z hlediska jejich praktického uplatnění a na přípravu jejich následného komerčního využití či využití pro potřeby společnosti. Program přispívá k naplňování Opatření 23 (Dobudovat funkční systém podpory vzniku, rozvoje a internacionalizace inovativních podniků (start-up, spin-</w:t>
      </w:r>
      <w:proofErr w:type="spellStart"/>
      <w:r>
        <w:t>off</w:t>
      </w:r>
      <w:proofErr w:type="spellEnd"/>
      <w:r>
        <w:t xml:space="preserve">), Národní politiky výzkumu, vývoje a inovací České republiky 2021+. Program je členěn na dva podprogramy. </w:t>
      </w:r>
    </w:p>
    <w:p w14:paraId="2737D28E" w14:textId="27DF592E" w:rsidR="00075C63" w:rsidRDefault="00075C63" w:rsidP="00075C63">
      <w:pPr>
        <w:jc w:val="both"/>
      </w:pPr>
      <w:r>
        <w:t xml:space="preserve">V podprogramu 1 mohou být příjemci či další účastníci projektu pouze výzkumné organizace, kterým bude poskytnuta podpora na konkrétní „dílčí“ projekty </w:t>
      </w:r>
      <w:r w:rsidR="00A1218C">
        <w:t>výzkumu a vývoje</w:t>
      </w:r>
      <w:r>
        <w:t>. Předmětem těchto „dílčích“ projektů je</w:t>
      </w:r>
      <w:r w:rsidR="0080631F">
        <w:t> </w:t>
      </w:r>
      <w:r>
        <w:t>ověření praktické využitelnosti výsledků aplikovaného výzkumu a vývoje, kterého bylo dosaženo ve</w:t>
      </w:r>
      <w:r w:rsidR="0080631F">
        <w:t> </w:t>
      </w:r>
      <w:r>
        <w:t>výzkumných organizacích.</w:t>
      </w:r>
    </w:p>
    <w:p w14:paraId="2395589F" w14:textId="60AE585F" w:rsidR="00075C63" w:rsidRDefault="00075C63" w:rsidP="00075C63">
      <w:pPr>
        <w:jc w:val="both"/>
      </w:pPr>
      <w:r>
        <w:t xml:space="preserve">Podprogram 2 je možné využít pro synergie s unijním programem </w:t>
      </w:r>
      <w:proofErr w:type="spellStart"/>
      <w:r>
        <w:t>Horizon</w:t>
      </w:r>
      <w:proofErr w:type="spellEnd"/>
      <w:r>
        <w:t xml:space="preserve"> 2020 a jeho nástupcem </w:t>
      </w:r>
      <w:proofErr w:type="spellStart"/>
      <w:r>
        <w:t>Horizon</w:t>
      </w:r>
      <w:proofErr w:type="spellEnd"/>
      <w:r>
        <w:t xml:space="preserve"> </w:t>
      </w:r>
      <w:proofErr w:type="spellStart"/>
      <w:r>
        <w:t>Europe</w:t>
      </w:r>
      <w:proofErr w:type="spellEnd"/>
      <w:r>
        <w:t>. TA ČR v rámci tohoto podprogramu plánuje realizovat aktivity projektu GO-SME, který v roli koordinátora podala do výzvy Horizont 2020, a který je zaměřen na podporu malých a středních podniků s</w:t>
      </w:r>
      <w:r w:rsidR="0080631F">
        <w:t> </w:t>
      </w:r>
      <w:r>
        <w:t xml:space="preserve">vysokým inovativním potenciálem.  </w:t>
      </w:r>
    </w:p>
    <w:p w14:paraId="337586BB" w14:textId="11E3789B" w:rsidR="00075C63" w:rsidRDefault="00075C63" w:rsidP="00075C63">
      <w:pPr>
        <w:jc w:val="both"/>
      </w:pPr>
      <w:r>
        <w:t>Podpora z tohoto podprogramu je také určena projektům, které uspějí v mezinárodním hodnocení, ale</w:t>
      </w:r>
      <w:r w:rsidR="0080631F">
        <w:t> </w:t>
      </w:r>
      <w:r>
        <w:t>z</w:t>
      </w:r>
      <w:r w:rsidR="0080631F">
        <w:t> </w:t>
      </w:r>
      <w:r>
        <w:t>důvodu nedostatku finančních prostředků nebyly v rámci daného nástroje podpořeny. Jedná se</w:t>
      </w:r>
      <w:r w:rsidR="0080631F">
        <w:t> </w:t>
      </w:r>
      <w:r w:rsidR="00A1218C">
        <w:t>n</w:t>
      </w:r>
      <w:r>
        <w:t>apř.</w:t>
      </w:r>
      <w:r w:rsidR="0080631F">
        <w:t> </w:t>
      </w:r>
      <w:r>
        <w:t>o</w:t>
      </w:r>
      <w:r w:rsidR="0080631F">
        <w:t> </w:t>
      </w:r>
      <w:r>
        <w:t>projekty, které</w:t>
      </w:r>
      <w:r w:rsidR="0080631F">
        <w:t> </w:t>
      </w:r>
      <w:r>
        <w:t xml:space="preserve">byly kladně hodnoceny a získaly pečeť kvality, tzv. </w:t>
      </w:r>
      <w:proofErr w:type="spellStart"/>
      <w:r>
        <w:t>Seal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Excellence. Příjemcem v</w:t>
      </w:r>
      <w:r w:rsidR="0080631F">
        <w:t> </w:t>
      </w:r>
      <w:r>
        <w:t xml:space="preserve">tomto podprogramu mohou být pouze ti příjemci, kteří jsou oprávněni ucházet se o podporu z daného nástroje. </w:t>
      </w:r>
    </w:p>
    <w:p w14:paraId="3EBE8BE6" w14:textId="77777777" w:rsidR="00075C63" w:rsidRPr="00075C63" w:rsidRDefault="00075C63" w:rsidP="00075C63">
      <w:pPr>
        <w:jc w:val="both"/>
      </w:pPr>
      <w:r>
        <w:t>Po skončení doby trvání tohoto nástroje podpory bude pokračování zavedených aktivit zajištěno v rámci připravovaného programu SIGMA.</w:t>
      </w:r>
    </w:p>
    <w:p w14:paraId="2F09D9D6" w14:textId="77777777" w:rsidR="00DC5923" w:rsidRDefault="00DC5923"/>
    <w:p w14:paraId="27F6B412" w14:textId="77777777" w:rsidR="00DC5923" w:rsidRDefault="00075C63" w:rsidP="00F5505E">
      <w:pPr>
        <w:pStyle w:val="Nadpis3"/>
      </w:pPr>
      <w:bookmarkStart w:id="29" w:name="_Toc66366442"/>
      <w:r>
        <w:t xml:space="preserve">Program </w:t>
      </w:r>
      <w:r w:rsidRPr="00DF66C7">
        <w:rPr>
          <w:color w:val="F03741"/>
        </w:rPr>
        <w:t>DELTA 2</w:t>
      </w:r>
      <w:bookmarkEnd w:id="29"/>
    </w:p>
    <w:p w14:paraId="3E66DB66" w14:textId="77777777" w:rsidR="00075C63" w:rsidRDefault="00075C63" w:rsidP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58DE4D7" wp14:editId="46148D8A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281940" cy="0"/>
                <wp:effectExtent l="0" t="19050" r="22860" b="19050"/>
                <wp:wrapNone/>
                <wp:docPr id="32" name="Přímá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E51F00" id="Přímá spojnice 32" o:spid="_x0000_s1026" style="position:absolute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2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" strokecolor="#f03741" strokeweight="3pt">
                <v:stroke joinstyle="miter"/>
              </v:line>
            </w:pict>
          </mc:Fallback>
        </mc:AlternateContent>
      </w:r>
    </w:p>
    <w:p w14:paraId="0AFBAF20" w14:textId="3A7C755D" w:rsidR="00075C63" w:rsidRDefault="00075C63" w:rsidP="00075C63">
      <w:pPr>
        <w:jc w:val="both"/>
      </w:pPr>
      <w:r>
        <w:t>Program navazuje na program DELTA. Program DELTA 2 je stejně jako program DELTA zaměřen na</w:t>
      </w:r>
      <w:r w:rsidR="0080631F">
        <w:t> </w:t>
      </w:r>
      <w:r>
        <w:t>podporu spolupráce v aplikovaném výzkumu a experimentálním vývoji prostřednictvím společných projektů podniků a výzkumných organizací podporovaných TA ČR a významnými zahraničními technologickými a</w:t>
      </w:r>
      <w:r w:rsidR="0080631F">
        <w:t> </w:t>
      </w:r>
      <w:r>
        <w:t xml:space="preserve">inovačními agenturami či jinými obdobnými institucemi, se kterými bude mít TA ČR v době vyhlášení veřejné soutěže ve výzkumu, vývoji a inovacích navázanou spolupráci. Program proto přispívá k naplňování Opatření 14 (Podpoření synergie českého a mezinárodního </w:t>
      </w:r>
      <w:r w:rsidR="00373982">
        <w:t>výzkumu a vývoje</w:t>
      </w:r>
      <w:r>
        <w:t xml:space="preserve"> prostřednictvím mezinárodní programové spolupráce ČR) Národní politiky výzkumu, vývoje a inovací České republiky 2021+.</w:t>
      </w:r>
    </w:p>
    <w:p w14:paraId="747A14A5" w14:textId="77777777" w:rsidR="00075C63" w:rsidRDefault="00075C63" w:rsidP="00075C63">
      <w:pPr>
        <w:jc w:val="both"/>
      </w:pPr>
      <w:r>
        <w:t>Po skončení doby trvání tohoto nástroje podpory bude pokračování zavedených aktivit zajištěno v rámci připravovaného programu SIGMA.</w:t>
      </w:r>
    </w:p>
    <w:p w14:paraId="0A76FCB9" w14:textId="77777777" w:rsidR="00075C63" w:rsidRDefault="00075C63" w:rsidP="00075C63">
      <w:pPr>
        <w:jc w:val="both"/>
      </w:pPr>
    </w:p>
    <w:p w14:paraId="11CA0593" w14:textId="77777777" w:rsidR="00075C63" w:rsidRDefault="00075C63" w:rsidP="00F5505E">
      <w:pPr>
        <w:pStyle w:val="Nadpis3"/>
      </w:pPr>
      <w:bookmarkStart w:id="30" w:name="_Toc66366443"/>
      <w:r>
        <w:t xml:space="preserve">Program </w:t>
      </w:r>
      <w:r w:rsidRPr="00DF66C7">
        <w:rPr>
          <w:color w:val="F03741"/>
        </w:rPr>
        <w:t>BETA2</w:t>
      </w:r>
      <w:bookmarkEnd w:id="30"/>
    </w:p>
    <w:p w14:paraId="0E448D01" w14:textId="77777777" w:rsidR="00075C63" w:rsidRDefault="00075C63" w:rsidP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31D05B" wp14:editId="1D86BB94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281940" cy="0"/>
                <wp:effectExtent l="0" t="19050" r="22860" b="19050"/>
                <wp:wrapNone/>
                <wp:docPr id="33" name="Přímá spojnic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D87AFC" id="Přímá spojnice 33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45pt" to="22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" strokecolor="#f03741" strokeweight="3pt">
                <v:stroke joinstyle="miter"/>
              </v:line>
            </w:pict>
          </mc:Fallback>
        </mc:AlternateContent>
      </w:r>
    </w:p>
    <w:p w14:paraId="76E22678" w14:textId="043036EC" w:rsidR="00075C63" w:rsidRDefault="00075C63" w:rsidP="00075C63">
      <w:pPr>
        <w:jc w:val="both"/>
      </w:pPr>
      <w:r>
        <w:t xml:space="preserve">Program BETA2 svým posláním a cíli navazuje na ukončený program BETA a zavádí jednodušší postupy v celém procesu zadávání veřejných zakázek </w:t>
      </w:r>
      <w:r w:rsidR="009D4AFE">
        <w:t xml:space="preserve">ve výzkumu </w:t>
      </w:r>
      <w:r>
        <w:t xml:space="preserve">ve státní správě.  Program je zaměřen na podporu aplikovaného výzkumu a inovací pro potřeby orgánů státní správy, a tím má předpoklad přispívat k naplňování Opatření 26 (Podpora vytvoření inovačního systému ve veřejné správě) Národní politiky výzkumu, vývoje a inovací České </w:t>
      </w:r>
      <w:r>
        <w:lastRenderedPageBreak/>
        <w:t xml:space="preserve">republiky 2021+. Cílem programu je podpora realizace výzkumných aktivit za účelem vývoje nových nebo zdokonalení současných postupů, regulačních mechanismů, dozorových činností, dovedností, služeb, informačních a řídících postupů, určených pro kvalitnější a efektivnější výkon státní správy. </w:t>
      </w:r>
    </w:p>
    <w:p w14:paraId="5CEAB1E4" w14:textId="77777777" w:rsidR="00075C63" w:rsidRPr="00075C63" w:rsidRDefault="00075C63" w:rsidP="00075C63">
      <w:pPr>
        <w:jc w:val="both"/>
      </w:pPr>
      <w:r>
        <w:t>Program BETA2 má dobu trvání do roku 2024. TA ČR zajistí pokračování toho nástroje, a to buď přípravou nového programu BETA3 nebo prodloužením stávajícího programu BETA2. Jako nejvhodnější se jeví existence dlouhodobého nástroje tohoto typu, který nebude mít stanovenou dobu ukončení jako klasické programy.</w:t>
      </w:r>
    </w:p>
    <w:p w14:paraId="5B769BE7" w14:textId="77777777" w:rsidR="00DC5923" w:rsidRDefault="00DC5923"/>
    <w:p w14:paraId="7047C388" w14:textId="77777777" w:rsidR="00DC5923" w:rsidRDefault="00075C63" w:rsidP="00F5505E">
      <w:pPr>
        <w:pStyle w:val="Nadpis3"/>
      </w:pPr>
      <w:bookmarkStart w:id="31" w:name="_Toc66366444"/>
      <w:r>
        <w:t xml:space="preserve">Program </w:t>
      </w:r>
      <w:r w:rsidRPr="00DF66C7">
        <w:rPr>
          <w:color w:val="F03741"/>
        </w:rPr>
        <w:t>KAPPA</w:t>
      </w:r>
      <w:bookmarkEnd w:id="31"/>
    </w:p>
    <w:p w14:paraId="0C2537B7" w14:textId="77777777" w:rsidR="00075C63" w:rsidRDefault="00075C63" w:rsidP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D677C7" wp14:editId="54D6EB70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281940" cy="0"/>
                <wp:effectExtent l="0" t="19050" r="22860" b="19050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ED683F" id="Přímá spojnice 35" o:spid="_x0000_s1026" style="position:absolute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2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" strokecolor="#f03741" strokeweight="3pt">
                <v:stroke joinstyle="miter"/>
              </v:line>
            </w:pict>
          </mc:Fallback>
        </mc:AlternateContent>
      </w:r>
    </w:p>
    <w:p w14:paraId="0AD70BF9" w14:textId="286CFECE" w:rsidR="00075C63" w:rsidRDefault="00075C63" w:rsidP="00075C63">
      <w:pPr>
        <w:jc w:val="both"/>
      </w:pPr>
      <w:r>
        <w:t>Program je obecně zaměřen na podporu mezinárodní spolupráce subjektů z ČR s partnery z Norska, Islandu a</w:t>
      </w:r>
      <w:r w:rsidR="0080631F">
        <w:t> </w:t>
      </w:r>
      <w:r>
        <w:t>Lichtenštejnska v aplikovaném výzkumu a na podporu propojování výzkumných organizací s odběrateli výstupů aplikovaného výzkumu, experimentálního vývoje a inovací, tedy s aplikační sférou (především s</w:t>
      </w:r>
      <w:r w:rsidR="0080631F">
        <w:t> </w:t>
      </w:r>
      <w:r>
        <w:t>podniky</w:t>
      </w:r>
      <w:r w:rsidR="00A1218C">
        <w:t xml:space="preserve"> </w:t>
      </w:r>
      <w:r>
        <w:t>a</w:t>
      </w:r>
      <w:r w:rsidR="0080631F">
        <w:t> </w:t>
      </w:r>
      <w:r>
        <w:t>s</w:t>
      </w:r>
      <w:r w:rsidR="0080631F">
        <w:t> </w:t>
      </w:r>
      <w:r>
        <w:t xml:space="preserve">dalšími subjekty na národní i mezinárodní úrovni) působící v různých společenských oblastech. Program přispívá k naplňování Opatření 14 (Podpoření synergie českého a mezinárodního </w:t>
      </w:r>
      <w:r w:rsidR="00373982">
        <w:t>výzkumu a vývoje</w:t>
      </w:r>
      <w:r>
        <w:t xml:space="preserve"> prostřednictvím mezinárodní programové spolupráce ČR) Národní politiky výzkumu, vývoje a inovací České republiky 2021+.</w:t>
      </w:r>
    </w:p>
    <w:p w14:paraId="76F3148A" w14:textId="4687BB84" w:rsidR="00075C63" w:rsidRDefault="00075C63" w:rsidP="00075C63">
      <w:pPr>
        <w:jc w:val="both"/>
      </w:pPr>
      <w:r>
        <w:t xml:space="preserve">TA ČR pro tento program plní roli zprostředkovatele. Další směřování či budoucí pokračování tohoto nástroje podpory bude záležitostí diskuzí mezi Českou republikou a </w:t>
      </w:r>
      <w:r w:rsidR="00937E50">
        <w:t xml:space="preserve">tzv. </w:t>
      </w:r>
      <w:proofErr w:type="spellStart"/>
      <w:r w:rsidR="00937E50">
        <w:t>do</w:t>
      </w:r>
      <w:r>
        <w:t>norským</w:t>
      </w:r>
      <w:r w:rsidR="00937E50">
        <w:t>i</w:t>
      </w:r>
      <w:proofErr w:type="spellEnd"/>
      <w:r>
        <w:t xml:space="preserve"> státy.</w:t>
      </w:r>
    </w:p>
    <w:p w14:paraId="6667DE1A" w14:textId="77777777" w:rsidR="00075C63" w:rsidRDefault="00075C63" w:rsidP="00075C63">
      <w:pPr>
        <w:jc w:val="both"/>
      </w:pPr>
    </w:p>
    <w:p w14:paraId="39C081E8" w14:textId="77777777" w:rsidR="00075C63" w:rsidRPr="00DF66C7" w:rsidRDefault="00075C63" w:rsidP="00F5505E">
      <w:pPr>
        <w:pStyle w:val="Nadpis3"/>
        <w:rPr>
          <w:color w:val="F03741"/>
        </w:rPr>
      </w:pPr>
      <w:bookmarkStart w:id="32" w:name="_Toc66366445"/>
      <w:r>
        <w:t xml:space="preserve">Program </w:t>
      </w:r>
      <w:r w:rsidRPr="00DF66C7">
        <w:rPr>
          <w:color w:val="F03741"/>
        </w:rPr>
        <w:t>ZÉTA</w:t>
      </w:r>
      <w:bookmarkEnd w:id="32"/>
    </w:p>
    <w:p w14:paraId="294481CA" w14:textId="77777777" w:rsidR="00075C63" w:rsidRDefault="00075C63" w:rsidP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466DD5C" wp14:editId="54131D40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281940" cy="0"/>
                <wp:effectExtent l="0" t="19050" r="22860" b="19050"/>
                <wp:wrapNone/>
                <wp:docPr id="36" name="Přímá spojnic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B2817F" id="Přímá spojnice 36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45pt" to="22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" strokecolor="#f03741" strokeweight="3pt">
                <v:stroke joinstyle="miter"/>
              </v:line>
            </w:pict>
          </mc:Fallback>
        </mc:AlternateContent>
      </w:r>
    </w:p>
    <w:p w14:paraId="4433FA6C" w14:textId="3D26136F" w:rsidR="00075C63" w:rsidRDefault="00075C63" w:rsidP="00075C63">
      <w:pPr>
        <w:jc w:val="both"/>
      </w:pPr>
      <w:r>
        <w:t>Program je zaměřen na podporu spolupráce akademické sféry a podniků prostřednictvím zapojení posluchačů/posluchaček akreditovaných studijních programů vysokých škol a mladých výzkumných pracovníků/pracovnic ve věku do 35 let. Cílem programu je zapojení studentů a mladých výzkumných pracovníků do výzkumné a vývojové činnosti směřující k využití výsledků v praxi, zvýšení jejich zájmu o projekty s konkrétním praktickým dopadem a podpora takových projektů v akademické sféře obecně s propojením na</w:t>
      </w:r>
      <w:r w:rsidR="0080631F">
        <w:t> </w:t>
      </w:r>
      <w:r>
        <w:t>hospodářskou sféru. Tím program přispívá k naplňování Opatření 10 (Vytvoření prostředí pro růst motivace k</w:t>
      </w:r>
      <w:r w:rsidR="0080631F">
        <w:t> </w:t>
      </w:r>
      <w:r>
        <w:t>výzkumné kariéře) Národní politiky výzkumu, vývoje a inovací České republiky 2021+.</w:t>
      </w:r>
    </w:p>
    <w:p w14:paraId="191AEB7C" w14:textId="60D783DE" w:rsidR="00075C63" w:rsidRDefault="00075C63" w:rsidP="00075C63">
      <w:pPr>
        <w:jc w:val="both"/>
      </w:pPr>
      <w:r>
        <w:t>Program je zaměřen i na odstranění nerovného postavení studujících a mladých výzkumných pracovníků, kteří jsou znevýhodnění při podávání návrhů projektů tím, že nemají odpovídající praxi, publikační a jiné výsledky jako jejich starší kolegové; anebo je jejich pozornost od výzkumu odváděna tím, že jsou nuceni z ekonomických důvodů vedle studia pracovat v irelevantních zaměstnáních, což v důsledku snižuje kvalitu jejich práce a studia. Hodnotící kritéria v programu ZÉTA berou nižší míru relevantních zkušeností v potaz. Díky podpoře v programu ZÉTA, získali mladí výzkumníci také možnost mít pro svou činnost mentory, což je velká přidaná hodnota v</w:t>
      </w:r>
      <w:r w:rsidR="0080631F">
        <w:t> </w:t>
      </w:r>
      <w:r>
        <w:t>rámci získávání zkušeností ve výzkumu. Program ZÉTA je úspěšný a setkává se s velkým zájmem ze strany řešitelů. Absorpční kapacita programu je vyšší, než se předpokládalo v době přípravy programu, což je viditelné na nárůstu počtu projektů podaných do 4. veřejné soutěže, která byla zároveň poslední.</w:t>
      </w:r>
    </w:p>
    <w:p w14:paraId="38C8BD41" w14:textId="77777777" w:rsidR="00075C63" w:rsidRDefault="00075C63" w:rsidP="00075C63">
      <w:pPr>
        <w:jc w:val="both"/>
      </w:pPr>
      <w:r>
        <w:t>Pokračování zmíněných zavedených aktivit bude tak zajištěno v rámci připravovaného programu SIGMA.</w:t>
      </w:r>
    </w:p>
    <w:p w14:paraId="08112BDA" w14:textId="77777777" w:rsidR="00075C63" w:rsidRDefault="00075C63" w:rsidP="00075C63">
      <w:pPr>
        <w:jc w:val="both"/>
      </w:pPr>
    </w:p>
    <w:p w14:paraId="15CBF761" w14:textId="77777777" w:rsidR="00075C63" w:rsidRPr="00DF66C7" w:rsidRDefault="00075C63" w:rsidP="00F5505E">
      <w:pPr>
        <w:pStyle w:val="Nadpis3"/>
        <w:rPr>
          <w:color w:val="F03741"/>
        </w:rPr>
      </w:pPr>
      <w:bookmarkStart w:id="33" w:name="_Toc66366446"/>
      <w:r>
        <w:t xml:space="preserve">Program </w:t>
      </w:r>
      <w:r w:rsidRPr="00DF66C7">
        <w:rPr>
          <w:color w:val="F03741"/>
        </w:rPr>
        <w:t>ÉTA</w:t>
      </w:r>
      <w:bookmarkEnd w:id="33"/>
    </w:p>
    <w:p w14:paraId="4CDE0C05" w14:textId="77777777" w:rsidR="00DC5923" w:rsidRDefault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08A45E" wp14:editId="7C55F9DC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81940" cy="0"/>
                <wp:effectExtent l="0" t="19050" r="22860" b="19050"/>
                <wp:wrapNone/>
                <wp:docPr id="37" name="Přím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F8E0D7" id="Přímá spojnice 37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5pt" to="22.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" strokecolor="#f03741" strokeweight="3pt">
                <v:stroke joinstyle="miter"/>
              </v:line>
            </w:pict>
          </mc:Fallback>
        </mc:AlternateContent>
      </w:r>
    </w:p>
    <w:p w14:paraId="7D7FF61A" w14:textId="2EC6707C" w:rsidR="00075C63" w:rsidRDefault="00075C63" w:rsidP="00075C63">
      <w:pPr>
        <w:jc w:val="both"/>
      </w:pPr>
      <w:r>
        <w:t xml:space="preserve">Program ÉTA navazuje na program na podporu aplikovaného společenskovědního výzkumu a experimentálního vývoje OMEGA. Program je zaměřen na podporu zapojení společenských a humanitních věd do projektů </w:t>
      </w:r>
      <w:proofErr w:type="spellStart"/>
      <w:r>
        <w:t>VaVaI</w:t>
      </w:r>
      <w:proofErr w:type="spellEnd"/>
      <w:r>
        <w:t xml:space="preserve">, které jsou přínosné pro udržení a zvyšování kvality života člověka a reagují na dynamické společenské, </w:t>
      </w:r>
      <w:r>
        <w:lastRenderedPageBreak/>
        <w:t>ekonomické, globalizační, kulturní nebo technologické proměny. Tím je program v souladu s</w:t>
      </w:r>
      <w:r w:rsidR="0080631F">
        <w:t> </w:t>
      </w:r>
      <w:r>
        <w:t>Opatřením 18 (Podpora spolupráce výzkumné a aplikační sféry a uplatnění jejích výsledků v humanitních a</w:t>
      </w:r>
      <w:r w:rsidR="0080631F">
        <w:t> </w:t>
      </w:r>
      <w:r>
        <w:t>společenských vědách) Národní politiky výzkumu, vývoje a inovací České republiky 2021+.</w:t>
      </w:r>
    </w:p>
    <w:p w14:paraId="31113EEE" w14:textId="2BEF004E" w:rsidR="00075C63" w:rsidRDefault="00075C63" w:rsidP="00075C63">
      <w:pPr>
        <w:jc w:val="both"/>
      </w:pPr>
      <w:r>
        <w:t>Program ÉTA je unikátní svým zaměřením, výrazně se odlišuje od programů ostatních poskytovatelů, je</w:t>
      </w:r>
      <w:r w:rsidR="0080631F">
        <w:t> </w:t>
      </w:r>
      <w:r>
        <w:t xml:space="preserve">zaměřen na témata, která jsou či zanedlouho budou společensky významná. ÉTA akcentuje </w:t>
      </w:r>
      <w:proofErr w:type="spellStart"/>
      <w:r>
        <w:t>multi</w:t>
      </w:r>
      <w:proofErr w:type="spellEnd"/>
      <w:r>
        <w:t xml:space="preserve"> – a trans-</w:t>
      </w:r>
      <w:proofErr w:type="spellStart"/>
      <w:r>
        <w:t>disciplinaritu</w:t>
      </w:r>
      <w:proofErr w:type="spellEnd"/>
      <w:r>
        <w:t xml:space="preserve">, aplikovaný výzkum v oborových kombinacích, které jsou zkoumány v rámci </w:t>
      </w:r>
      <w:proofErr w:type="spellStart"/>
      <w:r>
        <w:t>VaVaI</w:t>
      </w:r>
      <w:proofErr w:type="spellEnd"/>
      <w:r>
        <w:t xml:space="preserve"> v ČR minimálně či vůbec. Program vybízí výzkumníky v oblastech společenských, humanitních a uměleckých věd k</w:t>
      </w:r>
      <w:r w:rsidR="0080631F">
        <w:t> </w:t>
      </w:r>
      <w:r>
        <w:t xml:space="preserve">hledání přesahů v jejich badatelské činnosti a snaží se je přimět k „aplikačnímu uvažování”. V řadě projektů tak dochází k propojování např. sociologie a robotiky, umění a nových technologií, nebo historie a vývoje elektronických didaktických pomůcek a ke kombinaci mnoha dalších různorodých disciplín s obory </w:t>
      </w:r>
      <w:r w:rsidR="0070291F">
        <w:t>společenských, humanitních a uměleckých věd</w:t>
      </w:r>
      <w:r>
        <w:t>. Jedná se o program jedinečný i v mezinárodním měřítku.</w:t>
      </w:r>
    </w:p>
    <w:p w14:paraId="7DA7F11F" w14:textId="77777777" w:rsidR="00DC5923" w:rsidRDefault="00075C63" w:rsidP="00075C63">
      <w:pPr>
        <w:jc w:val="both"/>
      </w:pPr>
      <w:r>
        <w:t>Po skončení doby trvání tohoto nástroje podpory bude pokračování zavedených aktivit zajištěno v rámci připravovaného programu SIGMA.</w:t>
      </w:r>
    </w:p>
    <w:p w14:paraId="2EDA2919" w14:textId="77777777" w:rsidR="00075C63" w:rsidRDefault="00075C63" w:rsidP="00075C63">
      <w:pPr>
        <w:jc w:val="both"/>
      </w:pPr>
    </w:p>
    <w:p w14:paraId="02678139" w14:textId="77777777" w:rsidR="00075C63" w:rsidRDefault="00075C63" w:rsidP="00F5505E">
      <w:pPr>
        <w:pStyle w:val="Nadpis3"/>
      </w:pPr>
      <w:bookmarkStart w:id="34" w:name="_Toc66366447"/>
      <w:r>
        <w:t xml:space="preserve">Program </w:t>
      </w:r>
      <w:r w:rsidRPr="00DF66C7">
        <w:rPr>
          <w:color w:val="F03741"/>
        </w:rPr>
        <w:t>EPSILON</w:t>
      </w:r>
      <w:bookmarkEnd w:id="34"/>
    </w:p>
    <w:p w14:paraId="57D512B7" w14:textId="77777777" w:rsidR="00075C63" w:rsidRDefault="00075C63" w:rsidP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11DBB5C" wp14:editId="095F766B">
                <wp:simplePos x="0" y="0"/>
                <wp:positionH relativeFrom="column">
                  <wp:posOffset>7620</wp:posOffset>
                </wp:positionH>
                <wp:positionV relativeFrom="paragraph">
                  <wp:posOffset>66675</wp:posOffset>
                </wp:positionV>
                <wp:extent cx="281940" cy="0"/>
                <wp:effectExtent l="0" t="19050" r="22860" b="19050"/>
                <wp:wrapNone/>
                <wp:docPr id="38" name="Přím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1B8A70" id="Přímá spojnice 38" o:spid="_x0000_s1026" style="position:absolute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.25pt" to="22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" strokecolor="#f03741" strokeweight="3pt">
                <v:stroke joinstyle="miter"/>
              </v:line>
            </w:pict>
          </mc:Fallback>
        </mc:AlternateContent>
      </w:r>
    </w:p>
    <w:p w14:paraId="243BDA5D" w14:textId="76EF6FDC" w:rsidR="00075C63" w:rsidRDefault="00075C63" w:rsidP="00075C63">
      <w:pPr>
        <w:jc w:val="both"/>
      </w:pPr>
      <w:r>
        <w:t xml:space="preserve">Program je zaměřen zejména na zlepšení pozice českého a v globálním kontextu i evropského průmyslu pomocí podpory projektů aplikovaného výzkumu a experimentálního vývoje, jejichž výsledky mají vysoký potenciál pro rychlé uplatnění v nových produktech, výrobních postupech a službách, a to zejména v těchto prioritních oblastech: i) Konkurenceschopná ekonomika založená na znalostech, </w:t>
      </w:r>
      <w:proofErr w:type="spellStart"/>
      <w:r>
        <w:t>ii</w:t>
      </w:r>
      <w:proofErr w:type="spellEnd"/>
      <w:r>
        <w:t>) Udržitelnost energetiky a</w:t>
      </w:r>
      <w:r w:rsidR="0080631F">
        <w:t> </w:t>
      </w:r>
      <w:r>
        <w:t xml:space="preserve">materiálových zdrojů, </w:t>
      </w:r>
      <w:proofErr w:type="spellStart"/>
      <w:r>
        <w:t>iii</w:t>
      </w:r>
      <w:proofErr w:type="spellEnd"/>
      <w:r>
        <w:t>) Prostředí pro kvalitní život.</w:t>
      </w:r>
    </w:p>
    <w:p w14:paraId="2734F123" w14:textId="77777777" w:rsidR="00075C63" w:rsidRPr="00075C63" w:rsidRDefault="00075C63" w:rsidP="00075C63">
      <w:pPr>
        <w:jc w:val="both"/>
        <w:rPr>
          <w:b/>
        </w:rPr>
      </w:pPr>
      <w:r w:rsidRPr="00075C63">
        <w:rPr>
          <w:b/>
        </w:rPr>
        <w:t>Program je členěn na 3 podprogramy:</w:t>
      </w:r>
    </w:p>
    <w:p w14:paraId="35138CE7" w14:textId="77777777" w:rsidR="00075C63" w:rsidRDefault="00075C63" w:rsidP="00075C63">
      <w:pPr>
        <w:pStyle w:val="Odstavecseseznamem"/>
        <w:numPr>
          <w:ilvl w:val="0"/>
          <w:numId w:val="10"/>
        </w:numPr>
        <w:jc w:val="both"/>
      </w:pPr>
      <w:r>
        <w:t>podprogram 1 – Znalostní ekonomika</w:t>
      </w:r>
    </w:p>
    <w:p w14:paraId="4A1154CE" w14:textId="77777777" w:rsidR="00075C63" w:rsidRDefault="00075C63" w:rsidP="00075C63">
      <w:pPr>
        <w:pStyle w:val="Odstavecseseznamem"/>
        <w:numPr>
          <w:ilvl w:val="0"/>
          <w:numId w:val="10"/>
        </w:numPr>
        <w:jc w:val="both"/>
      </w:pPr>
      <w:r>
        <w:t>podprogram 2 – Energetika a materiály</w:t>
      </w:r>
    </w:p>
    <w:p w14:paraId="15EF4957" w14:textId="77777777" w:rsidR="00075C63" w:rsidRDefault="00075C63" w:rsidP="00075C63">
      <w:pPr>
        <w:pStyle w:val="Odstavecseseznamem"/>
        <w:numPr>
          <w:ilvl w:val="0"/>
          <w:numId w:val="10"/>
        </w:numPr>
        <w:jc w:val="both"/>
      </w:pPr>
      <w:r>
        <w:t>podprogram 3 – Životní prostředí</w:t>
      </w:r>
    </w:p>
    <w:p w14:paraId="17DD54AB" w14:textId="56269C35" w:rsidR="00075C63" w:rsidRDefault="00075C63" w:rsidP="00075C63">
      <w:pPr>
        <w:jc w:val="both"/>
      </w:pPr>
      <w:r>
        <w:t>Od roku 2019 nebyla v programu EPSILON vyhlášena žádná další národní veřejná soutěž, a to z důvodu schválení tří nových resortních programů, které mají podobné zaměření jako program EPSILON. Program EPSILON je</w:t>
      </w:r>
      <w:r w:rsidR="0080631F">
        <w:t> </w:t>
      </w:r>
      <w:r>
        <w:t>od</w:t>
      </w:r>
      <w:r w:rsidR="0080631F">
        <w:t> </w:t>
      </w:r>
      <w:r>
        <w:t xml:space="preserve">zmíněného roku využíván pouze na podporu projektů z mezinárodních ERA-NET </w:t>
      </w:r>
      <w:proofErr w:type="spellStart"/>
      <w:r>
        <w:t>Cofund</w:t>
      </w:r>
      <w:proofErr w:type="spellEnd"/>
      <w:r>
        <w:t xml:space="preserve"> schémat, a tím program přispívá k naplňování Opatření 13 (Zapojení výzkumných týmů do Horizon</w:t>
      </w:r>
      <w:r w:rsidR="006019E2">
        <w:t>tu</w:t>
      </w:r>
      <w:r>
        <w:t xml:space="preserve"> E</w:t>
      </w:r>
      <w:r w:rsidR="006019E2">
        <w:t>vropa</w:t>
      </w:r>
      <w:r>
        <w:t>, případně dalších programů EU, oboustranná mezinárodní mobilita a mezinárodní spolupráce výzkumných organizací a podniků,</w:t>
      </w:r>
      <w:r w:rsidR="0080631F">
        <w:t xml:space="preserve"> </w:t>
      </w:r>
      <w:r>
        <w:t>podpora systémového zpřístupňování výsledků výzkumu a vývoje) a 14 (Podpoření synergie českého a</w:t>
      </w:r>
      <w:r w:rsidR="0080631F">
        <w:t> </w:t>
      </w:r>
      <w:r>
        <w:t xml:space="preserve">mezinárodního </w:t>
      </w:r>
      <w:r w:rsidR="00373982">
        <w:t>výzkumu a vývoje</w:t>
      </w:r>
      <w:r>
        <w:t xml:space="preserve"> prostřednictvím mezinárodní programové spolupráce ČR) Národní politiky výzkumu, vývoje a inovací České republiky 2021+. Vzrůstající počet zájemců o podporu v tomto nástroji, a též rostoucí úspěšnost projektů s českými uchazeči v mezinárodních výzvách staví program před nové možnosti jeho rozvoje</w:t>
      </w:r>
    </w:p>
    <w:p w14:paraId="65538DF9" w14:textId="4CCA81CF" w:rsidR="00595B60" w:rsidRDefault="00595B60">
      <w:r>
        <w:br w:type="page"/>
      </w:r>
    </w:p>
    <w:p w14:paraId="07F21467" w14:textId="7A22D5BE" w:rsidR="00075C63" w:rsidRDefault="00075C63" w:rsidP="00F5505E">
      <w:pPr>
        <w:pStyle w:val="Nadpis2"/>
      </w:pPr>
      <w:bookmarkStart w:id="35" w:name="_Toc66366448"/>
      <w:r w:rsidRPr="00237E3F">
        <w:rPr>
          <w:rStyle w:val="Nadpis1Char"/>
        </w:rPr>
        <w:lastRenderedPageBreak/>
        <w:t xml:space="preserve">Stávající </w:t>
      </w:r>
      <w:r>
        <w:rPr>
          <w:rStyle w:val="Nadpis1Char"/>
        </w:rPr>
        <w:t xml:space="preserve">resortní </w:t>
      </w:r>
      <w:r w:rsidRPr="00927185">
        <w:rPr>
          <w:rStyle w:val="Nadpis1Char"/>
          <w:color w:val="auto"/>
        </w:rPr>
        <w:t xml:space="preserve">programy </w:t>
      </w:r>
      <w:r w:rsidR="00001830">
        <w:rPr>
          <w:rStyle w:val="Nadpis1Char"/>
          <w:color w:val="auto"/>
        </w:rPr>
        <w:t xml:space="preserve">implementované </w:t>
      </w:r>
      <w:r w:rsidRPr="00927185">
        <w:rPr>
          <w:rStyle w:val="Nadpis1Char"/>
          <w:color w:val="auto"/>
        </w:rPr>
        <w:t>TA</w:t>
      </w:r>
      <w:r w:rsidR="00001830">
        <w:t> </w:t>
      </w:r>
      <w:r w:rsidRPr="00927185">
        <w:rPr>
          <w:rStyle w:val="Nadpis1Char"/>
          <w:color w:val="auto"/>
        </w:rPr>
        <w:t>ČR</w:t>
      </w:r>
      <w:bookmarkEnd w:id="35"/>
    </w:p>
    <w:p w14:paraId="6D055DE6" w14:textId="77777777" w:rsidR="00075C63" w:rsidRPr="00075C63" w:rsidRDefault="00075C63" w:rsidP="00075C63">
      <w:pPr>
        <w:jc w:val="both"/>
      </w:pPr>
    </w:p>
    <w:p w14:paraId="01F04063" w14:textId="77777777" w:rsidR="00DC5923" w:rsidRDefault="00075C63" w:rsidP="00F5505E">
      <w:pPr>
        <w:pStyle w:val="Nadpis3"/>
      </w:pPr>
      <w:bookmarkStart w:id="36" w:name="_Toc66366449"/>
      <w:r>
        <w:t xml:space="preserve">Program </w:t>
      </w:r>
      <w:r w:rsidRPr="00DF66C7">
        <w:rPr>
          <w:color w:val="F03741"/>
        </w:rPr>
        <w:t>TREND</w:t>
      </w:r>
      <w:bookmarkEnd w:id="36"/>
    </w:p>
    <w:p w14:paraId="78E2C4F1" w14:textId="77777777" w:rsidR="00DC5923" w:rsidRDefault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A298B48" wp14:editId="1A500550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281940" cy="0"/>
                <wp:effectExtent l="0" t="19050" r="22860" b="19050"/>
                <wp:wrapNone/>
                <wp:docPr id="39" name="Přímá spojnic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40226E" id="Přímá spojnice 39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7.05pt" to="22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" strokecolor="#f03741" strokeweight="3pt">
                <v:stroke joinstyle="miter"/>
              </v:line>
            </w:pict>
          </mc:Fallback>
        </mc:AlternateContent>
      </w:r>
    </w:p>
    <w:p w14:paraId="2EAA4D7C" w14:textId="5C67F2BE" w:rsidR="00075C63" w:rsidRDefault="00075C63" w:rsidP="00075C63">
      <w:pPr>
        <w:jc w:val="both"/>
      </w:pPr>
      <w:r>
        <w:t>Hlavním cílem programu je zvýšení mezinárodní konkurenceschopnosti podniků, především rozšířením jejich trhů v</w:t>
      </w:r>
      <w:r w:rsidR="00001830">
        <w:t> </w:t>
      </w:r>
      <w:r>
        <w:t>zahraničí, pronikáním na trhy nové či posunem výše v globálních hodnotových řetězcích. Cíle bude dosaženo prostřednictvím podpory projektů průmyslového výzkumu a experimentálního vývoje a zavedením jejich výsledků do praxe, zejména do průmyslové výroby a do nabídky produktů na trhu.</w:t>
      </w:r>
    </w:p>
    <w:p w14:paraId="566B693C" w14:textId="77777777" w:rsidR="00075C63" w:rsidRPr="00075C63" w:rsidRDefault="00075C63" w:rsidP="00075C63">
      <w:pPr>
        <w:jc w:val="both"/>
        <w:rPr>
          <w:b/>
        </w:rPr>
      </w:pPr>
      <w:r w:rsidRPr="00075C63">
        <w:rPr>
          <w:b/>
        </w:rPr>
        <w:t>Program je členěn na dva podprogramy:</w:t>
      </w:r>
    </w:p>
    <w:p w14:paraId="71B0FECE" w14:textId="77777777" w:rsidR="00075C63" w:rsidRDefault="00075C63" w:rsidP="00075C63">
      <w:pPr>
        <w:pStyle w:val="Odstavecseseznamem"/>
        <w:numPr>
          <w:ilvl w:val="0"/>
          <w:numId w:val="11"/>
        </w:numPr>
        <w:jc w:val="both"/>
      </w:pPr>
      <w:r>
        <w:t>podprogram 1 – „Technologičtí lídři“</w:t>
      </w:r>
    </w:p>
    <w:p w14:paraId="2E2C2723" w14:textId="77777777" w:rsidR="00075C63" w:rsidRDefault="00075C63" w:rsidP="00075C63">
      <w:pPr>
        <w:pStyle w:val="Odstavecseseznamem"/>
        <w:numPr>
          <w:ilvl w:val="0"/>
          <w:numId w:val="11"/>
        </w:numPr>
        <w:jc w:val="both"/>
      </w:pPr>
      <w:r>
        <w:t>podprogram 2 – „Nováčci“</w:t>
      </w:r>
    </w:p>
    <w:p w14:paraId="6EE63EC2" w14:textId="77777777" w:rsidR="00DC5923" w:rsidRDefault="00075C63" w:rsidP="00075C63">
      <w:pPr>
        <w:jc w:val="both"/>
      </w:pPr>
      <w:r>
        <w:t>Program TA ČR implementuje v roli poskytovatele ve spolupráci s vlastníkem programu, kterým je Ministerstvo průmyslu a obchodu.</w:t>
      </w:r>
    </w:p>
    <w:p w14:paraId="1202788A" w14:textId="77777777" w:rsidR="00DC5923" w:rsidRDefault="00DC5923"/>
    <w:p w14:paraId="03D6F484" w14:textId="77777777" w:rsidR="00DC5923" w:rsidRPr="00DF66C7" w:rsidRDefault="00075C63" w:rsidP="00F5505E">
      <w:pPr>
        <w:pStyle w:val="Nadpis3"/>
      </w:pPr>
      <w:bookmarkStart w:id="37" w:name="_Toc66366450"/>
      <w:r>
        <w:t xml:space="preserve">Program </w:t>
      </w:r>
      <w:r w:rsidRPr="00927185">
        <w:rPr>
          <w:color w:val="FF0000"/>
        </w:rPr>
        <w:t>DOPRAVA 2020+</w:t>
      </w:r>
      <w:bookmarkEnd w:id="37"/>
    </w:p>
    <w:p w14:paraId="686F3023" w14:textId="77777777" w:rsidR="00DC5923" w:rsidRDefault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C614E89" wp14:editId="0AE8A043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281940" cy="0"/>
                <wp:effectExtent l="0" t="19050" r="22860" b="19050"/>
                <wp:wrapNone/>
                <wp:docPr id="40" name="Přímá spojnic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B7754" id="Přímá spojnice 40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2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" strokecolor="#f03741" strokeweight="3pt">
                <v:stroke joinstyle="miter"/>
              </v:line>
            </w:pict>
          </mc:Fallback>
        </mc:AlternateContent>
      </w:r>
    </w:p>
    <w:p w14:paraId="0C9693CC" w14:textId="4CC3BCDE" w:rsidR="00075C63" w:rsidRDefault="00075C63" w:rsidP="00075C63">
      <w:pPr>
        <w:jc w:val="both"/>
      </w:pPr>
      <w:r>
        <w:t>Program je zaměřen na podporu projektů aplikovaného výzkumu a experimentálního vývoje, jejichž výsledky mají vysoký potenciál pro další uplatnění v nových přístupech, technologických postupech a službách, vedoucích k</w:t>
      </w:r>
      <w:r w:rsidR="0080631F">
        <w:t> </w:t>
      </w:r>
      <w:r>
        <w:t>posílení společenských a ekonomických přínosů dopravy. Hlavním cílem programu je prostřednictvím výstupů, výsledků a dopadů z podpořených projektů rozvíjet dopravní sektor způsobem, který bude reflektovat společenské potřeby, akcelerovat technologický a znalostní rozvoj ČR a napomáhat růstu konkurenceschopnosti ČR.</w:t>
      </w:r>
    </w:p>
    <w:p w14:paraId="07B0ADDD" w14:textId="77777777" w:rsidR="00DC5923" w:rsidRDefault="00075C63" w:rsidP="00075C63">
      <w:pPr>
        <w:jc w:val="both"/>
      </w:pPr>
      <w:r>
        <w:t>Program TA ČR implementuje v roli poskytovatele ve spolupráci s vlastníkem programu, kterým je Ministerstvo dopravy.</w:t>
      </w:r>
    </w:p>
    <w:p w14:paraId="200AA5F8" w14:textId="77777777" w:rsidR="00075C63" w:rsidRDefault="00075C63" w:rsidP="00075C63">
      <w:pPr>
        <w:jc w:val="both"/>
      </w:pPr>
    </w:p>
    <w:p w14:paraId="538DD4CA" w14:textId="77777777" w:rsidR="00075C63" w:rsidRDefault="00075C63" w:rsidP="00F5505E">
      <w:pPr>
        <w:pStyle w:val="Nadpis3"/>
      </w:pPr>
      <w:bookmarkStart w:id="38" w:name="_Toc66366451"/>
      <w:r>
        <w:t xml:space="preserve">Program </w:t>
      </w:r>
      <w:r w:rsidRPr="00927185">
        <w:rPr>
          <w:color w:val="FF0000"/>
        </w:rPr>
        <w:t>Prostředí pro život</w:t>
      </w:r>
      <w:bookmarkEnd w:id="38"/>
    </w:p>
    <w:p w14:paraId="03291DFB" w14:textId="77777777" w:rsidR="00DC5923" w:rsidRDefault="00075C63">
      <w:r w:rsidRPr="00237E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FD3FD50" wp14:editId="1958E7C9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281940" cy="0"/>
                <wp:effectExtent l="0" t="19050" r="22860" b="19050"/>
                <wp:wrapNone/>
                <wp:docPr id="41" name="Přímá spojnic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CF74F2" id="Přímá spojnice 41" o:spid="_x0000_s1026" style="position:absolute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2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" strokecolor="#f03741" strokeweight="3pt">
                <v:stroke joinstyle="miter"/>
              </v:line>
            </w:pict>
          </mc:Fallback>
        </mc:AlternateContent>
      </w:r>
    </w:p>
    <w:p w14:paraId="5B6FDC6E" w14:textId="77777777" w:rsidR="00075C63" w:rsidRDefault="00075C63" w:rsidP="005D5DA6">
      <w:pPr>
        <w:jc w:val="both"/>
      </w:pPr>
      <w:r>
        <w:t>Cílem programu je přinést nová řešení v oblasti životního prostředí, stabilizovat a rozšířit znalostní základnu, která výrazně přispěje k zajištění zdravého a kvalitního životního prostředí v České republice a k udržitelnému využívání jejích zdrojů, minimalizuje negativní dopady lidské činnosti na životní prostředí včetně dopadů přesahujících hranice státu a přispěje tak ke zlepšování kvality života v Evropě i v globálním kontextu.</w:t>
      </w:r>
    </w:p>
    <w:p w14:paraId="6D685548" w14:textId="77777777" w:rsidR="00075C63" w:rsidRPr="005D5DA6" w:rsidRDefault="00075C63" w:rsidP="005D5DA6">
      <w:pPr>
        <w:jc w:val="both"/>
        <w:rPr>
          <w:b/>
        </w:rPr>
      </w:pPr>
      <w:r w:rsidRPr="005D5DA6">
        <w:rPr>
          <w:b/>
        </w:rPr>
        <w:t>Program je členěn na tři podprogramy:</w:t>
      </w:r>
    </w:p>
    <w:p w14:paraId="569C9C86" w14:textId="77777777" w:rsidR="00075C63" w:rsidRDefault="00075C63" w:rsidP="005D5DA6">
      <w:pPr>
        <w:pStyle w:val="Odstavecseseznamem"/>
        <w:numPr>
          <w:ilvl w:val="0"/>
          <w:numId w:val="12"/>
        </w:numPr>
        <w:jc w:val="both"/>
      </w:pPr>
      <w:r>
        <w:t xml:space="preserve">podprogram 1 – Operativní výzkum ve veřejném zájmu </w:t>
      </w:r>
    </w:p>
    <w:p w14:paraId="512D93C6" w14:textId="77777777" w:rsidR="00075C63" w:rsidRDefault="00075C63" w:rsidP="005D5DA6">
      <w:pPr>
        <w:pStyle w:val="Odstavecseseznamem"/>
        <w:numPr>
          <w:ilvl w:val="0"/>
          <w:numId w:val="12"/>
        </w:numPr>
        <w:jc w:val="both"/>
      </w:pPr>
      <w:r>
        <w:t xml:space="preserve">podprogram 2 – </w:t>
      </w:r>
      <w:proofErr w:type="spellStart"/>
      <w:r>
        <w:t>Ekoinovace</w:t>
      </w:r>
      <w:proofErr w:type="spellEnd"/>
      <w:r>
        <w:t>, technologie a postupy pro ochranu životního prostředí</w:t>
      </w:r>
    </w:p>
    <w:p w14:paraId="5C8AFDA0" w14:textId="77777777" w:rsidR="00075C63" w:rsidRDefault="00075C63" w:rsidP="005D5DA6">
      <w:pPr>
        <w:pStyle w:val="Odstavecseseznamem"/>
        <w:numPr>
          <w:ilvl w:val="0"/>
          <w:numId w:val="12"/>
        </w:numPr>
        <w:jc w:val="both"/>
      </w:pPr>
      <w:r>
        <w:t>podprogram 3 – Dlouhodobé environmentální a klimatické perspektivy</w:t>
      </w:r>
    </w:p>
    <w:p w14:paraId="5B30D623" w14:textId="749CDF7E" w:rsidR="00DC5923" w:rsidRDefault="00075C63" w:rsidP="005D5DA6">
      <w:pPr>
        <w:jc w:val="both"/>
      </w:pPr>
      <w:r>
        <w:t xml:space="preserve">Program je také využíván v rámci tzv. ERA-NET </w:t>
      </w:r>
      <w:proofErr w:type="spellStart"/>
      <w:r>
        <w:t>cofundových</w:t>
      </w:r>
      <w:proofErr w:type="spellEnd"/>
      <w:r>
        <w:t xml:space="preserve"> výz</w:t>
      </w:r>
      <w:r w:rsidR="00943B01">
        <w:t>ev</w:t>
      </w:r>
      <w:r>
        <w:t xml:space="preserve"> pro financování úspěšných českých uchazečů v projektech vybraných na mezinárodní úrovni.</w:t>
      </w:r>
      <w:r w:rsidR="005D5DA6">
        <w:t xml:space="preserve"> </w:t>
      </w:r>
      <w:r>
        <w:t>Program TA ČR implementuje v roli poskytovatele ve</w:t>
      </w:r>
      <w:r w:rsidR="0080631F">
        <w:t> </w:t>
      </w:r>
      <w:r>
        <w:t>spolupráci s vlastníkem programu, kterým je Ministerstvo životního prostředí.</w:t>
      </w:r>
    </w:p>
    <w:p w14:paraId="10D47FCC" w14:textId="77777777" w:rsidR="00F458C4" w:rsidRDefault="00F458C4">
      <w:pPr>
        <w:rPr>
          <w:rStyle w:val="Nadpis1Char"/>
        </w:rPr>
      </w:pPr>
      <w:r>
        <w:rPr>
          <w:rStyle w:val="Nadpis1Char"/>
        </w:rPr>
        <w:br w:type="page"/>
      </w:r>
    </w:p>
    <w:p w14:paraId="764F4111" w14:textId="169AE048" w:rsidR="005D5DA6" w:rsidRDefault="005D5DA6" w:rsidP="00F5505E">
      <w:pPr>
        <w:pStyle w:val="Nadpis2"/>
      </w:pPr>
      <w:bookmarkStart w:id="39" w:name="_Toc66366452"/>
      <w:r>
        <w:rPr>
          <w:rStyle w:val="Nadpis1Char"/>
        </w:rPr>
        <w:lastRenderedPageBreak/>
        <w:t xml:space="preserve">Mezinárodní spolupráce </w:t>
      </w:r>
      <w:r w:rsidRPr="00927185">
        <w:rPr>
          <w:rStyle w:val="Nadpis1Char"/>
          <w:color w:val="auto"/>
        </w:rPr>
        <w:t xml:space="preserve">ERA-NET </w:t>
      </w:r>
      <w:proofErr w:type="spellStart"/>
      <w:r w:rsidRPr="00927185">
        <w:rPr>
          <w:rStyle w:val="Nadpis1Char"/>
          <w:color w:val="auto"/>
        </w:rPr>
        <w:t>Cofundy</w:t>
      </w:r>
      <w:bookmarkEnd w:id="39"/>
      <w:proofErr w:type="spellEnd"/>
    </w:p>
    <w:p w14:paraId="598028A1" w14:textId="77777777" w:rsidR="00DC5923" w:rsidRDefault="00DC5923"/>
    <w:p w14:paraId="24A38148" w14:textId="78117992" w:rsidR="005D5DA6" w:rsidRPr="005D5DA6" w:rsidRDefault="005D5DA6" w:rsidP="005D5DA6">
      <w:pPr>
        <w:jc w:val="both"/>
        <w:rPr>
          <w:b/>
        </w:rPr>
      </w:pPr>
      <w:r w:rsidRPr="005D5DA6">
        <w:rPr>
          <w:b/>
        </w:rPr>
        <w:t xml:space="preserve">Mezinárodní spolupráci pokrývá z části program DELTA </w:t>
      </w:r>
      <w:r w:rsidR="00943B01">
        <w:rPr>
          <w:b/>
        </w:rPr>
        <w:t xml:space="preserve">2 </w:t>
      </w:r>
      <w:r w:rsidRPr="005D5DA6">
        <w:rPr>
          <w:b/>
        </w:rPr>
        <w:t xml:space="preserve">popsaný výše v textu. Dále se TA ČR od roku 2017 zapojuju do nástroje ERA-NET </w:t>
      </w:r>
      <w:proofErr w:type="spellStart"/>
      <w:r w:rsidRPr="005D5DA6">
        <w:rPr>
          <w:b/>
        </w:rPr>
        <w:t>Cofund</w:t>
      </w:r>
      <w:proofErr w:type="spellEnd"/>
      <w:r w:rsidRPr="005D5DA6">
        <w:rPr>
          <w:b/>
        </w:rPr>
        <w:t xml:space="preserve"> v roli poskytovatele finančních prostředků českým partnerům. Účast v</w:t>
      </w:r>
      <w:r w:rsidR="0080631F">
        <w:t> </w:t>
      </w:r>
      <w:r w:rsidRPr="005D5DA6">
        <w:rPr>
          <w:b/>
        </w:rPr>
        <w:t xml:space="preserve">mezinárodních výzvách ERA-NET </w:t>
      </w:r>
      <w:proofErr w:type="spellStart"/>
      <w:r w:rsidRPr="005D5DA6">
        <w:rPr>
          <w:b/>
        </w:rPr>
        <w:t>Cofund</w:t>
      </w:r>
      <w:proofErr w:type="spellEnd"/>
      <w:r w:rsidRPr="005D5DA6">
        <w:rPr>
          <w:b/>
        </w:rPr>
        <w:t>, do kterých je TA ČR zapojena, jsou financovány prostřednictvím následujících programů:</w:t>
      </w:r>
    </w:p>
    <w:p w14:paraId="2FA36400" w14:textId="77777777" w:rsidR="005D5DA6" w:rsidRDefault="005D5DA6" w:rsidP="005D5DA6">
      <w:pPr>
        <w:jc w:val="both"/>
      </w:pPr>
    </w:p>
    <w:p w14:paraId="2A401A5C" w14:textId="7CC6AB22" w:rsidR="005D5DA6" w:rsidRDefault="005D5DA6" w:rsidP="005D5DA6">
      <w:pPr>
        <w:pStyle w:val="Odstavecseseznamem"/>
        <w:numPr>
          <w:ilvl w:val="0"/>
          <w:numId w:val="13"/>
        </w:numPr>
        <w:jc w:val="both"/>
      </w:pPr>
      <w:r>
        <w:t>do konce doby trvání programu EPSILON (rok 2026) slouží program zejména pro podporu projektů z</w:t>
      </w:r>
      <w:r w:rsidR="0080631F">
        <w:t> </w:t>
      </w:r>
      <w:r>
        <w:t xml:space="preserve">ERA-NET </w:t>
      </w:r>
      <w:proofErr w:type="spellStart"/>
      <w:r>
        <w:t>Cofundových</w:t>
      </w:r>
      <w:proofErr w:type="spellEnd"/>
      <w:r>
        <w:t xml:space="preserve"> výzev. První mezinárodní výzva v tomto programu byla výzva CHIST-ERA III vyhlášená na podzim roku 2017. Od roku 2018 jsou každoročně vyhlašovány výzvy ERA-NET </w:t>
      </w:r>
      <w:proofErr w:type="spellStart"/>
      <w:r>
        <w:t>Cofundů</w:t>
      </w:r>
      <w:proofErr w:type="spellEnd"/>
      <w:r>
        <w:t xml:space="preserve"> M</w:t>
      </w:r>
      <w:r w:rsidR="0080631F">
        <w:t> </w:t>
      </w:r>
      <w:r>
        <w:t xml:space="preserve">ERA.Net2 (následně pak M-ERA.Net3), </w:t>
      </w:r>
      <w:proofErr w:type="spellStart"/>
      <w:r>
        <w:t>EuroNanoMed</w:t>
      </w:r>
      <w:proofErr w:type="spellEnd"/>
      <w:r>
        <w:t xml:space="preserve"> 3, CHIST-ERA III (následně pak CHIST-ERA IV). Od roku 2019 probíhá zapojení do ERA-NET </w:t>
      </w:r>
      <w:proofErr w:type="spellStart"/>
      <w:r>
        <w:t>Cofundu</w:t>
      </w:r>
      <w:proofErr w:type="spellEnd"/>
      <w:r>
        <w:t xml:space="preserve"> ERA-MIN 2 (v roce 2021 bude nahrazen ERA-MIN 3). V roce 2020 byla vyhlášena výzva v ERA-NET </w:t>
      </w:r>
      <w:proofErr w:type="spellStart"/>
      <w:r>
        <w:t>Cofundu</w:t>
      </w:r>
      <w:proofErr w:type="spellEnd"/>
      <w:r>
        <w:t xml:space="preserve"> </w:t>
      </w:r>
      <w:proofErr w:type="spellStart"/>
      <w:r>
        <w:t>AquaticPollutants</w:t>
      </w:r>
      <w:proofErr w:type="spellEnd"/>
      <w:r>
        <w:t xml:space="preserve"> a TA ČR se také zapojila do</w:t>
      </w:r>
      <w:r w:rsidR="0080631F">
        <w:t> </w:t>
      </w:r>
      <w:r>
        <w:t xml:space="preserve">ERA-NET </w:t>
      </w:r>
      <w:proofErr w:type="spellStart"/>
      <w:r>
        <w:t>Cofundu</w:t>
      </w:r>
      <w:proofErr w:type="spellEnd"/>
      <w:r>
        <w:t xml:space="preserve"> QUANT-ERA II, kde se předpokládá vyhlášení výzvy na začátku roku 2021. Poslední mezinárodní ERA-NET </w:t>
      </w:r>
      <w:proofErr w:type="spellStart"/>
      <w:r>
        <w:t>Cofundové</w:t>
      </w:r>
      <w:proofErr w:type="spellEnd"/>
      <w:r>
        <w:t xml:space="preserve"> výzvy se plánují vyhlásit v roce 2022. TA ČR dále jedná o</w:t>
      </w:r>
      <w:r w:rsidR="0080631F">
        <w:t> </w:t>
      </w:r>
      <w:r>
        <w:t>možnosti využít program na financování Evropských partnerství v rámci Horizon</w:t>
      </w:r>
      <w:r w:rsidR="00943B01">
        <w:t>tu</w:t>
      </w:r>
      <w:r>
        <w:t xml:space="preserve"> E</w:t>
      </w:r>
      <w:r w:rsidR="00943B01">
        <w:t>vropa</w:t>
      </w:r>
      <w:r>
        <w:t>, konkrétně pro</w:t>
      </w:r>
      <w:r w:rsidR="00997BDE">
        <w:t xml:space="preserve"> v</w:t>
      </w:r>
      <w:r>
        <w:t>ýzvy</w:t>
      </w:r>
      <w:r w:rsidR="00997BDE">
        <w:t xml:space="preserve"> </w:t>
      </w:r>
      <w:r>
        <w:t>v</w:t>
      </w:r>
      <w:r w:rsidR="0080631F">
        <w:t> </w:t>
      </w:r>
      <w:r>
        <w:t xml:space="preserve">partnerství ERA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Health</w:t>
      </w:r>
      <w:proofErr w:type="spellEnd"/>
      <w:r>
        <w:t>, které se začnou vyhlašovat od roku 2023. Koncept zapojení předpokládá, že by se TA ČR zapojila pouze jako poskytovatel podpory pro výzkum v oblasti materiálů, diagnostiky a</w:t>
      </w:r>
      <w:r w:rsidR="0080631F">
        <w:t> </w:t>
      </w:r>
      <w:r w:rsidR="00943B01">
        <w:t xml:space="preserve">tzv. </w:t>
      </w:r>
      <w:proofErr w:type="spellStart"/>
      <w:r>
        <w:t>targeted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. </w:t>
      </w:r>
    </w:p>
    <w:p w14:paraId="78400466" w14:textId="77777777" w:rsidR="005D5DA6" w:rsidRDefault="005D5DA6" w:rsidP="00DF66C7">
      <w:pPr>
        <w:pStyle w:val="Odstavecseseznamem"/>
        <w:jc w:val="both"/>
      </w:pPr>
    </w:p>
    <w:p w14:paraId="4AF5BA1C" w14:textId="77777777" w:rsidR="00623EC4" w:rsidRDefault="00623EC4" w:rsidP="00DF66C7">
      <w:pPr>
        <w:pStyle w:val="Odstavecseseznamem"/>
        <w:jc w:val="both"/>
      </w:pPr>
    </w:p>
    <w:p w14:paraId="4FF1A428" w14:textId="73121310" w:rsidR="005D5DA6" w:rsidRDefault="005D5DA6" w:rsidP="005D5DA6">
      <w:pPr>
        <w:pStyle w:val="Odstavecseseznamem"/>
        <w:numPr>
          <w:ilvl w:val="0"/>
          <w:numId w:val="13"/>
        </w:numPr>
        <w:jc w:val="both"/>
      </w:pPr>
      <w:r>
        <w:t xml:space="preserve">z programu ZÉTA je financována výzva ERA-NET </w:t>
      </w:r>
      <w:proofErr w:type="spellStart"/>
      <w:r>
        <w:t>Cofund</w:t>
      </w:r>
      <w:proofErr w:type="spellEnd"/>
      <w:r>
        <w:t xml:space="preserve"> Gender-NET Plus. V následujících letech se</w:t>
      </w:r>
      <w:r w:rsidR="0080631F">
        <w:t> </w:t>
      </w:r>
      <w:r>
        <w:t>vyhlášení dalších výzev už nepředpokládá.</w:t>
      </w:r>
    </w:p>
    <w:p w14:paraId="04336029" w14:textId="77777777" w:rsidR="005D5DA6" w:rsidRDefault="005D5DA6" w:rsidP="005D5DA6">
      <w:pPr>
        <w:jc w:val="both"/>
      </w:pPr>
    </w:p>
    <w:p w14:paraId="41FCBF44" w14:textId="08096D3F" w:rsidR="005D5DA6" w:rsidRDefault="005D5DA6" w:rsidP="005D5DA6">
      <w:pPr>
        <w:pStyle w:val="Odstavecseseznamem"/>
        <w:numPr>
          <w:ilvl w:val="0"/>
          <w:numId w:val="13"/>
        </w:numPr>
        <w:jc w:val="both"/>
      </w:pPr>
      <w:r>
        <w:t xml:space="preserve">prostřednictvím programu Prostředí pro život jsou od roku 2019 financovány výzvy ERA-NET </w:t>
      </w:r>
      <w:proofErr w:type="spellStart"/>
      <w:r>
        <w:t>Cofundů</w:t>
      </w:r>
      <w:proofErr w:type="spellEnd"/>
      <w:r>
        <w:t xml:space="preserve"> </w:t>
      </w:r>
      <w:proofErr w:type="spellStart"/>
      <w:r>
        <w:t>BiodivClim</w:t>
      </w:r>
      <w:proofErr w:type="spellEnd"/>
      <w:r>
        <w:t xml:space="preserve"> a </w:t>
      </w:r>
      <w:proofErr w:type="spellStart"/>
      <w:r>
        <w:t>BiodivRestore</w:t>
      </w:r>
      <w:proofErr w:type="spellEnd"/>
      <w:r>
        <w:t xml:space="preserve">. V následujících letech bude vyhlášeno po jedné výzvě v každém z těchto ERA-NET </w:t>
      </w:r>
      <w:proofErr w:type="spellStart"/>
      <w:r>
        <w:t>Cofundů</w:t>
      </w:r>
      <w:proofErr w:type="spellEnd"/>
      <w:r>
        <w:t xml:space="preserve">. V roce 2022 bude program také financovat projekty zapojené do výzvy TAP ERA-NET </w:t>
      </w:r>
      <w:proofErr w:type="spellStart"/>
      <w:r>
        <w:t>Cofundu</w:t>
      </w:r>
      <w:proofErr w:type="spellEnd"/>
      <w:r>
        <w:t xml:space="preserve"> </w:t>
      </w:r>
      <w:proofErr w:type="spellStart"/>
      <w:r>
        <w:t>Aquatic</w:t>
      </w:r>
      <w:proofErr w:type="spellEnd"/>
      <w:r>
        <w:t xml:space="preserve"> </w:t>
      </w:r>
      <w:proofErr w:type="spellStart"/>
      <w:r>
        <w:t>Pollutants</w:t>
      </w:r>
      <w:proofErr w:type="spellEnd"/>
      <w:r>
        <w:t xml:space="preserve">. Z programu se v rámci </w:t>
      </w:r>
      <w:proofErr w:type="spellStart"/>
      <w:r>
        <w:t>Horizon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 plánují financovat také Evropská partnerství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Rescuing</w:t>
      </w:r>
      <w:proofErr w:type="spellEnd"/>
      <w:r>
        <w:t xml:space="preserve"> Biodiversity to </w:t>
      </w:r>
      <w:proofErr w:type="spellStart"/>
      <w:r>
        <w:t>Safeguard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on </w:t>
      </w:r>
      <w:proofErr w:type="spellStart"/>
      <w:r>
        <w:t>Earth</w:t>
      </w:r>
      <w:proofErr w:type="spellEnd"/>
      <w:r>
        <w:t xml:space="preserve"> (Partnerství pro</w:t>
      </w:r>
      <w:r w:rsidR="0080631F">
        <w:t> </w:t>
      </w:r>
      <w:r>
        <w:t xml:space="preserve">biodiverzitu),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Planet (Water4All),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Transition</w:t>
      </w:r>
      <w:proofErr w:type="spellEnd"/>
      <w:r>
        <w:t xml:space="preserve"> (CET) a potenciálně také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Risk </w:t>
      </w:r>
      <w:proofErr w:type="spellStart"/>
      <w:r>
        <w:t>Assessment</w:t>
      </w:r>
      <w:proofErr w:type="spellEnd"/>
      <w:r>
        <w:t xml:space="preserve">. Tyto iniciativy začnou vyhlašovat společné výzvy pravděpodobně v roce 2022. </w:t>
      </w:r>
    </w:p>
    <w:p w14:paraId="18425A4A" w14:textId="77777777" w:rsidR="005D5DA6" w:rsidRDefault="005D5DA6" w:rsidP="005D5DA6">
      <w:pPr>
        <w:jc w:val="both"/>
      </w:pPr>
    </w:p>
    <w:p w14:paraId="448E8068" w14:textId="6C402399" w:rsidR="00DC5923" w:rsidRDefault="005D5DA6" w:rsidP="00DF66C7">
      <w:pPr>
        <w:pStyle w:val="Odstavecseseznamem"/>
        <w:numPr>
          <w:ilvl w:val="0"/>
          <w:numId w:val="13"/>
        </w:numPr>
        <w:jc w:val="both"/>
      </w:pPr>
      <w:r>
        <w:t xml:space="preserve">program THÉTA je pro mezinárodní výzvy využíván od roku 2020, kdy se TA ČR zapojila do výzvy PED (Positive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Districts</w:t>
      </w:r>
      <w:proofErr w:type="spellEnd"/>
      <w:r>
        <w:t xml:space="preserve">) a následně do ERA-NET </w:t>
      </w:r>
      <w:proofErr w:type="spellStart"/>
      <w:r>
        <w:t>Cofundu</w:t>
      </w:r>
      <w:proofErr w:type="spellEnd"/>
      <w:r>
        <w:t xml:space="preserve"> </w:t>
      </w:r>
      <w:proofErr w:type="spellStart"/>
      <w:r>
        <w:t>EnerDigit</w:t>
      </w:r>
      <w:proofErr w:type="spellEnd"/>
      <w:r>
        <w:t>. V rámci tohoto programu se</w:t>
      </w:r>
      <w:r w:rsidR="0080631F">
        <w:t> </w:t>
      </w:r>
      <w:r>
        <w:t xml:space="preserve">plánuje financování projektů také z připravovaného ERA-NET </w:t>
      </w:r>
      <w:proofErr w:type="spellStart"/>
      <w:r>
        <w:t>Cofundu</w:t>
      </w:r>
      <w:proofErr w:type="spellEnd"/>
      <w:r>
        <w:t xml:space="preserve"> ENPED (od roku 2021) a</w:t>
      </w:r>
      <w:r w:rsidR="0080631F">
        <w:t> </w:t>
      </w:r>
      <w:r>
        <w:t>od</w:t>
      </w:r>
      <w:r w:rsidR="0080631F">
        <w:t> </w:t>
      </w:r>
      <w:r>
        <w:t xml:space="preserve">roku 2022 financování projektů z evropských partnerství </w:t>
      </w:r>
      <w:proofErr w:type="spellStart"/>
      <w:r>
        <w:t>Driving</w:t>
      </w:r>
      <w:proofErr w:type="spellEnd"/>
      <w:r>
        <w:t xml:space="preserve"> Urban </w:t>
      </w:r>
      <w:proofErr w:type="spellStart"/>
      <w:r>
        <w:t>Transitions</w:t>
      </w:r>
      <w:proofErr w:type="spellEnd"/>
      <w:r>
        <w:t xml:space="preserve"> to</w:t>
      </w:r>
      <w:r w:rsidR="0080631F">
        <w:t> </w:t>
      </w:r>
      <w:r>
        <w:t>a</w:t>
      </w:r>
      <w:r w:rsidR="0080631F">
        <w:t> 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a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Transition</w:t>
      </w:r>
      <w:proofErr w:type="spellEnd"/>
      <w:r>
        <w:t xml:space="preserve"> (CET). Tyto iniciativy začnou vyhlašovat společné výzvy pravděpodobně v roce 2022.</w:t>
      </w:r>
    </w:p>
    <w:p w14:paraId="42513009" w14:textId="77777777" w:rsidR="00953C38" w:rsidRDefault="00953C38" w:rsidP="00953C38">
      <w:pPr>
        <w:pStyle w:val="Odstavecseseznamem"/>
      </w:pPr>
    </w:p>
    <w:p w14:paraId="6A93C749" w14:textId="17B1D4E0" w:rsidR="00953C38" w:rsidRDefault="00953C38">
      <w:r>
        <w:br w:type="page"/>
      </w:r>
    </w:p>
    <w:p w14:paraId="3E3BE099" w14:textId="5FBE9271" w:rsidR="00953C38" w:rsidRPr="00660409" w:rsidRDefault="00953C38" w:rsidP="00F5505E">
      <w:pPr>
        <w:pStyle w:val="Nadpis2"/>
        <w:rPr>
          <w:rFonts w:eastAsia="Cambria" w:cstheme="minorHAnsi"/>
        </w:rPr>
      </w:pPr>
      <w:bookmarkStart w:id="40" w:name="_Toc66366453"/>
      <w:r w:rsidRPr="00953C38">
        <w:rPr>
          <w:rStyle w:val="Nadpis1Char"/>
        </w:rPr>
        <w:lastRenderedPageBreak/>
        <w:t xml:space="preserve">Evaluace realizované </w:t>
      </w:r>
      <w:r w:rsidR="00F747C6" w:rsidRPr="00927185">
        <w:rPr>
          <w:rStyle w:val="Nadpis1Char"/>
          <w:color w:val="auto"/>
        </w:rPr>
        <w:t>TA ČR</w:t>
      </w:r>
      <w:bookmarkEnd w:id="40"/>
      <w:r w:rsidRPr="00927185">
        <w:rPr>
          <w:rStyle w:val="Nadpis1Char"/>
          <w:color w:val="auto"/>
        </w:rPr>
        <w:t xml:space="preserve"> </w:t>
      </w:r>
    </w:p>
    <w:p w14:paraId="7DB4C6D8" w14:textId="3C9AD4C7" w:rsidR="009B7C98" w:rsidRPr="009B7C98" w:rsidRDefault="009B7C98" w:rsidP="00953C38">
      <w:pPr>
        <w:spacing w:line="276" w:lineRule="auto"/>
        <w:jc w:val="both"/>
        <w:rPr>
          <w:rStyle w:val="Hypertextovodkaz"/>
          <w:rFonts w:eastAsia="Cambria" w:cstheme="minorHAnsi"/>
          <w:b/>
          <w:color w:val="auto"/>
          <w:u w:val="none"/>
        </w:rPr>
      </w:pPr>
      <w:r>
        <w:rPr>
          <w:rFonts w:eastAsia="Cambria" w:cstheme="minorHAnsi"/>
          <w:b/>
        </w:rPr>
        <w:t>Ex-ante</w:t>
      </w:r>
      <w:r w:rsidRPr="00660409">
        <w:rPr>
          <w:rFonts w:eastAsia="Cambria" w:cstheme="minorHAnsi"/>
          <w:b/>
        </w:rPr>
        <w:t xml:space="preserve"> evaluace</w:t>
      </w:r>
    </w:p>
    <w:p w14:paraId="1A242BB2" w14:textId="6DC37036" w:rsidR="00953C38" w:rsidRPr="007D09E9" w:rsidRDefault="00AF15CF" w:rsidP="00953C38">
      <w:pPr>
        <w:spacing w:line="276" w:lineRule="auto"/>
        <w:jc w:val="both"/>
        <w:rPr>
          <w:rFonts w:eastAsia="Cambria" w:cstheme="minorHAnsi"/>
        </w:rPr>
      </w:pPr>
      <w:hyperlink r:id="rId15" w:history="1">
        <w:r w:rsidR="009B7C98" w:rsidRPr="009B7C98">
          <w:rPr>
            <w:rStyle w:val="Hypertextovodkaz"/>
            <w:rFonts w:ascii="Calibri" w:hAnsi="Calibri" w:cs="Calibri"/>
            <w:szCs w:val="20"/>
          </w:rPr>
          <w:t>THÉTA</w:t>
        </w:r>
      </w:hyperlink>
      <w:r w:rsidR="00953C38">
        <w:rPr>
          <w:rFonts w:eastAsia="Cambria" w:cstheme="minorHAnsi"/>
        </w:rPr>
        <w:t xml:space="preserve"> - </w:t>
      </w:r>
      <w:r w:rsidR="00953C38">
        <w:t>Cílem ex-ante evaluace bylo posoudit celkové zaměření programu, shodu jeho cílů se strategickými záměry, soulad s dokumenty národních politik a reálnost naplnění cílů a aktivit programu ve vztahu k alokovaným finančním prostředkům. Zároveň byla navržena některá doporučení pro odstranění zjištěných slabin. Evaluace byla realizována od září do prosince roku 2016.</w:t>
      </w:r>
    </w:p>
    <w:p w14:paraId="78AD0488" w14:textId="77777777" w:rsidR="00953C38" w:rsidRPr="00660409" w:rsidRDefault="00953C38" w:rsidP="00953C38">
      <w:pPr>
        <w:spacing w:line="276" w:lineRule="auto"/>
        <w:jc w:val="both"/>
        <w:rPr>
          <w:rFonts w:eastAsia="Cambria" w:cstheme="minorHAnsi"/>
          <w:b/>
        </w:rPr>
      </w:pPr>
      <w:r w:rsidRPr="00660409">
        <w:rPr>
          <w:rFonts w:eastAsia="Cambria" w:cstheme="minorHAnsi"/>
          <w:b/>
        </w:rPr>
        <w:t>Interim evaluace</w:t>
      </w:r>
    </w:p>
    <w:p w14:paraId="24B4150E" w14:textId="5D100E2C" w:rsidR="00155D1A" w:rsidRPr="00155D1A" w:rsidRDefault="00AF15CF" w:rsidP="00953C38">
      <w:pPr>
        <w:spacing w:line="276" w:lineRule="auto"/>
        <w:jc w:val="both"/>
        <w:rPr>
          <w:rFonts w:ascii="Calibri" w:hAnsi="Calibri" w:cs="Calibri"/>
          <w:color w:val="000000"/>
          <w:szCs w:val="20"/>
        </w:rPr>
      </w:pPr>
      <w:hyperlink r:id="rId16" w:history="1">
        <w:r w:rsidR="00155D1A" w:rsidRPr="00155D1A">
          <w:rPr>
            <w:rStyle w:val="Hypertextovodkaz"/>
            <w:rFonts w:ascii="Calibri" w:hAnsi="Calibri" w:cs="Calibri"/>
            <w:color w:val="0563C1"/>
            <w:szCs w:val="20"/>
          </w:rPr>
          <w:t>ALFA</w:t>
        </w:r>
      </w:hyperlink>
      <w:r w:rsidR="00155D1A" w:rsidRPr="00155D1A">
        <w:rPr>
          <w:rFonts w:ascii="Calibri" w:hAnsi="Calibri" w:cs="Calibri"/>
          <w:color w:val="000000"/>
          <w:szCs w:val="20"/>
        </w:rPr>
        <w:t xml:space="preserve"> - </w:t>
      </w:r>
      <w:r w:rsidR="00155D1A" w:rsidRPr="00155D1A">
        <w:rPr>
          <w:szCs w:val="20"/>
        </w:rPr>
        <w:t>Hlavním cílem průběžného hodnocení Programu ALFA bylo vyhodnotit jeho nastavení a realizaci včetně dosavadních přínosů. Realizace hodnocení trvala více než rok a byla dokončena počátkem roku 2019. Hodnocení programu ALFA představuje nejrozsáhlejší hodnocení, které TA ČR doposud v rámci svých programů uskutečnila. Hodnocení bylo ojedinělé také díky novým metodám a přístupům, které byly využity pro hledání odpovědí na</w:t>
      </w:r>
      <w:r w:rsidR="0080631F">
        <w:t> </w:t>
      </w:r>
      <w:r w:rsidR="00155D1A" w:rsidRPr="00155D1A">
        <w:rPr>
          <w:szCs w:val="20"/>
        </w:rPr>
        <w:t xml:space="preserve">jednotlivé evaluační otázky. Jedná se hlavně o metodu </w:t>
      </w:r>
      <w:proofErr w:type="spellStart"/>
      <w:r w:rsidR="00155D1A" w:rsidRPr="00155D1A">
        <w:rPr>
          <w:szCs w:val="20"/>
        </w:rPr>
        <w:t>Outcome</w:t>
      </w:r>
      <w:proofErr w:type="spellEnd"/>
      <w:r w:rsidR="00155D1A" w:rsidRPr="00155D1A">
        <w:rPr>
          <w:szCs w:val="20"/>
        </w:rPr>
        <w:t xml:space="preserve"> </w:t>
      </w:r>
      <w:proofErr w:type="spellStart"/>
      <w:r w:rsidR="00155D1A" w:rsidRPr="00155D1A">
        <w:rPr>
          <w:szCs w:val="20"/>
        </w:rPr>
        <w:t>Harvesting</w:t>
      </w:r>
      <w:proofErr w:type="spellEnd"/>
      <w:r w:rsidR="00155D1A" w:rsidRPr="00155D1A">
        <w:rPr>
          <w:szCs w:val="20"/>
        </w:rPr>
        <w:t xml:space="preserve"> a využití </w:t>
      </w:r>
      <w:proofErr w:type="spellStart"/>
      <w:r w:rsidR="00155D1A" w:rsidRPr="00155D1A">
        <w:rPr>
          <w:szCs w:val="20"/>
        </w:rPr>
        <w:t>kontrafaktuální</w:t>
      </w:r>
      <w:proofErr w:type="spellEnd"/>
      <w:r w:rsidR="00155D1A" w:rsidRPr="00155D1A">
        <w:rPr>
          <w:szCs w:val="20"/>
        </w:rPr>
        <w:t xml:space="preserve"> analýzy.</w:t>
      </w:r>
    </w:p>
    <w:p w14:paraId="2093D071" w14:textId="265AB87A" w:rsidR="00953C38" w:rsidRPr="00155D1A" w:rsidRDefault="00AF15CF" w:rsidP="00953C38">
      <w:pPr>
        <w:spacing w:line="276" w:lineRule="auto"/>
        <w:jc w:val="both"/>
        <w:rPr>
          <w:rFonts w:eastAsia="Cambria" w:cstheme="minorHAnsi"/>
          <w:szCs w:val="20"/>
        </w:rPr>
      </w:pPr>
      <w:hyperlink r:id="rId17" w:history="1">
        <w:r w:rsidR="00953C38" w:rsidRPr="00155D1A">
          <w:rPr>
            <w:rStyle w:val="Hypertextovodkaz"/>
            <w:rFonts w:eastAsia="Cambria" w:cstheme="minorHAnsi"/>
            <w:szCs w:val="20"/>
          </w:rPr>
          <w:t>GAMA</w:t>
        </w:r>
      </w:hyperlink>
      <w:r w:rsidR="00953C38" w:rsidRPr="00155D1A">
        <w:rPr>
          <w:rFonts w:eastAsia="Cambria" w:cstheme="minorHAnsi"/>
          <w:szCs w:val="20"/>
        </w:rPr>
        <w:t xml:space="preserve"> - </w:t>
      </w:r>
      <w:r w:rsidR="00953C38" w:rsidRPr="00155D1A">
        <w:rPr>
          <w:szCs w:val="20"/>
        </w:rPr>
        <w:t>Hlavním cílem průběžného hodnocení programu GAMA bylo prozkoumat a vyhodnotit nastavení a vlastní realizaci programu. Evaluace programu probíhala od ledna 2017 do července 2017 a v jejím rámci byly hodnoceny tři veřejné soutěže vyhlášené v prvním podprogramu ve třech základních evaluačních okruzích rozložených do</w:t>
      </w:r>
      <w:r w:rsidR="0080631F">
        <w:t> </w:t>
      </w:r>
      <w:r w:rsidR="00953C38" w:rsidRPr="00155D1A">
        <w:rPr>
          <w:szCs w:val="20"/>
        </w:rPr>
        <w:t>14</w:t>
      </w:r>
      <w:r w:rsidR="0080631F">
        <w:t> </w:t>
      </w:r>
      <w:r w:rsidR="00953C38" w:rsidRPr="00155D1A">
        <w:rPr>
          <w:szCs w:val="20"/>
        </w:rPr>
        <w:t>evaluačních otázek.</w:t>
      </w:r>
    </w:p>
    <w:p w14:paraId="61B03C6A" w14:textId="77777777" w:rsidR="00953C38" w:rsidRPr="00155D1A" w:rsidRDefault="00AF15CF" w:rsidP="00953C38">
      <w:pPr>
        <w:pStyle w:val="Normlnweb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hyperlink r:id="rId18" w:history="1">
        <w:r w:rsidR="00953C38" w:rsidRPr="00155D1A">
          <w:rPr>
            <w:rStyle w:val="Hypertextovodkaz"/>
            <w:rFonts w:asciiTheme="minorHAnsi" w:eastAsia="Cambria" w:hAnsiTheme="minorHAnsi" w:cstheme="minorHAnsi"/>
            <w:sz w:val="20"/>
            <w:szCs w:val="20"/>
          </w:rPr>
          <w:t>ÉTA</w:t>
        </w:r>
      </w:hyperlink>
      <w:r w:rsidR="00953C38" w:rsidRPr="00155D1A">
        <w:rPr>
          <w:rFonts w:asciiTheme="minorHAnsi" w:eastAsia="Cambria" w:hAnsiTheme="minorHAnsi" w:cstheme="minorHAnsi"/>
          <w:sz w:val="20"/>
          <w:szCs w:val="20"/>
        </w:rPr>
        <w:t xml:space="preserve"> - </w:t>
      </w:r>
      <w:r w:rsidR="00953C38" w:rsidRPr="00155D1A">
        <w:rPr>
          <w:rFonts w:asciiTheme="minorHAnsi" w:eastAsia="Calibri" w:hAnsiTheme="minorHAnsi" w:cstheme="minorHAnsi"/>
          <w:sz w:val="20"/>
          <w:szCs w:val="20"/>
        </w:rPr>
        <w:t xml:space="preserve">Závěrem roku 2019 byla dokončena průběžná evaluace Programu ÉTA, která identifikuje riziková a současně efektivní místa programu v průběhu jeho implementace. Poskytla mimo jiné informace a doporučení před vyhlášením 3. veřejné soutěže v září 2019. </w:t>
      </w:r>
    </w:p>
    <w:p w14:paraId="410AA5A5" w14:textId="77777777" w:rsidR="00953C38" w:rsidRPr="00155D1A" w:rsidRDefault="00953C38" w:rsidP="00953C38">
      <w:pPr>
        <w:pStyle w:val="Normlnweb"/>
        <w:spacing w:before="0" w:beforeAutospacing="0" w:after="0" w:afterAutospacing="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0817D70" w14:textId="77777777" w:rsidR="00953C38" w:rsidRPr="00155D1A" w:rsidRDefault="00AF15CF" w:rsidP="00953C38">
      <w:pPr>
        <w:spacing w:line="276" w:lineRule="auto"/>
        <w:jc w:val="both"/>
        <w:rPr>
          <w:rFonts w:eastAsia="Cambria" w:cstheme="minorHAnsi"/>
          <w:szCs w:val="20"/>
        </w:rPr>
      </w:pPr>
      <w:hyperlink r:id="rId19" w:history="1">
        <w:r w:rsidR="00953C38" w:rsidRPr="00155D1A">
          <w:rPr>
            <w:rStyle w:val="Hypertextovodkaz"/>
            <w:rFonts w:eastAsia="Cambria" w:cstheme="minorHAnsi"/>
            <w:szCs w:val="20"/>
          </w:rPr>
          <w:t>OMEGA</w:t>
        </w:r>
      </w:hyperlink>
      <w:r w:rsidR="00953C38" w:rsidRPr="00155D1A">
        <w:rPr>
          <w:rFonts w:eastAsia="Cambria" w:cstheme="minorHAnsi"/>
          <w:szCs w:val="20"/>
        </w:rPr>
        <w:t xml:space="preserve">- </w:t>
      </w:r>
      <w:r w:rsidR="00953C38" w:rsidRPr="00155D1A">
        <w:rPr>
          <w:szCs w:val="20"/>
        </w:rPr>
        <w:t>Evaluace programu OMEGA byla zahájena v lednu 2014 v rámci reflexe dvou prvních veřejných soutěží za účelem možné změny programu.</w:t>
      </w:r>
    </w:p>
    <w:p w14:paraId="6CD0EC9E" w14:textId="77777777" w:rsidR="00953C38" w:rsidRPr="00155D1A" w:rsidRDefault="00AF15CF" w:rsidP="00953C38">
      <w:pPr>
        <w:spacing w:line="276" w:lineRule="auto"/>
        <w:jc w:val="both"/>
        <w:rPr>
          <w:rFonts w:eastAsia="Cambria" w:cstheme="minorHAnsi"/>
          <w:szCs w:val="20"/>
        </w:rPr>
      </w:pPr>
      <w:hyperlink r:id="rId20" w:history="1">
        <w:r w:rsidR="00953C38" w:rsidRPr="00155D1A">
          <w:rPr>
            <w:rStyle w:val="Hypertextovodkaz"/>
            <w:rFonts w:eastAsia="Cambria" w:cstheme="minorHAnsi"/>
            <w:szCs w:val="20"/>
          </w:rPr>
          <w:t>DELTA</w:t>
        </w:r>
      </w:hyperlink>
      <w:r w:rsidR="00953C38" w:rsidRPr="00155D1A">
        <w:rPr>
          <w:rFonts w:eastAsia="Cambria" w:cstheme="minorHAnsi"/>
          <w:szCs w:val="20"/>
        </w:rPr>
        <w:t xml:space="preserve"> - </w:t>
      </w:r>
      <w:r w:rsidR="00953C38" w:rsidRPr="00155D1A">
        <w:rPr>
          <w:szCs w:val="20"/>
        </w:rPr>
        <w:t xml:space="preserve">Hlavním cílem průběžného hodnocení programu bylo zmapovat a vyhodnotit nastavení a realizaci programu DELTA. Evaluace probíhala od září 2016 do března 2017. Byly hodnoceny tři veřejné soutěže vyhlášené do počátku evaluace, ve třech tematických okruzích a pomocí dvanácti evaluačních otázek. </w:t>
      </w:r>
    </w:p>
    <w:p w14:paraId="26125FA3" w14:textId="77777777" w:rsidR="00953C38" w:rsidRPr="00155D1A" w:rsidRDefault="00AF15CF" w:rsidP="00953C38">
      <w:pPr>
        <w:spacing w:line="276" w:lineRule="auto"/>
        <w:jc w:val="both"/>
        <w:rPr>
          <w:rFonts w:eastAsia="Cambria" w:cstheme="minorHAnsi"/>
          <w:szCs w:val="20"/>
        </w:rPr>
      </w:pPr>
      <w:hyperlink r:id="rId21" w:history="1">
        <w:r w:rsidR="00953C38" w:rsidRPr="00155D1A">
          <w:rPr>
            <w:rStyle w:val="Hypertextovodkaz"/>
            <w:rFonts w:eastAsia="Cambria" w:cstheme="minorHAnsi"/>
            <w:szCs w:val="20"/>
          </w:rPr>
          <w:t>CK</w:t>
        </w:r>
      </w:hyperlink>
      <w:r w:rsidR="00953C38" w:rsidRPr="00155D1A">
        <w:rPr>
          <w:rFonts w:eastAsia="Cambria" w:cstheme="minorHAnsi"/>
          <w:szCs w:val="20"/>
        </w:rPr>
        <w:t xml:space="preserve"> - </w:t>
      </w:r>
      <w:r w:rsidR="00953C38" w:rsidRPr="00155D1A">
        <w:rPr>
          <w:szCs w:val="20"/>
        </w:rPr>
        <w:t xml:space="preserve">Hlavním cílem průběžného hodnocení programu Centra kompetence (CK) bylo zjistit stav a pravděpodobnost naplnění cílů programu, naplňování výsledků projektů a jejich přínosy a zhodnotit způsob realizace programu, případně navrhnout nápravu. Interim evaluace probíhala v termínu od ledna do října 2015 jako součást Projektu Zefektivnění TA ČR. </w:t>
      </w:r>
    </w:p>
    <w:p w14:paraId="29EBBBF8" w14:textId="77777777" w:rsidR="00953C38" w:rsidRPr="00155D1A" w:rsidRDefault="00953C38" w:rsidP="00953C38">
      <w:pPr>
        <w:spacing w:line="276" w:lineRule="auto"/>
        <w:jc w:val="both"/>
        <w:rPr>
          <w:rFonts w:eastAsia="Cambria" w:cstheme="minorHAnsi"/>
          <w:b/>
          <w:szCs w:val="20"/>
        </w:rPr>
      </w:pPr>
      <w:r w:rsidRPr="00155D1A">
        <w:rPr>
          <w:rFonts w:eastAsia="Cambria" w:cstheme="minorHAnsi"/>
          <w:b/>
          <w:szCs w:val="20"/>
        </w:rPr>
        <w:t>Ex-post evaluace</w:t>
      </w:r>
    </w:p>
    <w:p w14:paraId="5396E512" w14:textId="3D5B9CED" w:rsidR="00953C38" w:rsidRPr="00155D1A" w:rsidRDefault="00AF15CF" w:rsidP="00953C38">
      <w:pPr>
        <w:spacing w:after="0" w:line="276" w:lineRule="auto"/>
        <w:jc w:val="both"/>
        <w:rPr>
          <w:rFonts w:eastAsia="Cambria" w:cstheme="minorHAnsi"/>
          <w:color w:val="000000"/>
          <w:szCs w:val="20"/>
        </w:rPr>
      </w:pPr>
      <w:hyperlink r:id="rId22" w:history="1">
        <w:r w:rsidR="00953C38" w:rsidRPr="00155D1A">
          <w:rPr>
            <w:rStyle w:val="Hypertextovodkaz"/>
            <w:rFonts w:eastAsia="Cambria" w:cstheme="minorHAnsi"/>
            <w:szCs w:val="20"/>
          </w:rPr>
          <w:t>OMEGA</w:t>
        </w:r>
      </w:hyperlink>
      <w:r w:rsidR="00953C38" w:rsidRPr="00155D1A">
        <w:rPr>
          <w:rFonts w:eastAsia="Cambria" w:cstheme="minorHAnsi"/>
          <w:szCs w:val="20"/>
        </w:rPr>
        <w:t xml:space="preserve"> - </w:t>
      </w:r>
      <w:r w:rsidR="00953C38" w:rsidRPr="00155D1A">
        <w:rPr>
          <w:szCs w:val="20"/>
        </w:rPr>
        <w:t>Cílem ex-post evaluace programu OMEGA bylo vyhodnotit relevanci a potřebnost programu na</w:t>
      </w:r>
      <w:r w:rsidR="0080631F">
        <w:t> </w:t>
      </w:r>
      <w:r w:rsidR="00953C38" w:rsidRPr="00155D1A">
        <w:rPr>
          <w:szCs w:val="20"/>
        </w:rPr>
        <w:t>podporu společenskovědního výzkumu OMEGA pro české prostředí a zároveň jeho efektivitu. Závěrečné hodnocení bylo uskutečněno v období července 2019 – ledna 2020.</w:t>
      </w:r>
    </w:p>
    <w:p w14:paraId="5EDEC46B" w14:textId="77777777" w:rsidR="00953C38" w:rsidRPr="00155D1A" w:rsidRDefault="00953C38" w:rsidP="00953C38">
      <w:pPr>
        <w:spacing w:after="0" w:line="276" w:lineRule="auto"/>
        <w:jc w:val="both"/>
        <w:rPr>
          <w:rFonts w:eastAsia="Cambria" w:cstheme="minorHAnsi"/>
          <w:color w:val="000000"/>
          <w:szCs w:val="20"/>
        </w:rPr>
      </w:pPr>
    </w:p>
    <w:p w14:paraId="1C40445C" w14:textId="31EF06E2" w:rsidR="00953C38" w:rsidRDefault="00AF15CF" w:rsidP="00953C38">
      <w:pPr>
        <w:jc w:val="both"/>
        <w:rPr>
          <w:szCs w:val="20"/>
        </w:rPr>
      </w:pPr>
      <w:hyperlink r:id="rId23" w:history="1">
        <w:r w:rsidR="00953C38" w:rsidRPr="00155D1A">
          <w:rPr>
            <w:rStyle w:val="Hypertextovodkaz"/>
            <w:rFonts w:eastAsia="Cambria" w:cstheme="minorHAnsi"/>
            <w:szCs w:val="20"/>
          </w:rPr>
          <w:t>BETA</w:t>
        </w:r>
      </w:hyperlink>
      <w:r w:rsidR="00953C38" w:rsidRPr="00155D1A">
        <w:rPr>
          <w:rFonts w:eastAsia="Cambria" w:cstheme="minorHAnsi"/>
          <w:szCs w:val="20"/>
        </w:rPr>
        <w:t xml:space="preserve"> - </w:t>
      </w:r>
      <w:r w:rsidR="00953C38" w:rsidRPr="00155D1A">
        <w:rPr>
          <w:rFonts w:eastAsia="Cambria" w:cstheme="minorHAnsi"/>
          <w:color w:val="000000"/>
          <w:szCs w:val="20"/>
        </w:rPr>
        <w:t>Cílem hodnocení programu BETA bylo předevší</w:t>
      </w:r>
      <w:r w:rsidR="00953C38" w:rsidRPr="00155D1A">
        <w:rPr>
          <w:rFonts w:eastAsia="Cambria" w:cstheme="minorHAnsi"/>
          <w:szCs w:val="20"/>
        </w:rPr>
        <w:t xml:space="preserve">m </w:t>
      </w:r>
      <w:r w:rsidR="00953C38" w:rsidRPr="00155D1A">
        <w:rPr>
          <w:rFonts w:eastAsia="Cambria" w:cstheme="minorHAnsi"/>
          <w:color w:val="000000"/>
          <w:szCs w:val="20"/>
        </w:rPr>
        <w:t xml:space="preserve">posoudit splnění cílů a dosažených přínosů programu. </w:t>
      </w:r>
      <w:r w:rsidR="00953C38" w:rsidRPr="00155D1A">
        <w:rPr>
          <w:szCs w:val="20"/>
        </w:rPr>
        <w:t>Závěrečné hodnocení bylo uskutečněno v období července – prosince 2019, tj. 3 roky po ukončení programu BETA a v době realizace návazného programu BETA2.</w:t>
      </w:r>
    </w:p>
    <w:p w14:paraId="39E7D887" w14:textId="0E6A9760" w:rsidR="00DC318A" w:rsidRDefault="00DC318A">
      <w:pPr>
        <w:rPr>
          <w:szCs w:val="20"/>
        </w:rPr>
      </w:pPr>
      <w:r>
        <w:rPr>
          <w:szCs w:val="20"/>
        </w:rPr>
        <w:br w:type="page"/>
      </w:r>
    </w:p>
    <w:p w14:paraId="371BF1E9" w14:textId="2485CE43" w:rsidR="00DC318A" w:rsidRPr="00DC318A" w:rsidRDefault="00DC318A" w:rsidP="00F5505E">
      <w:pPr>
        <w:pStyle w:val="Nadpis2"/>
      </w:pPr>
      <w:bookmarkStart w:id="41" w:name="_Toc66366454"/>
      <w:r w:rsidRPr="00DC318A">
        <w:rPr>
          <w:rStyle w:val="Nadpis1Char"/>
        </w:rPr>
        <w:lastRenderedPageBreak/>
        <w:t xml:space="preserve">Vyhodnocení průběžného plnění </w:t>
      </w:r>
      <w:r w:rsidRPr="00927185">
        <w:rPr>
          <w:rStyle w:val="Nadpis1Char"/>
          <w:color w:val="auto"/>
        </w:rPr>
        <w:t>Koncepce rozvoje TA ČR 2016-2025</w:t>
      </w:r>
      <w:r>
        <w:rPr>
          <w:rStyle w:val="Nadpis1Char"/>
        </w:rPr>
        <w:t>: tabulka</w:t>
      </w:r>
      <w:bookmarkEnd w:id="41"/>
    </w:p>
    <w:p w14:paraId="461C41C0" w14:textId="77777777" w:rsidR="00DC318A" w:rsidRDefault="00DC318A" w:rsidP="00DC318A"/>
    <w:p w14:paraId="45133A57" w14:textId="66FCA460" w:rsidR="00DC318A" w:rsidRPr="00A37AF1" w:rsidRDefault="00DC318A" w:rsidP="00DC318A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A37AF1">
        <w:rPr>
          <w:rFonts w:asciiTheme="minorHAnsi" w:hAnsiTheme="minorHAnsi" w:cstheme="minorHAnsi"/>
          <w:color w:val="000000"/>
          <w:sz w:val="20"/>
          <w:szCs w:val="20"/>
        </w:rPr>
        <w:t>Cílem materiálu je k 30.6.2020 zhodnotit dosavadní plnění Koncepce rozvoje TA ČR za prvních pět let. Vyhodnocení plnění koncepce bylo vypracováno v červnu 2020 a slouží pro aktualizaci Koncepce rozvoje TA ČR do roku 2030. Na koncepci navazuje strategické směřování TA ČR do jednotlivých cílů v navazujících interních dokumentech.</w:t>
      </w:r>
    </w:p>
    <w:p w14:paraId="0DB20269" w14:textId="77777777" w:rsidR="00DC318A" w:rsidRPr="00A37AF1" w:rsidRDefault="00DC318A" w:rsidP="00DC318A">
      <w:pPr>
        <w:rPr>
          <w:rFonts w:cstheme="minorHAnsi"/>
          <w:szCs w:val="20"/>
        </w:rPr>
      </w:pPr>
    </w:p>
    <w:p w14:paraId="011331B7" w14:textId="79509A79" w:rsidR="00DC318A" w:rsidRPr="00A37AF1" w:rsidRDefault="00DC318A" w:rsidP="00DC318A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A37AF1">
        <w:rPr>
          <w:rFonts w:asciiTheme="minorHAnsi" w:hAnsiTheme="minorHAnsi" w:cstheme="minorHAnsi"/>
          <w:color w:val="000000"/>
          <w:sz w:val="20"/>
          <w:szCs w:val="20"/>
        </w:rPr>
        <w:t xml:space="preserve">Materiál je rozdělen do </w:t>
      </w:r>
      <w:r w:rsidR="00F458C4">
        <w:rPr>
          <w:rFonts w:asciiTheme="minorHAnsi" w:hAnsiTheme="minorHAnsi" w:cstheme="minorHAnsi"/>
          <w:color w:val="000000"/>
          <w:sz w:val="20"/>
          <w:szCs w:val="20"/>
        </w:rPr>
        <w:t>tří</w:t>
      </w:r>
      <w:r w:rsidRPr="00A37AF1">
        <w:rPr>
          <w:rFonts w:asciiTheme="minorHAnsi" w:hAnsiTheme="minorHAnsi" w:cstheme="minorHAnsi"/>
          <w:color w:val="000000"/>
          <w:sz w:val="20"/>
          <w:szCs w:val="20"/>
        </w:rPr>
        <w:t xml:space="preserve"> částí podle oblastí koncepce, které byly/nebyly zcela naplněny, a které je vhodné dále zapracovat do aktualizace koncepce do roku 2030.</w:t>
      </w:r>
    </w:p>
    <w:p w14:paraId="5866FC77" w14:textId="77777777" w:rsidR="00DC318A" w:rsidRPr="00A37AF1" w:rsidRDefault="00DC318A" w:rsidP="00DC318A">
      <w:pPr>
        <w:rPr>
          <w:rFonts w:cstheme="minorHAnsi"/>
          <w:szCs w:val="20"/>
        </w:rPr>
      </w:pPr>
      <w:r w:rsidRPr="00A37AF1">
        <w:rPr>
          <w:rFonts w:cstheme="minorHAnsi"/>
          <w:szCs w:val="20"/>
        </w:rPr>
        <w:br/>
      </w:r>
      <w:r w:rsidRPr="00A37AF1">
        <w:rPr>
          <w:rFonts w:cstheme="minorHAnsi"/>
          <w:szCs w:val="20"/>
        </w:rPr>
        <w:br/>
      </w:r>
    </w:p>
    <w:p w14:paraId="01F049E9" w14:textId="77777777" w:rsidR="00DC318A" w:rsidRPr="00A37AF1" w:rsidRDefault="00DC318A" w:rsidP="00DC318A">
      <w:pPr>
        <w:pStyle w:val="Normln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37AF1">
        <w:rPr>
          <w:rFonts w:asciiTheme="minorHAnsi" w:hAnsiTheme="minorHAnsi" w:cstheme="minorHAnsi"/>
          <w:b/>
          <w:bCs/>
          <w:color w:val="000000"/>
          <w:sz w:val="20"/>
          <w:szCs w:val="20"/>
        </w:rPr>
        <w:t>oblasti koncepce, které byly zcela naplněny/naplňovány a podrobnější informace plnění: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5"/>
        <w:gridCol w:w="206"/>
        <w:gridCol w:w="5151"/>
      </w:tblGrid>
      <w:tr w:rsidR="00DC318A" w:rsidRPr="00A37AF1" w14:paraId="14F0A0B9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0251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 zaměření koncepce, její význam, úloha a cíle TA ČR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AEA92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F5DB74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Tyto oblasti jsou stále aktuální.</w:t>
            </w:r>
          </w:p>
        </w:tc>
      </w:tr>
      <w:tr w:rsidR="00DC318A" w:rsidRPr="00A37AF1" w14:paraId="651D6672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5299C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 působnost TA ČR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2F09C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59838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Působnost TA ČR je aktuální a praxe TA ČR ve sledovaném období byla v souladu s ní.</w:t>
            </w:r>
          </w:p>
        </w:tc>
      </w:tr>
      <w:tr w:rsidR="00DC318A" w:rsidRPr="00A37AF1" w14:paraId="5D5E0894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015E8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2.2 cíl TA ČR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852DBD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877F0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Cíl TA ČR byl naplňován zcela (podpořenými projekty a realizovanými programy, dále interními projekty zaměřenými na zefektivnění činnosti a evaluace, mapováním inovačních kapacit, nebo zavedením institutu aplikačního garanta).</w:t>
            </w:r>
          </w:p>
        </w:tc>
      </w:tr>
      <w:tr w:rsidR="00DC318A" w:rsidRPr="00A37AF1" w14:paraId="2C6F1E50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C0029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 společenské výzvy související s tzv. čtvrtou průmyslovou revolucí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F2266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7867C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 ČR tuto oblast ve svých soutěžích reflektovala (programy DELTA, EPSILON i TREND).</w:t>
            </w:r>
          </w:p>
        </w:tc>
      </w:tr>
      <w:tr w:rsidR="00DC318A" w:rsidRPr="00A37AF1" w14:paraId="6F7A351B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EA9FA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 energetická a materiálová udržitelnost, environmentální šetrnost, fungující doprava a potřeby společnosti a občanů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FCAE06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D17E3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 ČR tyto oblasti podporovala ve svých programech (THÉTA, EPSILON, DELTA/2) a v programech resortních (TREND, Prostředí pro život a Doprava 2020+).</w:t>
            </w:r>
          </w:p>
        </w:tc>
      </w:tr>
      <w:tr w:rsidR="00DC318A" w:rsidRPr="00A37AF1" w14:paraId="5A49307E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43E40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3.3 existence dostatečného počtu center výzkumu a vývoje, setkávajících se s poptávkou po výsledcích výzkumu a vytvářející atraktivní nabídku výsledků a služeb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VaVaI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E4F764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F37E83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Tento bod byl naplňován především programy CK a NCK.</w:t>
            </w:r>
          </w:p>
        </w:tc>
      </w:tr>
      <w:tr w:rsidR="00DC318A" w:rsidRPr="00A37AF1" w14:paraId="2A37DA43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D647DC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 orientace studentů a mladých vědců na aplikovaný výzkum a podpora studentů a doktorandů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FA6F3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04A4E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 orientaci mladých výzkumnic a výzkumníků na AV a podpoře studentů a doktorandů přispíval značnou měrou program TA ČR ZÉTA.</w:t>
            </w:r>
          </w:p>
        </w:tc>
      </w:tr>
      <w:tr w:rsidR="00DC318A" w:rsidRPr="00A37AF1" w14:paraId="4108792F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CFEBA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 podpora zkušených výzkumníků s intenzivními kontakty v průmyslu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85085D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9EB165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Tento bod byl naplňován především programy ALFA, EPSILON, CK/NCK, THÉTA, DELTA.</w:t>
            </w:r>
          </w:p>
        </w:tc>
      </w:tr>
      <w:tr w:rsidR="00DC318A" w:rsidRPr="00A37AF1" w14:paraId="3D972D6E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DE5E6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3.6 budování flexibilního motivačního prostředí v interdisciplinárních odborných týmech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9A2FC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E9642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Naplňováno především programy CK/NCK a GAMA/2.</w:t>
            </w:r>
          </w:p>
        </w:tc>
      </w:tr>
      <w:tr w:rsidR="00DC318A" w:rsidRPr="00A37AF1" w14:paraId="43DE945A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B6AB6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3.7 naplňování NPOV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DB65F7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387D3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NPOV byly naplňovány všemi programy TA ČR.</w:t>
            </w:r>
          </w:p>
        </w:tc>
      </w:tr>
      <w:tr w:rsidR="00DC318A" w:rsidRPr="00A37AF1" w14:paraId="6202A496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EE0D59" w14:textId="2391E819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3.8 příprava programů založená na Základních principech přípravy a hodnocení programů a grantových projektů výzkumu, vývoje a inovací, schválených usnesením vlády ČR č. 351/2015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2E233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2CBAAF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Příprava programů TA ČR na těchto principech byla založena.</w:t>
            </w:r>
          </w:p>
        </w:tc>
      </w:tr>
      <w:tr w:rsidR="00DC318A" w:rsidRPr="00A37AF1" w14:paraId="3E61BF41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1069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3.9 podíl TA ČR na přípravě resortních programů a jejich implementace skrze TA ČR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7224D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8BD470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Realizováno u programů MŽP, MD a MO.</w:t>
            </w:r>
          </w:p>
        </w:tc>
      </w:tr>
      <w:tr w:rsidR="00DC318A" w:rsidRPr="00A37AF1" w14:paraId="230F83F6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F2F01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3.10 založení přípravy programů na analytických podkladech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257A8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9C10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 přípravu programů využívá TA ČR analytických podkladů, ex-ante hodnocení, průběžných hodnocení běžících programů a zároveň i šetření INKA (to v omezené míře, jelikož vstupy z INKA neslouží jen pro programy).</w:t>
            </w:r>
          </w:p>
        </w:tc>
      </w:tr>
      <w:tr w:rsidR="00DC318A" w:rsidRPr="00A37AF1" w14:paraId="055624E8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63A5A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3.11 důraz na využití výsledků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VaVaI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praxi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395B33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C7876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Naplňováno institutem prioritních výzkumných cílů, aplikačním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garantstvím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monitorováním implementace výsledků v praxi.</w:t>
            </w:r>
          </w:p>
        </w:tc>
      </w:tr>
      <w:tr w:rsidR="00DC318A" w:rsidRPr="00A37AF1" w14:paraId="7F1CF221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D28A2F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3.12 koncentrace výzkumných kapacit například podporou vytvoření integrovaných národních center kompetence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0C05DE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49D27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TA ČR financuje 13 Národních center kompetence, které kladou důraz na využívání výsledků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praxi a na dlouhodobou spolupráci VO se soukromým sektorem.</w:t>
            </w:r>
          </w:p>
        </w:tc>
      </w:tr>
      <w:tr w:rsidR="00DC318A" w:rsidRPr="00A37AF1" w14:paraId="6F9A26B7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81CB56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3.13 nepřímé nástroje jako jsou např. informační podpora a poradenství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252B8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C4AB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 ČR pilotně ověřila fungování regionálních kontaktních pracovníků, kteří se osvědčili jako forma nepřímé podpory uchazečů a šíření informací a poradenství v regionech.</w:t>
            </w:r>
          </w:p>
        </w:tc>
      </w:tr>
      <w:tr w:rsidR="00DC318A" w:rsidRPr="00A37AF1" w14:paraId="0A6CE10A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CC2016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3.14 uspokojování inovační poptávky veřejného sektoru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F7AB28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6DFC18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Naplňováno skrze programy TA ČR BETA a BETA2 (včetně metody PCP, která je nyní realizována jako inovační partnerství).</w:t>
            </w:r>
          </w:p>
        </w:tc>
      </w:tr>
      <w:tr w:rsidR="00DC318A" w:rsidRPr="00A37AF1" w14:paraId="4B903336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1F894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3.15 spolupráce se zahraničními agenturami a přenos zahraničních zkušeností do ČR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AA053A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977C8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TA ČR se aktivně zapojovala do spolupráce se zahraničními agentura v rámci sítě TAFTIE. V roce 2017 TA ČR této síti předsedala. Dobrou praxi ze zahraničí TA ČR v rámci možností implementovala ve své činnosti - např. dobrou praxi z hodnocení programů, sdílením informací o implementaci veřejné podpory, možnostmi financování projektů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Seal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Excellence,</w:t>
            </w:r>
            <w:proofErr w:type="gram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apod.</w:t>
            </w:r>
          </w:p>
        </w:tc>
      </w:tr>
      <w:tr w:rsidR="00DC318A" w:rsidRPr="00A37AF1" w14:paraId="5261669F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0969F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 princip TA ČR a procesy trvale hodnotící efektivitu a dopady podpory aplikovaného výzkumu a ochrany duševního vlastnictví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342B22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7ACEB" w14:textId="27192E5C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Evaluační praxe TA ČR již byla popsána výše (3.10).</w:t>
            </w:r>
            <w:r w:rsidR="009F475E"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Zaměření na ochranu duševního vlastnictví bylo zohledněno v požadavcích po uchazečích a informačními aktivitami realizovaným ve spolupráci s ÚPV.</w:t>
            </w:r>
          </w:p>
        </w:tc>
      </w:tr>
      <w:tr w:rsidR="00DC318A" w:rsidRPr="00A37AF1" w14:paraId="1DFDCE7F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AAC4E3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4.2 princip TA ČR jako informační a poradenské centrum pro oblast aplikovaného výzkumu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04495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3D56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Informační a poradenské centrum se stalo nedílnou součástí TA ČR. Regionální kontaktní pracovníci poskytovali nejen konzultace k připravovaným projektům a tím pomáhali eliminovat duplicity, ale i pomáhali řešitelům s konkrétními otázkami realizace. Byli blíže konečným příjemcům a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spolupraovalií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 dalšími aktéry v regionu (RIS 3 manažer, zástupce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CzechInvest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API, Hospodářská komora, univerzity, apod.</w:t>
            </w:r>
            <w:proofErr w:type="gram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).TA</w:t>
            </w:r>
            <w:proofErr w:type="gram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ČR zároveň vytvořila robustní informační systém (kombinace ISTA, ISRB a STARFOS).</w:t>
            </w:r>
          </w:p>
        </w:tc>
      </w:tr>
      <w:tr w:rsidR="00DC318A" w:rsidRPr="00A37AF1" w14:paraId="42D2FFB9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7931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4.3 princip TA ČR a zahraniční spolupráce v oblasti aplikovaného výzkumu a mezinárodní dimenze agentury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03831F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CA0FF4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TA ČR úspěšně zvládla předsednictví TAFTIE v roce 2017, patří v této sítí mezi nejaktivnější agentury. Dále TA ČR sehrála důležitou roli při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fomulování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pozic ČR k EIC Horizontu Evropa, TA ČR spolupracovala s agenturami TAFTIE v rámci CSA projektů (1. projekt TA ČR koordinuje a pro další připravovaný platí, že iniciovala danou výzvu debatami s EK). Samotnou mezinárodní spolupráci TA ČR podporovala prostřednictvím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Cofundů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programů DELTA/2 a KAPPA. TA ČR se zároveň aktivně zapojovala do propojování českých a zahraničních subjektů (MM, nebo nástroj na vyhledávání zahraničních partnerů) a konečně participovala na projektu podpory exportu výsledků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na projektech financovaných z Horizontu 2020. </w:t>
            </w:r>
          </w:p>
        </w:tc>
      </w:tr>
      <w:tr w:rsidR="00DC318A" w:rsidRPr="00A37AF1" w14:paraId="4F9814D2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A92E4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 stávající programy TA ČR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0497A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EFD3A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Programy ALFA, BETA, GAMA, DELTA, OMEGA,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Cetra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kompetence byly implementovány, ukončeny a mají své nástupce. Program EPSILON je stále v realizaci (jeho roli převzaly resortní programy implementované TA ČR. Pro stávající programy uvedené v koncepci byly realizovány příslušné evaluace.</w:t>
            </w:r>
          </w:p>
        </w:tc>
      </w:tr>
      <w:tr w:rsidR="00DC318A" w:rsidRPr="00A37AF1" w14:paraId="48C1E7C2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63A3F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5.2 podpora exportu výsledků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9709BC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D4F8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Podpora byla realizována projektem s EGAP a ČMZRB.</w:t>
            </w:r>
          </w:p>
        </w:tc>
      </w:tr>
      <w:tr w:rsidR="00DC318A" w:rsidRPr="00A37AF1" w14:paraId="2D43A3E3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E4C9E7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5.3 interdisciplinarita v progresivních oborech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2873F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B5E0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Naplňováno především v programech ÉTA, CK a NCK.</w:t>
            </w:r>
          </w:p>
        </w:tc>
      </w:tr>
      <w:tr w:rsidR="00DC318A" w:rsidRPr="00A37AF1" w14:paraId="55B1ECD0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317C8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5.4 zaměření na program ÉTA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3FEBE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0838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rámci programu bylo uskutečněno množství kulatých stolů a diskuzí s odbornou veřejností, uchazeči i odbornými hodnotiteli.</w:t>
            </w:r>
          </w:p>
        </w:tc>
      </w:tr>
      <w:tr w:rsidR="00DC318A" w:rsidRPr="00A37AF1" w14:paraId="14C59979" w14:textId="77777777" w:rsidTr="002466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D6D8A2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5.5 územní dimenze TA ČR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17600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8ABD9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Naplňována spoluprací s programem </w:t>
            </w:r>
            <w:proofErr w:type="spellStart"/>
            <w:proofErr w:type="gram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Re:START</w:t>
            </w:r>
            <w:proofErr w:type="spellEnd"/>
            <w:proofErr w:type="gram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Iniciativa </w:t>
            </w:r>
            <w:proofErr w:type="spellStart"/>
            <w:proofErr w:type="gram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Re:START</w:t>
            </w:r>
            <w:proofErr w:type="spellEnd"/>
            <w:proofErr w:type="gram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promítnuta do většiny programů TA ČR.</w:t>
            </w:r>
          </w:p>
        </w:tc>
      </w:tr>
    </w:tbl>
    <w:p w14:paraId="7B9D7153" w14:textId="77777777" w:rsidR="00DC318A" w:rsidRPr="00A37AF1" w:rsidRDefault="00DC318A" w:rsidP="00DC318A">
      <w:pPr>
        <w:rPr>
          <w:rFonts w:cstheme="minorHAnsi"/>
          <w:szCs w:val="20"/>
        </w:rPr>
      </w:pPr>
      <w:r w:rsidRPr="00A37AF1">
        <w:rPr>
          <w:rFonts w:cstheme="minorHAnsi"/>
          <w:szCs w:val="20"/>
        </w:rPr>
        <w:br/>
      </w:r>
      <w:r w:rsidRPr="00A37AF1">
        <w:rPr>
          <w:rFonts w:cstheme="minorHAnsi"/>
          <w:szCs w:val="20"/>
        </w:rPr>
        <w:br/>
      </w:r>
    </w:p>
    <w:p w14:paraId="62116A19" w14:textId="77777777" w:rsidR="00DC318A" w:rsidRPr="00A37AF1" w:rsidRDefault="00DC318A" w:rsidP="00DC318A">
      <w:pPr>
        <w:pStyle w:val="Normlnweb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37AF1">
        <w:rPr>
          <w:rFonts w:asciiTheme="minorHAnsi" w:hAnsiTheme="minorHAnsi" w:cstheme="minorHAnsi"/>
          <w:b/>
          <w:bCs/>
          <w:color w:val="000000"/>
          <w:sz w:val="20"/>
          <w:szCs w:val="20"/>
        </w:rPr>
        <w:t>oblasti koncepce, které nebyly zcela naplněny/naplňovány a zdůvodnění:</w:t>
      </w:r>
    </w:p>
    <w:tbl>
      <w:tblPr>
        <w:tblW w:w="93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220"/>
        <w:gridCol w:w="5166"/>
      </w:tblGrid>
      <w:tr w:rsidR="00DC318A" w:rsidRPr="00A37AF1" w14:paraId="7A0BAD90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01F1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 komplexní systém struktury strategických dokumentů včetně dílčích strategií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69A2A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65160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Systém se vzhledem k množství dílčích strategií a nemožnosti včasné a kvalitní přípravy a aktualizace ukázal jako nefunkční a neproveditelný.</w:t>
            </w:r>
          </w:p>
        </w:tc>
      </w:tr>
      <w:tr w:rsidR="00DC318A" w:rsidRPr="00A37AF1" w14:paraId="0595745B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0E5A09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 poslání TA ČR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0D454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E51D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koncepci bylo předpokládáno větší aktivní zapojování TA ČR do vytváření státní politiky pro aplikovaný výzkum (AV).</w:t>
            </w:r>
          </w:p>
        </w:tc>
      </w:tr>
      <w:tr w:rsidR="00DC318A" w:rsidRPr="00A37AF1" w14:paraId="25140562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D67BA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 atraktivita českého inovačního prostředí pro investory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12BE8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E14E3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Jde stále o slabou stránku českého inovačního prostředí. Zároveň to není odpovědnost TA ČR.</w:t>
            </w:r>
          </w:p>
        </w:tc>
      </w:tr>
      <w:tr w:rsidR="00DC318A" w:rsidRPr="00A37AF1" w14:paraId="6F041D54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F4DE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 export založený na produktech znalostní ekonomiky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FD6852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7E8D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obecné rovině zůstává skutečností, že Česko konkuruje</w:t>
            </w:r>
          </w:p>
          <w:p w14:paraId="41CCF5F2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světovém trhu zejména se středně znalostně náročnými produkty. Exportní výkonnost ČR také není v gesci TA ČR.</w:t>
            </w:r>
          </w:p>
        </w:tc>
      </w:tr>
      <w:tr w:rsidR="00DC318A" w:rsidRPr="00A37AF1" w14:paraId="2C077F25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6063F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 využití potenciálu v lidských zdrojích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A5390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B48963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ČR oproti zbytku Evropy zaostává v počtu absolventů STEM oborů a kompatibilitě studijních programů a potřebách průmyslu. Na lidské zdroje ve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má TA ČR pouze omezený vliv.</w:t>
            </w:r>
          </w:p>
        </w:tc>
      </w:tr>
      <w:tr w:rsidR="00DC318A" w:rsidRPr="00A37AF1" w14:paraId="75DDA5CC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A582A9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3.4 TA ČR jako analytické a metodické centrum pro oblast AV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926D88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0AF9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Tato oblast byla naplňována v analytické rovině (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INKAviz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STARFOS, analýzy, evaluace), v metodické rovině TA ČR působila většinou dovnitř (mimo ISTA a dílčí metodické postupy).</w:t>
            </w:r>
          </w:p>
        </w:tc>
      </w:tr>
      <w:tr w:rsidR="00DC318A" w:rsidRPr="00A37AF1" w14:paraId="18FAEA15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E70C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 princip TA ČR jako poskytovatel veřejných finančních prostředků pro aplikovaný výzkum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AA65AE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0B8BB2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Význam agentury rostl, podílela se na přípravě, realizaci a hodnocení programů AV a využívala při tom i zahraniční zkušenosti. Nebyl však zcela vytvořen komplexní systém financování (ESIF + H2020 + národní zdroje) z důvodu nezapojení TA ČR do implementace ESIF a omezeného zapojení do H2020. Komplexní systém byl vybudován jinými cestami (spolupráce s ČMZRB, EGAP a dalšími partnery sdílením klientů, projektem podpory exportu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nebo implementací Fondů EHP a Norska skrze program KAPPA).</w:t>
            </w:r>
          </w:p>
        </w:tc>
      </w:tr>
      <w:tr w:rsidR="00DC318A" w:rsidRPr="00A37AF1" w14:paraId="1329AAD6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F2E6D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4.2 princip TA ČR a výzkumné struktury aplikovaného výzkumu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8FB82D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974FB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Překryvy s ESIF se nedařilo zcela eliminovat (především s OP PIK a programem Aplikace, který byl zaměřen obdobně jako program EPSILON). Synergie se podařilo naplnit s programem Horizont 2020, a to formou financování projektů se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Seal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Excellence SME instrumentu fáze 1.  Synergie s ESIF TA ČR naplňovala pouze formou financování svých rozvojových aktivit - např. lidské zdroje na implementaci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Cofundů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spolufinancovaných z Horizontu 2020 jsou pokryty z OP Z. Program NCK byl realizován, ale ne zcela dle představy koncepce (NCK měla zahrnovat i infrastrukturu pro transfer poznatků do aplikační sféry, nebo napomoci lepšímu zapojení českých subjektů do velkých projektů EU). Podpora inovačních aktivit byla realizována v programech BETA/2, ostatní předpoklady plněny </w:t>
            </w:r>
            <w:proofErr w:type="gram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byly..</w:t>
            </w:r>
            <w:proofErr w:type="gram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DC318A" w:rsidRPr="00A37AF1" w14:paraId="6CFCCB74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B8B90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4.3 princip TA ČR a programy výzkumu pro vymezené resorty včetně programů pro potřeby orgánů státní správy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75F984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F20D7F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Některé resorty si své programy připravovaly a implementovaly samy (MK, MŠMT,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MZdr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., částečně MPO). Systémová spolupráce byla nastavena jen s některými z nich (MPO, MD, MŽP, MV,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MZe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nově MO). Zohlednění nekomerčních dopadů výsledků projektů jsou v evaluacích sledovány.</w:t>
            </w:r>
          </w:p>
        </w:tc>
      </w:tr>
      <w:tr w:rsidR="00DC318A" w:rsidRPr="00A37AF1" w14:paraId="3E88C4D6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606F8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 nově připravované programy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62C3E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BF952" w14:textId="4163AF4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Programy BETA2, ZÉTA, ÉTA, THÉTA, NCK byly připraveny a jsou realizovány. V rámci programu CK docházelo k podpoře projektů a k jejich změnovým řízením. Národní strategická centra kvůli nevyhovující legislativě realizována nebyla. Programy typu EPSILON a GAMA byla nahrazena programy TREND a GAMA 2. Program určený k transferu znalostí získaných českými účastníky v mezinárodních konsorciích EU programu Ho</w:t>
            </w:r>
            <w:r w:rsidR="00EC5A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</w:t>
            </w: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izont 2020 do průmyslové praxe v ČR a program na podporu účasti českých subjektů v EU programech připraveny a realizovány nebyly.</w:t>
            </w:r>
          </w:p>
        </w:tc>
      </w:tr>
      <w:tr w:rsidR="00DC318A" w:rsidRPr="00A37AF1" w14:paraId="69DE5D1F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41DEF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 strategické směřování TA ČR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D2BA5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04045" w14:textId="77777777" w:rsidR="00DC318A" w:rsidRPr="00A37AF1" w:rsidRDefault="00DC318A">
            <w:pPr>
              <w:pStyle w:val="Normlnweb"/>
              <w:spacing w:before="0" w:beforeAutospacing="0" w:after="0" w:afterAutospacing="0"/>
              <w:ind w:right="-476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 čtyř z pěti oblastí (oblasti 1, 2, 4, a 5) je možné konstatovat, že tyto body byly zcela plněny. V rámci oblasti 3. Postavení a role TA ČR v oblasti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VaVaI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bylo předpokládáno, že TA ČR posílí svou úlohu jako významné a respektované součásti systému </w:t>
            </w:r>
            <w:proofErr w:type="spellStart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VaVaI</w:t>
            </w:r>
            <w:proofErr w:type="spellEnd"/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zároveň se přiblíží rolím relevantních zahraničních agentur. Vzhledem k absenci podpory formou finančních nástrojů, nebo ze zdrojů ESIF a Horizont 2020 (obě oblasti podpory koncepce předpokládala) nelze tento bod označit za zcela naplněný.</w:t>
            </w:r>
          </w:p>
        </w:tc>
      </w:tr>
    </w:tbl>
    <w:p w14:paraId="12A76819" w14:textId="77777777" w:rsidR="00DC318A" w:rsidRPr="00A37AF1" w:rsidRDefault="00DC318A" w:rsidP="00DC318A">
      <w:pPr>
        <w:rPr>
          <w:rFonts w:cstheme="minorHAnsi"/>
          <w:szCs w:val="20"/>
        </w:rPr>
      </w:pPr>
      <w:r w:rsidRPr="00A37AF1">
        <w:rPr>
          <w:rFonts w:cstheme="minorHAnsi"/>
          <w:szCs w:val="20"/>
        </w:rPr>
        <w:lastRenderedPageBreak/>
        <w:br/>
      </w:r>
    </w:p>
    <w:p w14:paraId="3B5147E5" w14:textId="77777777" w:rsidR="00DC318A" w:rsidRPr="00A37AF1" w:rsidRDefault="00DC318A" w:rsidP="00DC318A">
      <w:pPr>
        <w:pStyle w:val="Normln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37AF1">
        <w:rPr>
          <w:rFonts w:asciiTheme="minorHAnsi" w:hAnsiTheme="minorHAnsi" w:cstheme="minorHAnsi"/>
          <w:b/>
          <w:bCs/>
          <w:color w:val="000000"/>
          <w:sz w:val="20"/>
          <w:szCs w:val="20"/>
        </w:rPr>
        <w:t>oblasti, které je vhodné dále zapracovat do aktualizace koncepce do roku 2030 a zdůvodnění: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283"/>
        <w:gridCol w:w="4841"/>
      </w:tblGrid>
      <w:tr w:rsidR="00DC318A" w:rsidRPr="00A37AF1" w14:paraId="596A6620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FFA9A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 vazba koncepce na hlavní strategické dokumenty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7DBAB1" w14:textId="473817EA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FDC7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Tuto část je třeba aktualizovat.</w:t>
            </w:r>
          </w:p>
        </w:tc>
      </w:tr>
      <w:tr w:rsidR="00DC318A" w:rsidRPr="00A37AF1" w14:paraId="62D80885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CB4BC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2.1 klíčový princip </w:t>
            </w:r>
            <w:r w:rsidRPr="00A37AF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provázanost systému podpory </w:t>
            </w:r>
            <w:proofErr w:type="spellStart"/>
            <w:r w:rsidRPr="00A37AF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VaVaI</w:t>
            </w:r>
            <w:proofErr w:type="spellEnd"/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E8BB4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25873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nutné akcentovat evropskou úroveň provázanosti podpory.</w:t>
            </w:r>
          </w:p>
        </w:tc>
      </w:tr>
      <w:tr w:rsidR="00DC318A" w:rsidRPr="00A37AF1" w14:paraId="5038C999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CBC0D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2.2 klíčový princip </w:t>
            </w:r>
            <w:r w:rsidRPr="00A37AF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využití zkušeností z hodnocení v řízení projektů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B2C35C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FDA1E6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Jde o jednu z aktuálních priorit TA ČR.</w:t>
            </w:r>
          </w:p>
        </w:tc>
      </w:tr>
      <w:tr w:rsidR="00DC318A" w:rsidRPr="00A37AF1" w14:paraId="48A99A8A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9AD2A4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 působnost koncepce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FB22D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B31E98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nutné aktualizovat terminologii oblasti AV.</w:t>
            </w:r>
          </w:p>
        </w:tc>
      </w:tr>
      <w:tr w:rsidR="00DC318A" w:rsidRPr="00A37AF1" w14:paraId="34CD56E2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9A7A7F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 nastavení systému různých nástrojů podpory, včetně finančních nástrojů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A363A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DF0B9E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Kromě spolupráce TA ČR a ČMZRB nebyla doposud tato oblast naplněna, jelikož to zákon č. 130/2002 Sb. stále neumožňuje.</w:t>
            </w:r>
          </w:p>
        </w:tc>
      </w:tr>
      <w:tr w:rsidR="00DC318A" w:rsidRPr="00A37AF1" w14:paraId="2E2DC04B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AF591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 podpora projektů s vysokou mírou rizika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FB90DF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F182A5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Tato oblast zůstává k rozpracování do dalšího strategického směřování agentury.</w:t>
            </w:r>
          </w:p>
        </w:tc>
      </w:tr>
      <w:tr w:rsidR="00DC318A" w:rsidRPr="00A37AF1" w14:paraId="756D588F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36DA9C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4.2 podpora přenosu výsledků AV české účasti v rámcových programech EU do průmyslové praxe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D5296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061C02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Podpora tohoto typu činností nebyla skrze TA ČR realizována.</w:t>
            </w:r>
          </w:p>
        </w:tc>
      </w:tr>
      <w:tr w:rsidR="00DC318A" w:rsidRPr="00A37AF1" w14:paraId="1C400F40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B4C00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4.3 evaluace TA ČR vnější mezinárodní autoritou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CF8520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32F078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Obdobná evaluace celé TA ČR zatím realizována nebyla.</w:t>
            </w:r>
          </w:p>
        </w:tc>
      </w:tr>
      <w:tr w:rsidR="00DC318A" w:rsidRPr="00A37AF1" w14:paraId="2B0F3D24" w14:textId="77777777" w:rsidTr="00246609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95D434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 nalezení společné hranice a řeči s Agenturou zdravotnického výzkumu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FAB371" w14:textId="77777777" w:rsidR="00DC318A" w:rsidRPr="00A37AF1" w:rsidRDefault="00DC318A">
            <w:pPr>
              <w:rPr>
                <w:rFonts w:cstheme="minorHAnsi"/>
                <w:szCs w:val="20"/>
              </w:rPr>
            </w:pP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C2ED1D" w14:textId="77777777" w:rsidR="00DC318A" w:rsidRPr="00A37AF1" w:rsidRDefault="00DC318A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A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Tato spolupráce realizována nebyla.</w:t>
            </w:r>
          </w:p>
        </w:tc>
      </w:tr>
    </w:tbl>
    <w:p w14:paraId="02A94C1F" w14:textId="77777777" w:rsidR="00DC318A" w:rsidRPr="00A37AF1" w:rsidRDefault="00DC318A" w:rsidP="00DC318A">
      <w:pPr>
        <w:rPr>
          <w:rFonts w:cstheme="minorHAnsi"/>
          <w:szCs w:val="20"/>
        </w:rPr>
      </w:pPr>
    </w:p>
    <w:p w14:paraId="33DA0406" w14:textId="24431DAD" w:rsidR="00DC318A" w:rsidRPr="00B02DFF" w:rsidRDefault="00DC318A" w:rsidP="00DC318A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37AF1">
        <w:rPr>
          <w:rFonts w:asciiTheme="minorHAnsi" w:hAnsiTheme="minorHAnsi" w:cstheme="minorHAnsi"/>
          <w:color w:val="000000"/>
          <w:sz w:val="20"/>
          <w:szCs w:val="20"/>
        </w:rPr>
        <w:t xml:space="preserve">Poznámka: </w:t>
      </w:r>
      <w:r w:rsidR="0072459C" w:rsidRPr="00A37AF1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Pr="00A37AF1">
        <w:rPr>
          <w:rFonts w:asciiTheme="minorHAnsi" w:hAnsiTheme="minorHAnsi" w:cstheme="minorHAnsi"/>
          <w:color w:val="000000"/>
          <w:sz w:val="20"/>
          <w:szCs w:val="20"/>
        </w:rPr>
        <w:t xml:space="preserve">ro lepší orientaci je zvolena struktura vyplývající ze struktury koncepce (např. oblasti s číslem 1.X se vztahují k 1. části koncepce </w:t>
      </w:r>
      <w:r w:rsidRPr="00A37AF1">
        <w:rPr>
          <w:rFonts w:asciiTheme="minorHAnsi" w:hAnsiTheme="minorHAnsi" w:cstheme="minorHAnsi"/>
          <w:i/>
          <w:iCs/>
          <w:color w:val="000000"/>
          <w:sz w:val="20"/>
          <w:szCs w:val="20"/>
        </w:rPr>
        <w:t>1. Úvod</w:t>
      </w:r>
      <w:r w:rsidRPr="00A37AF1">
        <w:rPr>
          <w:rFonts w:asciiTheme="minorHAnsi" w:hAnsiTheme="minorHAnsi" w:cstheme="minorHAnsi"/>
          <w:color w:val="000000"/>
          <w:sz w:val="20"/>
          <w:szCs w:val="20"/>
        </w:rPr>
        <w:t xml:space="preserve">, obdobně oblasti s číslem 2.X se vztahují ke druhé části dokumentu </w:t>
      </w:r>
      <w:r w:rsidRPr="00A37AF1">
        <w:rPr>
          <w:rFonts w:asciiTheme="minorHAnsi" w:hAnsiTheme="minorHAnsi" w:cstheme="minorHAnsi"/>
          <w:i/>
          <w:iCs/>
          <w:color w:val="000000"/>
          <w:sz w:val="20"/>
          <w:szCs w:val="20"/>
        </w:rPr>
        <w:t>2. Poslání a cíle TA ČR</w:t>
      </w:r>
      <w:r w:rsidRPr="00A37AF1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2A3DF9AB" w14:textId="77777777" w:rsidR="00DC318A" w:rsidRPr="00155D1A" w:rsidRDefault="00DC318A" w:rsidP="00953C38">
      <w:pPr>
        <w:jc w:val="both"/>
        <w:rPr>
          <w:szCs w:val="20"/>
        </w:rPr>
      </w:pPr>
    </w:p>
    <w:sectPr w:rsidR="00DC318A" w:rsidRPr="00155D1A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C47CA" w14:textId="77777777" w:rsidR="00AF15CF" w:rsidRDefault="00AF15CF" w:rsidP="00022D80">
      <w:pPr>
        <w:spacing w:after="0" w:line="240" w:lineRule="auto"/>
      </w:pPr>
      <w:r>
        <w:separator/>
      </w:r>
    </w:p>
  </w:endnote>
  <w:endnote w:type="continuationSeparator" w:id="0">
    <w:p w14:paraId="6184817F" w14:textId="77777777" w:rsidR="00AF15CF" w:rsidRDefault="00AF15CF" w:rsidP="0002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783530"/>
      <w:docPartObj>
        <w:docPartGallery w:val="Page Numbers (Bottom of Page)"/>
        <w:docPartUnique/>
      </w:docPartObj>
    </w:sdtPr>
    <w:sdtEndPr/>
    <w:sdtContent>
      <w:p w14:paraId="178D9C8B" w14:textId="77777777" w:rsidR="000831DF" w:rsidRDefault="000831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2EBB347F" w14:textId="77777777" w:rsidR="000831DF" w:rsidRDefault="000831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2CA70" w14:textId="77777777" w:rsidR="00AF15CF" w:rsidRDefault="00AF15CF" w:rsidP="00022D80">
      <w:pPr>
        <w:spacing w:after="0" w:line="240" w:lineRule="auto"/>
      </w:pPr>
      <w:r>
        <w:separator/>
      </w:r>
    </w:p>
  </w:footnote>
  <w:footnote w:type="continuationSeparator" w:id="0">
    <w:p w14:paraId="29CDEC7C" w14:textId="77777777" w:rsidR="00AF15CF" w:rsidRDefault="00AF15CF" w:rsidP="00022D80">
      <w:pPr>
        <w:spacing w:after="0" w:line="240" w:lineRule="auto"/>
      </w:pPr>
      <w:r>
        <w:continuationSeparator/>
      </w:r>
    </w:p>
  </w:footnote>
  <w:footnote w:id="1">
    <w:p w14:paraId="4C56999D" w14:textId="2F426A99" w:rsidR="000831DF" w:rsidRDefault="000831DF" w:rsidP="007651A0">
      <w:pPr>
        <w:pStyle w:val="Textpoznpodarou"/>
      </w:pPr>
      <w:r>
        <w:rPr>
          <w:rStyle w:val="Znakapoznpodarou"/>
        </w:rPr>
        <w:footnoteRef/>
      </w:r>
      <w:r>
        <w:t xml:space="preserve"> Interní dokument TA ČR, tabulka přiložena v příloze.</w:t>
      </w:r>
    </w:p>
  </w:footnote>
  <w:footnote w:id="2">
    <w:p w14:paraId="2E2D0FCA" w14:textId="258DD56A" w:rsidR="000831DF" w:rsidRDefault="000831DF" w:rsidP="00614DB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00F8D">
        <w:t xml:space="preserve">Towards a comparative overview of innovation programmes in Europe. Third Benchmark Report 2017-2018 of TAFTIE’s </w:t>
      </w:r>
      <w:r w:rsidRPr="00200F8D">
        <w:t>Structural Network on Benchmarking, dostupné online: </w:t>
      </w:r>
      <w:hyperlink r:id="rId1" w:tgtFrame="_blank" w:history="1">
        <w:r w:rsidRPr="00200F8D">
          <w:t>https://taftie.eu/sites/default/files/SNB2020%20Report_FINAL_0.pdf</w:t>
        </w:r>
      </w:hyperlink>
    </w:p>
  </w:footnote>
  <w:footnote w:id="3">
    <w:p w14:paraId="457B4BAB" w14:textId="73AAB3F2" w:rsidR="000831DF" w:rsidRPr="00155D1A" w:rsidRDefault="000831D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55D1A">
        <w:t>Metodický postup, který je založen na sledování a sbírání důkazů odvozených od výstupů projektů TA ČR</w:t>
      </w:r>
    </w:p>
  </w:footnote>
  <w:footnote w:id="4">
    <w:p w14:paraId="6E157C12" w14:textId="3D8A7A6C" w:rsidR="000831DF" w:rsidRDefault="000831DF">
      <w:pPr>
        <w:pStyle w:val="Textpoznpodarou"/>
      </w:pPr>
      <w:r w:rsidRPr="00B77B6F">
        <w:rPr>
          <w:rStyle w:val="Znakapoznpodarou"/>
          <w:sz w:val="18"/>
          <w:szCs w:val="18"/>
        </w:rPr>
        <w:footnoteRef/>
      </w:r>
      <w:r w:rsidRPr="00B77B6F">
        <w:rPr>
          <w:sz w:val="18"/>
          <w:szCs w:val="18"/>
        </w:rPr>
        <w:t xml:space="preserve"> </w:t>
      </w:r>
      <w:r w:rsidRPr="00155D1A">
        <w:t xml:space="preserve">Jde o porovnání s co nejpodobnější kontrolní skupinou s jediným rozdílem, sledovaná skupina byla podpořená v projektu TA ČR a kontrolní nikoliv. </w:t>
      </w:r>
    </w:p>
  </w:footnote>
  <w:footnote w:id="5">
    <w:p w14:paraId="6BC0FB49" w14:textId="429F01E6" w:rsidR="000831DF" w:rsidRDefault="000831D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55D1A">
        <w:t>Odkazy na jednotlivé</w:t>
      </w:r>
      <w:r>
        <w:t xml:space="preserve"> </w:t>
      </w:r>
      <w:r w:rsidRPr="00155D1A">
        <w:t>již realizované evaluace jsou v příloze tohoto dokumentu.</w:t>
      </w:r>
    </w:p>
  </w:footnote>
  <w:footnote w:id="6">
    <w:p w14:paraId="3DF4A992" w14:textId="6FBD3E17" w:rsidR="000831DF" w:rsidRDefault="000831DF">
      <w:pPr>
        <w:pStyle w:val="Textpoznpodarou"/>
      </w:pPr>
      <w:r>
        <w:rPr>
          <w:rStyle w:val="Znakapoznpodarou"/>
        </w:rPr>
        <w:footnoteRef/>
      </w:r>
      <w:r>
        <w:t xml:space="preserve"> Na základě Memoranda o vzájemné spolupráci ze dne 26. listopadu 2018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30BC"/>
    <w:multiLevelType w:val="hybridMultilevel"/>
    <w:tmpl w:val="D0CA8FE0"/>
    <w:lvl w:ilvl="0" w:tplc="61DED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C0B7D"/>
    <w:multiLevelType w:val="hybridMultilevel"/>
    <w:tmpl w:val="E0FE2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D6683"/>
    <w:multiLevelType w:val="multilevel"/>
    <w:tmpl w:val="D57A53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04F00"/>
    <w:multiLevelType w:val="hybridMultilevel"/>
    <w:tmpl w:val="4F8C3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519B9"/>
    <w:multiLevelType w:val="multilevel"/>
    <w:tmpl w:val="22964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84C18"/>
    <w:multiLevelType w:val="hybridMultilevel"/>
    <w:tmpl w:val="F33C0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D420C"/>
    <w:multiLevelType w:val="hybridMultilevel"/>
    <w:tmpl w:val="28B4D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2B15F0"/>
    <w:multiLevelType w:val="hybridMultilevel"/>
    <w:tmpl w:val="A0CE6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3608B"/>
    <w:multiLevelType w:val="hybridMultilevel"/>
    <w:tmpl w:val="DB5A8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218B6"/>
    <w:multiLevelType w:val="hybridMultilevel"/>
    <w:tmpl w:val="52782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F22D87"/>
    <w:multiLevelType w:val="multilevel"/>
    <w:tmpl w:val="A6E42D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14"/>
  </w:num>
  <w:num w:numId="7">
    <w:abstractNumId w:val="10"/>
  </w:num>
  <w:num w:numId="8">
    <w:abstractNumId w:val="2"/>
  </w:num>
  <w:num w:numId="9">
    <w:abstractNumId w:val="13"/>
  </w:num>
  <w:num w:numId="10">
    <w:abstractNumId w:val="9"/>
  </w:num>
  <w:num w:numId="11">
    <w:abstractNumId w:val="11"/>
  </w:num>
  <w:num w:numId="12">
    <w:abstractNumId w:val="15"/>
  </w:num>
  <w:num w:numId="13">
    <w:abstractNumId w:val="6"/>
  </w:num>
  <w:num w:numId="14">
    <w:abstractNumId w:val="7"/>
  </w:num>
  <w:num w:numId="15">
    <w:abstractNumId w:val="3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23"/>
    <w:rsid w:val="00001830"/>
    <w:rsid w:val="00022D80"/>
    <w:rsid w:val="0002768A"/>
    <w:rsid w:val="00034845"/>
    <w:rsid w:val="00041298"/>
    <w:rsid w:val="0005548F"/>
    <w:rsid w:val="00061E8B"/>
    <w:rsid w:val="00075C63"/>
    <w:rsid w:val="00082D45"/>
    <w:rsid w:val="000831DF"/>
    <w:rsid w:val="00083D32"/>
    <w:rsid w:val="00087B83"/>
    <w:rsid w:val="000973D0"/>
    <w:rsid w:val="000A22CF"/>
    <w:rsid w:val="000D2AE6"/>
    <w:rsid w:val="000E7A87"/>
    <w:rsid w:val="000F5307"/>
    <w:rsid w:val="0012008C"/>
    <w:rsid w:val="00123839"/>
    <w:rsid w:val="00123DF4"/>
    <w:rsid w:val="00133050"/>
    <w:rsid w:val="00135782"/>
    <w:rsid w:val="00155D1A"/>
    <w:rsid w:val="0015600F"/>
    <w:rsid w:val="0015725D"/>
    <w:rsid w:val="00175784"/>
    <w:rsid w:val="00183B46"/>
    <w:rsid w:val="001E4F6D"/>
    <w:rsid w:val="00200F8D"/>
    <w:rsid w:val="0020779E"/>
    <w:rsid w:val="0022475F"/>
    <w:rsid w:val="002316C7"/>
    <w:rsid w:val="002350ED"/>
    <w:rsid w:val="00237362"/>
    <w:rsid w:val="002374ED"/>
    <w:rsid w:val="00237E3F"/>
    <w:rsid w:val="0024482D"/>
    <w:rsid w:val="002464B2"/>
    <w:rsid w:val="00246609"/>
    <w:rsid w:val="00255A42"/>
    <w:rsid w:val="002662F7"/>
    <w:rsid w:val="002713EE"/>
    <w:rsid w:val="00277624"/>
    <w:rsid w:val="00283B56"/>
    <w:rsid w:val="00286311"/>
    <w:rsid w:val="00291739"/>
    <w:rsid w:val="002A5505"/>
    <w:rsid w:val="002B3B4B"/>
    <w:rsid w:val="002E1859"/>
    <w:rsid w:val="002E25A1"/>
    <w:rsid w:val="00314457"/>
    <w:rsid w:val="0032390B"/>
    <w:rsid w:val="0032664C"/>
    <w:rsid w:val="00345340"/>
    <w:rsid w:val="00373982"/>
    <w:rsid w:val="003954C1"/>
    <w:rsid w:val="003A66A7"/>
    <w:rsid w:val="003A7051"/>
    <w:rsid w:val="003B1673"/>
    <w:rsid w:val="003E183D"/>
    <w:rsid w:val="003F4030"/>
    <w:rsid w:val="0045336D"/>
    <w:rsid w:val="00482284"/>
    <w:rsid w:val="004C24D3"/>
    <w:rsid w:val="004D0A27"/>
    <w:rsid w:val="004D5FB8"/>
    <w:rsid w:val="005048CF"/>
    <w:rsid w:val="00526A93"/>
    <w:rsid w:val="005421EE"/>
    <w:rsid w:val="00546A81"/>
    <w:rsid w:val="005605F9"/>
    <w:rsid w:val="005618D9"/>
    <w:rsid w:val="00563DA3"/>
    <w:rsid w:val="00564351"/>
    <w:rsid w:val="0058364B"/>
    <w:rsid w:val="005901D3"/>
    <w:rsid w:val="00595B60"/>
    <w:rsid w:val="005A16DE"/>
    <w:rsid w:val="005C0B24"/>
    <w:rsid w:val="005D5DA6"/>
    <w:rsid w:val="005F07F2"/>
    <w:rsid w:val="005F27B3"/>
    <w:rsid w:val="006019E2"/>
    <w:rsid w:val="00614DBB"/>
    <w:rsid w:val="0062384B"/>
    <w:rsid w:val="00623EC4"/>
    <w:rsid w:val="00665582"/>
    <w:rsid w:val="00665BF9"/>
    <w:rsid w:val="00691EBF"/>
    <w:rsid w:val="00697AE2"/>
    <w:rsid w:val="006A405E"/>
    <w:rsid w:val="006B43D4"/>
    <w:rsid w:val="006C7930"/>
    <w:rsid w:val="006D1EFD"/>
    <w:rsid w:val="006E3A3E"/>
    <w:rsid w:val="00701565"/>
    <w:rsid w:val="0070291F"/>
    <w:rsid w:val="00712D6C"/>
    <w:rsid w:val="0072459C"/>
    <w:rsid w:val="00761283"/>
    <w:rsid w:val="007651A0"/>
    <w:rsid w:val="00791E82"/>
    <w:rsid w:val="007D573C"/>
    <w:rsid w:val="007D78D4"/>
    <w:rsid w:val="007E655C"/>
    <w:rsid w:val="007F06AA"/>
    <w:rsid w:val="0080631F"/>
    <w:rsid w:val="00810CCC"/>
    <w:rsid w:val="0082272F"/>
    <w:rsid w:val="00847155"/>
    <w:rsid w:val="008532D1"/>
    <w:rsid w:val="00863B72"/>
    <w:rsid w:val="00866D60"/>
    <w:rsid w:val="00877F77"/>
    <w:rsid w:val="00887CDC"/>
    <w:rsid w:val="008E59DC"/>
    <w:rsid w:val="008E6C6F"/>
    <w:rsid w:val="00927185"/>
    <w:rsid w:val="00937E50"/>
    <w:rsid w:val="00943B01"/>
    <w:rsid w:val="00944EA6"/>
    <w:rsid w:val="00953C38"/>
    <w:rsid w:val="009563B0"/>
    <w:rsid w:val="00971178"/>
    <w:rsid w:val="009828EE"/>
    <w:rsid w:val="00997BDE"/>
    <w:rsid w:val="009B7C98"/>
    <w:rsid w:val="009D4AFE"/>
    <w:rsid w:val="009F2E7A"/>
    <w:rsid w:val="009F475E"/>
    <w:rsid w:val="00A02F23"/>
    <w:rsid w:val="00A02FEE"/>
    <w:rsid w:val="00A0369E"/>
    <w:rsid w:val="00A1218C"/>
    <w:rsid w:val="00A205E5"/>
    <w:rsid w:val="00A27857"/>
    <w:rsid w:val="00A27910"/>
    <w:rsid w:val="00A37AF1"/>
    <w:rsid w:val="00A47605"/>
    <w:rsid w:val="00A84A39"/>
    <w:rsid w:val="00A86BC1"/>
    <w:rsid w:val="00A97A5C"/>
    <w:rsid w:val="00AB5C72"/>
    <w:rsid w:val="00AC463E"/>
    <w:rsid w:val="00AC5B90"/>
    <w:rsid w:val="00AE673C"/>
    <w:rsid w:val="00AF15CF"/>
    <w:rsid w:val="00B02DFF"/>
    <w:rsid w:val="00B07701"/>
    <w:rsid w:val="00B47082"/>
    <w:rsid w:val="00B72035"/>
    <w:rsid w:val="00B77B6F"/>
    <w:rsid w:val="00B77FCF"/>
    <w:rsid w:val="00BA1AEC"/>
    <w:rsid w:val="00BA57C2"/>
    <w:rsid w:val="00BA776B"/>
    <w:rsid w:val="00BA7F8F"/>
    <w:rsid w:val="00BD3388"/>
    <w:rsid w:val="00BD5AB0"/>
    <w:rsid w:val="00BF050F"/>
    <w:rsid w:val="00C027F0"/>
    <w:rsid w:val="00C16072"/>
    <w:rsid w:val="00C16C32"/>
    <w:rsid w:val="00C4015C"/>
    <w:rsid w:val="00C46940"/>
    <w:rsid w:val="00C56BE9"/>
    <w:rsid w:val="00C576D8"/>
    <w:rsid w:val="00C93EBA"/>
    <w:rsid w:val="00C97464"/>
    <w:rsid w:val="00CB58B6"/>
    <w:rsid w:val="00D16B94"/>
    <w:rsid w:val="00D241B6"/>
    <w:rsid w:val="00D3201C"/>
    <w:rsid w:val="00D3648D"/>
    <w:rsid w:val="00D57660"/>
    <w:rsid w:val="00D66C54"/>
    <w:rsid w:val="00D979EE"/>
    <w:rsid w:val="00DB7072"/>
    <w:rsid w:val="00DC318A"/>
    <w:rsid w:val="00DC5923"/>
    <w:rsid w:val="00DF66C7"/>
    <w:rsid w:val="00E06AA5"/>
    <w:rsid w:val="00E37FA0"/>
    <w:rsid w:val="00E41738"/>
    <w:rsid w:val="00E46346"/>
    <w:rsid w:val="00E813F7"/>
    <w:rsid w:val="00EA1948"/>
    <w:rsid w:val="00EB765C"/>
    <w:rsid w:val="00EC5A7D"/>
    <w:rsid w:val="00EF47A7"/>
    <w:rsid w:val="00EF4F9D"/>
    <w:rsid w:val="00F02433"/>
    <w:rsid w:val="00F16DBB"/>
    <w:rsid w:val="00F20AF7"/>
    <w:rsid w:val="00F30AC7"/>
    <w:rsid w:val="00F41B15"/>
    <w:rsid w:val="00F423A6"/>
    <w:rsid w:val="00F458C4"/>
    <w:rsid w:val="00F5505E"/>
    <w:rsid w:val="00F574F0"/>
    <w:rsid w:val="00F60F36"/>
    <w:rsid w:val="00F747C6"/>
    <w:rsid w:val="00FC50CD"/>
    <w:rsid w:val="00FD4DF7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CA782"/>
  <w15:docId w15:val="{F92C6406-82FD-4BC2-99FC-9FA3D2C0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D2AE6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5923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4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3EBA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50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5923"/>
    <w:rPr>
      <w:rFonts w:eastAsiaTheme="majorEastAsia" w:cstheme="majorBidi"/>
      <w:b/>
      <w:color w:val="000000" w:themeColor="text1"/>
      <w:sz w:val="44"/>
      <w:szCs w:val="32"/>
    </w:rPr>
  </w:style>
  <w:style w:type="paragraph" w:styleId="Odstavecseseznamem">
    <w:name w:val="List Paragraph"/>
    <w:basedOn w:val="Normln"/>
    <w:uiPriority w:val="34"/>
    <w:qFormat/>
    <w:rsid w:val="000D2AE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3EBA"/>
    <w:rPr>
      <w:rFonts w:eastAsiaTheme="majorEastAsia" w:cstheme="majorBidi"/>
      <w:b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022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2D80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022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2D80"/>
    <w:rPr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5048C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048CF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048CF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B76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765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76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76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765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765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5FB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D5FB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D5FB8"/>
    <w:rPr>
      <w:vertAlign w:val="superscript"/>
    </w:rPr>
  </w:style>
  <w:style w:type="paragraph" w:styleId="Normlnweb">
    <w:name w:val="Normal (Web)"/>
    <w:basedOn w:val="Normln"/>
    <w:uiPriority w:val="99"/>
    <w:unhideWhenUsed/>
    <w:rsid w:val="0002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EF4F9D"/>
    <w:pPr>
      <w:spacing w:after="0" w:line="240" w:lineRule="auto"/>
    </w:pPr>
    <w:rPr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943B01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B7C98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rsid w:val="00F550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F5505E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6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3681">
          <w:marLeft w:val="-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9004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103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buncek\Downloads\Verze15%20Na&#769;vrh%20Perspektivy%20rozvoje%20TA%20C&#780;R%20v%20ra&#769;mci%20syste&#769;mu%20c&#780;eske&#769;ho%20VaVaI%202021-2025.docx" TargetMode="External"/><Relationship Id="rId18" Type="http://schemas.openxmlformats.org/officeDocument/2006/relationships/hyperlink" Target="https://www.tacr.cz/wp-content/uploads/documents/2020/04/06/1586158694_%C3%89TA_Z%C3%A1v%C4%9Bre%C4%8Dn%C3%A1%20zpr%C3%A1va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tacr.cz/wp-content/uploads/documents/2019/10/22/1571730320_Prubezne_hodnoceni_programu_Centra_kompetence.pdf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buncek\Downloads\Verze15%20Na&#769;vrh%20Perspektivy%20rozvoje%20TA%20C&#780;R%20v%20ra&#769;mci%20syste&#769;mu%20c&#780;eske&#769;ho%20VaVaI%202021-2025.docx" TargetMode="External"/><Relationship Id="rId17" Type="http://schemas.openxmlformats.org/officeDocument/2006/relationships/hyperlink" Target="https://www.tacr.cz/wp-content/uploads/documents/2020/04/06/1586158920_GAMA_Z%C3%A1v%C4%9Bre%C4%8Dn%C3%A1%20zpr%C3%A1va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tacr.cz/wp-content/uploads/documents/2020/03/09/1583752152_Z%C3%A1v%C4%9Bre%C4%8Dn%C3%A1%20zpr%C3%A1va_ALFA.pdf" TargetMode="External"/><Relationship Id="rId20" Type="http://schemas.openxmlformats.org/officeDocument/2006/relationships/hyperlink" Target="https://www.tacr.cz/wp-content/uploads/documents/2019/10/22/1571730456__Z%C3%A1v%C4%9Bre%C4%8Dn%C3%A1%20zpr%C3%A1va%20pr%C5%AFb%C4%9B%C5%BEn%C3%A9ho%20hodnocen%C3%AD%20programu%20DELTA_170403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buncek\Downloads\Verze15%20Na&#769;vrh%20Perspektivy%20rozvoje%20TA%20C&#780;R%20v%20ra&#769;mci%20syste&#769;mu%20c&#780;eske&#769;ho%20VaVaI%202021-2025.docx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tacr.cz/wp-content/uploads/documents/2019/09/27/1569567999_THETA_Ex-ante.pdf" TargetMode="External"/><Relationship Id="rId23" Type="http://schemas.openxmlformats.org/officeDocument/2006/relationships/hyperlink" Target="https://www.tacr.cz/wp-content/uploads/documents/2020/04/06/1586159004_Evaluace%20BETA_z%C3%A1v%C4%9Bre%C4%8Dn%C3%A1%20zpr%C3%A1va.pdf" TargetMode="External"/><Relationship Id="rId10" Type="http://schemas.openxmlformats.org/officeDocument/2006/relationships/hyperlink" Target="file:///C:\Users\buncek\Downloads\Verze15%20Na&#769;vrh%20Perspektivy%20rozvoje%20TA%20C&#780;R%20v%20ra&#769;mci%20syste&#769;mu%20c&#780;eske&#769;ho%20VaVaI%202021-2025.docx" TargetMode="External"/><Relationship Id="rId19" Type="http://schemas.openxmlformats.org/officeDocument/2006/relationships/hyperlink" Target="https://www.tacr.cz/dokums_raw/omega/prilohy/003_Prubezna%20evaluacni%20zprava%20programu%20OMEGA_zkr%C3%A1cen%C3%A1%20verze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buncek\Downloads\Verze15%20Na&#769;vrh%20Perspektivy%20rozvoje%20TA%20C&#780;R%20v%20ra&#769;mci%20syste&#769;mu%20c&#780;eske&#769;ho%20VaVaI%202021-2025.docx" TargetMode="External"/><Relationship Id="rId14" Type="http://schemas.openxmlformats.org/officeDocument/2006/relationships/hyperlink" Target="file:///C:\Users\buncek\Downloads\Verze15%20Na&#769;vrh%20Perspektivy%20rozvoje%20TA%20C&#780;R%20v%20ra&#769;mci%20syste&#769;mu%20c&#780;eske&#769;ho%20VaVaI%202021-2025.docx" TargetMode="External"/><Relationship Id="rId22" Type="http://schemas.openxmlformats.org/officeDocument/2006/relationships/hyperlink" Target="https://www.tacr.cz/wp-content/uploads/documents/2020/04/06/1586158805_Evaluace%20OMEGA_z%C3%A1v%C4%9Bre%C4%8Dn%C3%A1%20zpr%C3%A1va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aftie.eu/sites/default/files/SNB2020%20Report_FINAL_0.pdf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217B9-5204-4AAF-B105-0E89F607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9672</Words>
  <Characters>57065</Characters>
  <Application>Microsoft Office Word</Application>
  <DocSecurity>0</DocSecurity>
  <Lines>475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66604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Nhat Quynh Červinková</dc:creator>
  <cp:keywords/>
  <dc:description/>
  <cp:lastModifiedBy>Alexandra Pirošová</cp:lastModifiedBy>
  <cp:revision>2</cp:revision>
  <cp:lastPrinted>2021-03-11T13:19:00Z</cp:lastPrinted>
  <dcterms:created xsi:type="dcterms:W3CDTF">2021-03-12T10:10:00Z</dcterms:created>
  <dcterms:modified xsi:type="dcterms:W3CDTF">2021-03-12T10:10:00Z</dcterms:modified>
</cp:coreProperties>
</file>