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08E4" w:rsidRDefault="00A508E4" w:rsidP="00A508E4">
      <w:pPr>
        <w:jc w:val="center"/>
        <w:rPr>
          <w:rFonts w:ascii="Arial" w:hAnsi="Arial" w:cs="Arial"/>
          <w:b/>
          <w:sz w:val="36"/>
          <w:szCs w:val="36"/>
        </w:rPr>
      </w:pPr>
    </w:p>
    <w:p w:rsidR="00A508E4" w:rsidRDefault="00A508E4" w:rsidP="00A508E4">
      <w:pPr>
        <w:jc w:val="center"/>
        <w:rPr>
          <w:rFonts w:ascii="Arial" w:hAnsi="Arial" w:cs="Arial"/>
          <w:b/>
          <w:sz w:val="36"/>
          <w:szCs w:val="36"/>
        </w:rPr>
      </w:pPr>
    </w:p>
    <w:p w:rsidR="00A508E4" w:rsidRDefault="00A508E4" w:rsidP="00A508E4">
      <w:pPr>
        <w:jc w:val="center"/>
        <w:rPr>
          <w:rFonts w:ascii="Arial" w:hAnsi="Arial" w:cs="Arial"/>
          <w:b/>
          <w:sz w:val="36"/>
          <w:szCs w:val="36"/>
        </w:rPr>
      </w:pPr>
    </w:p>
    <w:p w:rsidR="00A508E4" w:rsidRDefault="00A508E4" w:rsidP="00A508E4">
      <w:pPr>
        <w:jc w:val="center"/>
        <w:rPr>
          <w:rFonts w:ascii="Arial" w:hAnsi="Arial" w:cs="Arial"/>
          <w:b/>
          <w:sz w:val="36"/>
          <w:szCs w:val="36"/>
        </w:rPr>
      </w:pPr>
    </w:p>
    <w:p w:rsidR="00A508E4" w:rsidRDefault="00A508E4" w:rsidP="00A508E4">
      <w:pPr>
        <w:jc w:val="center"/>
        <w:rPr>
          <w:rFonts w:ascii="Arial" w:hAnsi="Arial" w:cs="Arial"/>
          <w:b/>
          <w:sz w:val="36"/>
          <w:szCs w:val="36"/>
        </w:rPr>
      </w:pPr>
    </w:p>
    <w:p w:rsidR="00A508E4" w:rsidRDefault="00A508E4" w:rsidP="00A508E4">
      <w:pPr>
        <w:jc w:val="center"/>
        <w:rPr>
          <w:rFonts w:ascii="Arial" w:hAnsi="Arial" w:cs="Arial"/>
          <w:b/>
          <w:sz w:val="36"/>
          <w:szCs w:val="36"/>
        </w:rPr>
      </w:pPr>
    </w:p>
    <w:p w:rsidR="00A508E4" w:rsidRDefault="00A508E4" w:rsidP="00A508E4">
      <w:pPr>
        <w:jc w:val="center"/>
        <w:rPr>
          <w:rFonts w:ascii="Arial" w:hAnsi="Arial" w:cs="Arial"/>
          <w:b/>
          <w:sz w:val="36"/>
          <w:szCs w:val="36"/>
        </w:rPr>
      </w:pPr>
    </w:p>
    <w:p w:rsidR="00A508E4" w:rsidRDefault="00A508E4" w:rsidP="00A508E4">
      <w:pPr>
        <w:jc w:val="center"/>
        <w:rPr>
          <w:rFonts w:ascii="Arial" w:hAnsi="Arial" w:cs="Arial"/>
          <w:b/>
          <w:sz w:val="36"/>
          <w:szCs w:val="36"/>
        </w:rPr>
      </w:pPr>
    </w:p>
    <w:p w:rsidR="00A508E4" w:rsidRDefault="00A508E4" w:rsidP="00A508E4">
      <w:pPr>
        <w:jc w:val="center"/>
        <w:rPr>
          <w:rFonts w:ascii="Arial" w:hAnsi="Arial" w:cs="Arial"/>
          <w:b/>
          <w:sz w:val="36"/>
          <w:szCs w:val="36"/>
        </w:rPr>
      </w:pPr>
    </w:p>
    <w:p w:rsidR="00C71A97" w:rsidRPr="00A508E4" w:rsidRDefault="00C71A97" w:rsidP="00A508E4">
      <w:pPr>
        <w:jc w:val="center"/>
        <w:rPr>
          <w:rFonts w:ascii="Arial" w:hAnsi="Arial" w:cs="Arial"/>
          <w:b/>
          <w:sz w:val="36"/>
          <w:szCs w:val="36"/>
        </w:rPr>
      </w:pPr>
      <w:r w:rsidRPr="00A508E4">
        <w:rPr>
          <w:rFonts w:ascii="Arial" w:hAnsi="Arial" w:cs="Arial"/>
          <w:b/>
          <w:sz w:val="36"/>
          <w:szCs w:val="36"/>
        </w:rPr>
        <w:t>Programový dokument Operačního programu Technologie a aplikace pro konkurenceschopnost (2021-2027)</w:t>
      </w:r>
    </w:p>
    <w:p w:rsidR="00C71A97" w:rsidRPr="00A508E4" w:rsidRDefault="00C71A97" w:rsidP="00A508E4">
      <w:pPr>
        <w:jc w:val="center"/>
        <w:rPr>
          <w:rFonts w:ascii="Arial" w:hAnsi="Arial" w:cs="Arial"/>
          <w:b/>
          <w:sz w:val="36"/>
          <w:szCs w:val="36"/>
        </w:rPr>
      </w:pPr>
    </w:p>
    <w:p w:rsidR="00C71A97" w:rsidRPr="00A508E4" w:rsidRDefault="00CD5D35" w:rsidP="00A508E4">
      <w:pPr>
        <w:jc w:val="center"/>
        <w:rPr>
          <w:rFonts w:ascii="Arial" w:hAnsi="Arial" w:cs="Arial"/>
          <w:b/>
          <w:sz w:val="24"/>
          <w:szCs w:val="24"/>
        </w:rPr>
      </w:pPr>
      <w:r w:rsidRPr="00A508E4">
        <w:rPr>
          <w:rFonts w:ascii="Arial" w:hAnsi="Arial" w:cs="Arial"/>
          <w:b/>
          <w:sz w:val="24"/>
          <w:szCs w:val="24"/>
        </w:rPr>
        <w:t>P</w:t>
      </w:r>
      <w:r w:rsidR="00C71A97" w:rsidRPr="00A508E4">
        <w:rPr>
          <w:rFonts w:ascii="Arial" w:hAnsi="Arial" w:cs="Arial"/>
          <w:b/>
          <w:sz w:val="24"/>
          <w:szCs w:val="24"/>
        </w:rPr>
        <w:t>říloha 1</w:t>
      </w:r>
    </w:p>
    <w:p w:rsidR="00C47815" w:rsidRDefault="00A508E4" w:rsidP="00A508E4">
      <w:pPr>
        <w:jc w:val="center"/>
        <w:rPr>
          <w:rFonts w:ascii="Arial" w:hAnsi="Arial" w:cs="Arial"/>
          <w:b/>
          <w:sz w:val="24"/>
          <w:szCs w:val="24"/>
        </w:rPr>
      </w:pPr>
      <w:r w:rsidRPr="00A508E4">
        <w:rPr>
          <w:rFonts w:ascii="Arial" w:hAnsi="Arial" w:cs="Arial"/>
          <w:b/>
          <w:sz w:val="24"/>
          <w:szCs w:val="24"/>
        </w:rPr>
        <w:t>Řešení potenciálních p</w:t>
      </w:r>
      <w:r w:rsidR="00CD5D35" w:rsidRPr="00A508E4">
        <w:rPr>
          <w:rFonts w:ascii="Arial" w:hAnsi="Arial" w:cs="Arial"/>
          <w:b/>
          <w:sz w:val="24"/>
          <w:szCs w:val="24"/>
        </w:rPr>
        <w:t>řekryv</w:t>
      </w:r>
      <w:r w:rsidRPr="00A508E4">
        <w:rPr>
          <w:rFonts w:ascii="Arial" w:hAnsi="Arial" w:cs="Arial"/>
          <w:b/>
          <w:sz w:val="24"/>
          <w:szCs w:val="24"/>
        </w:rPr>
        <w:t>ů</w:t>
      </w:r>
      <w:r w:rsidR="00CD5D35" w:rsidRPr="00A508E4">
        <w:rPr>
          <w:rFonts w:ascii="Arial" w:hAnsi="Arial" w:cs="Arial"/>
          <w:b/>
          <w:sz w:val="24"/>
          <w:szCs w:val="24"/>
        </w:rPr>
        <w:t xml:space="preserve"> OP TAK s ostatními operačními programy </w:t>
      </w:r>
      <w:r w:rsidR="007914B3">
        <w:rPr>
          <w:rFonts w:ascii="Arial" w:hAnsi="Arial" w:cs="Arial"/>
          <w:b/>
          <w:sz w:val="24"/>
          <w:szCs w:val="24"/>
        </w:rPr>
        <w:t>(</w:t>
      </w:r>
      <w:r w:rsidR="00CD5D35" w:rsidRPr="00A508E4">
        <w:rPr>
          <w:rFonts w:ascii="Arial" w:hAnsi="Arial" w:cs="Arial"/>
          <w:b/>
          <w:sz w:val="24"/>
          <w:szCs w:val="24"/>
        </w:rPr>
        <w:t>2021-2027</w:t>
      </w:r>
      <w:r w:rsidR="007914B3">
        <w:rPr>
          <w:rFonts w:ascii="Arial" w:hAnsi="Arial" w:cs="Arial"/>
          <w:b/>
          <w:sz w:val="24"/>
          <w:szCs w:val="24"/>
        </w:rPr>
        <w:t>)</w:t>
      </w:r>
    </w:p>
    <w:p w:rsidR="00C47815" w:rsidRPr="00C47815" w:rsidRDefault="00C47815" w:rsidP="00C47815">
      <w:pPr>
        <w:rPr>
          <w:rFonts w:ascii="Arial" w:hAnsi="Arial" w:cs="Arial"/>
          <w:sz w:val="24"/>
          <w:szCs w:val="24"/>
        </w:rPr>
      </w:pPr>
    </w:p>
    <w:p w:rsidR="00C47815" w:rsidRPr="00C47815" w:rsidRDefault="00C47815" w:rsidP="00C47815">
      <w:pPr>
        <w:rPr>
          <w:rFonts w:ascii="Arial" w:hAnsi="Arial" w:cs="Arial"/>
          <w:sz w:val="24"/>
          <w:szCs w:val="24"/>
        </w:rPr>
      </w:pPr>
    </w:p>
    <w:p w:rsidR="00C47815" w:rsidRPr="00C47815" w:rsidRDefault="00C47815" w:rsidP="00C47815">
      <w:pPr>
        <w:rPr>
          <w:rFonts w:ascii="Arial" w:hAnsi="Arial" w:cs="Arial"/>
          <w:sz w:val="24"/>
          <w:szCs w:val="24"/>
        </w:rPr>
      </w:pPr>
    </w:p>
    <w:p w:rsidR="00C47815" w:rsidRPr="00C47815" w:rsidRDefault="00C47815" w:rsidP="00C47815">
      <w:pPr>
        <w:rPr>
          <w:rFonts w:ascii="Arial" w:hAnsi="Arial" w:cs="Arial"/>
          <w:sz w:val="24"/>
          <w:szCs w:val="24"/>
        </w:rPr>
      </w:pPr>
    </w:p>
    <w:p w:rsidR="00C47815" w:rsidRPr="00C47815" w:rsidRDefault="00C47815" w:rsidP="00C47815">
      <w:pPr>
        <w:rPr>
          <w:rFonts w:ascii="Arial" w:hAnsi="Arial" w:cs="Arial"/>
          <w:sz w:val="24"/>
          <w:szCs w:val="24"/>
        </w:rPr>
      </w:pPr>
    </w:p>
    <w:p w:rsidR="00C47815" w:rsidRPr="00C47815" w:rsidRDefault="00C47815" w:rsidP="00C47815">
      <w:pPr>
        <w:rPr>
          <w:rFonts w:ascii="Arial" w:hAnsi="Arial" w:cs="Arial"/>
          <w:sz w:val="24"/>
          <w:szCs w:val="24"/>
        </w:rPr>
      </w:pPr>
    </w:p>
    <w:p w:rsidR="00C47815" w:rsidRPr="00C47815" w:rsidRDefault="00C47815" w:rsidP="00C47815">
      <w:pPr>
        <w:rPr>
          <w:rFonts w:ascii="Arial" w:hAnsi="Arial" w:cs="Arial"/>
          <w:sz w:val="24"/>
          <w:szCs w:val="24"/>
        </w:rPr>
      </w:pPr>
    </w:p>
    <w:p w:rsidR="00C47815" w:rsidRPr="00C47815" w:rsidRDefault="00C47815" w:rsidP="00C47815">
      <w:pPr>
        <w:rPr>
          <w:rFonts w:ascii="Arial" w:hAnsi="Arial" w:cs="Arial"/>
          <w:sz w:val="24"/>
          <w:szCs w:val="24"/>
        </w:rPr>
      </w:pPr>
    </w:p>
    <w:p w:rsidR="00C47815" w:rsidRPr="00C47815" w:rsidRDefault="00C47815" w:rsidP="00C47815">
      <w:pPr>
        <w:rPr>
          <w:rFonts w:ascii="Arial" w:hAnsi="Arial" w:cs="Arial"/>
          <w:sz w:val="24"/>
          <w:szCs w:val="24"/>
        </w:rPr>
      </w:pPr>
    </w:p>
    <w:p w:rsidR="00C47815" w:rsidRPr="00C47815" w:rsidRDefault="00C47815" w:rsidP="00C47815">
      <w:pPr>
        <w:rPr>
          <w:rFonts w:ascii="Arial" w:hAnsi="Arial" w:cs="Arial"/>
          <w:sz w:val="24"/>
          <w:szCs w:val="24"/>
        </w:rPr>
      </w:pPr>
    </w:p>
    <w:p w:rsidR="00C47815" w:rsidRDefault="00C47815" w:rsidP="00C47815">
      <w:pPr>
        <w:rPr>
          <w:rFonts w:ascii="Arial" w:hAnsi="Arial" w:cs="Arial"/>
          <w:sz w:val="24"/>
          <w:szCs w:val="24"/>
        </w:rPr>
      </w:pPr>
    </w:p>
    <w:p w:rsidR="00C47815" w:rsidRDefault="00C47815" w:rsidP="00C47815">
      <w:pPr>
        <w:tabs>
          <w:tab w:val="left" w:pos="4610"/>
        </w:tabs>
        <w:rPr>
          <w:rFonts w:ascii="Arial" w:hAnsi="Arial" w:cs="Arial"/>
          <w:sz w:val="24"/>
          <w:szCs w:val="24"/>
        </w:rPr>
        <w:sectPr w:rsidR="00C47815" w:rsidSect="00C47815"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>
        <w:rPr>
          <w:rFonts w:ascii="Arial" w:hAnsi="Arial" w:cs="Arial"/>
          <w:sz w:val="24"/>
          <w:szCs w:val="24"/>
        </w:rPr>
        <w:tab/>
      </w:r>
    </w:p>
    <w:tbl>
      <w:tblPr>
        <w:tblW w:w="1623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"/>
        <w:gridCol w:w="1417"/>
        <w:gridCol w:w="2835"/>
        <w:gridCol w:w="1276"/>
        <w:gridCol w:w="1134"/>
        <w:gridCol w:w="2977"/>
        <w:gridCol w:w="1276"/>
        <w:gridCol w:w="1179"/>
        <w:gridCol w:w="1466"/>
        <w:gridCol w:w="1842"/>
      </w:tblGrid>
      <w:tr w:rsidR="00064B73" w:rsidRPr="00C71A97" w:rsidTr="00445C16">
        <w:trPr>
          <w:cantSplit/>
          <w:trHeight w:val="119"/>
          <w:tblHeader/>
          <w:jc w:val="center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816043" w:rsidRPr="00064B73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064B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lastRenderedPageBreak/>
              <w:t>Cíl politiky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816043" w:rsidRPr="00064B73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064B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Specifický cíl</w:t>
            </w:r>
            <w:r w:rsidR="00064B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 OP TAK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816043" w:rsidRPr="00064B73" w:rsidRDefault="00816043" w:rsidP="00064B7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064B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OP JAK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816043" w:rsidRPr="00064B73" w:rsidRDefault="00816043" w:rsidP="00064B7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064B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OP ŽP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816043" w:rsidRPr="00064B73" w:rsidRDefault="00816043" w:rsidP="00064B7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064B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OP D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816043" w:rsidRPr="00064B73" w:rsidRDefault="00816043" w:rsidP="00064B7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064B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OP Z+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</w:tcPr>
          <w:p w:rsidR="00064B73" w:rsidRDefault="00064B73" w:rsidP="00064B7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</w:p>
          <w:p w:rsidR="00816043" w:rsidRPr="00064B73" w:rsidRDefault="00816043" w:rsidP="00064B7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064B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IROP</w:t>
            </w:r>
          </w:p>
        </w:tc>
        <w:tc>
          <w:tcPr>
            <w:tcW w:w="11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816043" w:rsidRPr="00064B73" w:rsidRDefault="00816043" w:rsidP="00064B7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064B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OP ST</w:t>
            </w:r>
          </w:p>
        </w:tc>
        <w:tc>
          <w:tcPr>
            <w:tcW w:w="14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816043" w:rsidRPr="00064B73" w:rsidRDefault="00816043" w:rsidP="00064B7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064B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OP R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816043" w:rsidRPr="00064B73" w:rsidRDefault="00816043" w:rsidP="00064B7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064B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SP SZP</w:t>
            </w:r>
          </w:p>
        </w:tc>
      </w:tr>
      <w:tr w:rsidR="00C47815" w:rsidRPr="00C71A97" w:rsidTr="00445C16">
        <w:trPr>
          <w:cantSplit/>
          <w:trHeight w:val="6450"/>
          <w:jc w:val="center"/>
        </w:trPr>
        <w:tc>
          <w:tcPr>
            <w:tcW w:w="836" w:type="dxa"/>
            <w:vMerge w:val="restart"/>
            <w:tcBorders>
              <w:top w:val="single" w:sz="12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043" w:rsidRPr="00C71A97" w:rsidRDefault="00C47815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</w:t>
            </w:r>
            <w:r w:rsidR="00816043"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 1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73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SC 1.1 </w:t>
            </w:r>
          </w:p>
          <w:p w:rsidR="00816043" w:rsidRPr="00C71A97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Posílení výzkumných a inovačních kapacit a zavádění pokročilých technologií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056" w:rsidRPr="00270056" w:rsidRDefault="00270056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</w:pPr>
            <w:r w:rsidRPr="00270056"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  <w:t xml:space="preserve">Oblast </w:t>
            </w:r>
            <w:proofErr w:type="spellStart"/>
            <w:r w:rsidRPr="00270056"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  <w:t>VaVaI</w:t>
            </w:r>
            <w:proofErr w:type="spellEnd"/>
          </w:p>
          <w:p w:rsidR="00744558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OP TAK podporuje projekty průmyslového výzkumu, experimentálního vývoje a inovací, projekty orientovaného výzkumu budou podpořeny z OP JAK. </w:t>
            </w:r>
          </w:p>
          <w:p w:rsidR="00744558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 TAK realizuje opatření na podporu zvýšení inovační výkonnosti podniků včetně realizace aplikovaného výzkumu a vývoje a</w:t>
            </w:r>
            <w:r w:rsidR="00FD61E0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zvýšení využití aplikovaného výzkumu a experimentálního vývoje v praxi. </w:t>
            </w:r>
          </w:p>
          <w:p w:rsidR="00816043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OP JAK je zaměřen na zvýšení kvality a přínosů orientovaného veřejného výzkumu pro ekonomiku a společnost a v tomto kontextu zejména na spolupráci výzkumných organizací a podniků v doménách inteligentní specializace v </w:t>
            </w:r>
            <w:proofErr w:type="spellStart"/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předaplikační</w:t>
            </w:r>
            <w:proofErr w:type="spellEnd"/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fázi výzkumu. </w:t>
            </w:r>
          </w:p>
          <w:p w:rsidR="00270056" w:rsidRDefault="00270056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  <w:p w:rsidR="00270056" w:rsidRDefault="00270056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</w:pPr>
            <w:r w:rsidRPr="00270056"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  <w:t>Oblast rozvoje dovedností</w:t>
            </w:r>
          </w:p>
          <w:p w:rsidR="00445C16" w:rsidRDefault="00445C16" w:rsidP="00270056">
            <w:pPr>
              <w:pStyle w:val="Odstavecseseznamem"/>
              <w:ind w:left="0"/>
              <w:contextualSpacing w:val="0"/>
              <w:jc w:val="both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671100">
              <w:rPr>
                <w:rFonts w:ascii="Arial" w:eastAsia="Calibri" w:hAnsi="Arial" w:cs="Arial"/>
                <w:color w:val="000000"/>
                <w:sz w:val="16"/>
                <w:szCs w:val="16"/>
              </w:rPr>
              <w:t>Vymezení podpory s OP TAK je na úrovni cílových skupin a příjemců – OP TAK (podnikatelské subjekty) vs. OP JAK (VO a školy).</w:t>
            </w:r>
          </w:p>
          <w:p w:rsidR="00270056" w:rsidRPr="00671100" w:rsidRDefault="00270056" w:rsidP="00270056">
            <w:pPr>
              <w:pStyle w:val="Odstavecseseznamem"/>
              <w:ind w:left="0"/>
              <w:contextualSpacing w:val="0"/>
              <w:jc w:val="both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671100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OP TAK bude podporovat zvyšování dovedností a kompetencí v rámci MSP při zavádění pokročilých technologií a s tím související rozvoj center pro digitální inovace či další infrastruktury zajišťující služby 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zaměřené na</w:t>
            </w:r>
            <w:r w:rsidRPr="00671100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zaváděn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í</w:t>
            </w:r>
            <w:r w:rsidRPr="00671100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nových technologií, spolupráci v oblasti digitální transformace a využívání digitálních technologií, a to ve vazbě na RIS3. </w:t>
            </w:r>
          </w:p>
          <w:p w:rsidR="00270056" w:rsidRPr="00270056" w:rsidRDefault="00270056" w:rsidP="00270056">
            <w:pPr>
              <w:pStyle w:val="Odstavecseseznamem"/>
              <w:ind w:left="0"/>
              <w:contextualSpacing w:val="0"/>
              <w:jc w:val="both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671100">
              <w:rPr>
                <w:rFonts w:ascii="Arial" w:hAnsi="Arial" w:cs="Arial"/>
                <w:sz w:val="16"/>
                <w:szCs w:val="16"/>
              </w:rPr>
              <w:t xml:space="preserve">OP JAK podpoří rozvoj funkčního koordinovaného systému řízení </w:t>
            </w:r>
            <w:proofErr w:type="spellStart"/>
            <w:r w:rsidRPr="00671100">
              <w:rPr>
                <w:rFonts w:ascii="Arial" w:hAnsi="Arial" w:cs="Arial"/>
                <w:sz w:val="16"/>
                <w:szCs w:val="16"/>
              </w:rPr>
              <w:t>VaI</w:t>
            </w:r>
            <w:proofErr w:type="spellEnd"/>
            <w:r w:rsidRPr="00671100">
              <w:rPr>
                <w:rFonts w:ascii="Arial" w:hAnsi="Arial" w:cs="Arial"/>
                <w:sz w:val="16"/>
                <w:szCs w:val="16"/>
              </w:rPr>
              <w:t>, včetně rozvoje národních a krajských inovačních platforem, jejichž prostřednictvím dojde k posílení spolupráce akademické a podnikatelské sféry na objevování podnikatelských příležitostí a strategickému směřování k inteligentní specializaci ČR a jejích regionů, včetně rozvoje krajských nástrojů na podporu regionálních ekosystémů.</w:t>
            </w:r>
            <w:r w:rsidRPr="00671100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297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C16" w:rsidRPr="00445C16" w:rsidRDefault="00445C16" w:rsidP="006D3117">
            <w:pPr>
              <w:pStyle w:val="Odstavecseseznamem"/>
              <w:ind w:left="0"/>
              <w:contextualSpacing w:val="0"/>
              <w:jc w:val="both"/>
              <w:rPr>
                <w:rFonts w:ascii="Arial" w:eastAsia="Calibri" w:hAnsi="Arial" w:cs="Arial"/>
                <w:color w:val="000000"/>
                <w:sz w:val="16"/>
                <w:szCs w:val="16"/>
                <w:u w:val="single"/>
              </w:rPr>
            </w:pPr>
            <w:r w:rsidRPr="00445C16">
              <w:rPr>
                <w:rFonts w:ascii="Arial" w:eastAsia="Calibri" w:hAnsi="Arial" w:cs="Arial"/>
                <w:color w:val="000000"/>
                <w:sz w:val="16"/>
                <w:szCs w:val="16"/>
                <w:u w:val="single"/>
              </w:rPr>
              <w:t>Oblast rozvoje dovedností</w:t>
            </w:r>
          </w:p>
          <w:p w:rsidR="00445C16" w:rsidRDefault="00445C16" w:rsidP="006D3117">
            <w:pPr>
              <w:pStyle w:val="Odstavecseseznamem"/>
              <w:ind w:left="0"/>
              <w:contextualSpacing w:val="0"/>
              <w:jc w:val="both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671100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Vymezení s OP TAK je na úrovni subjektů a typu projektu s vazbou na RIS3 – OP TAK (inovační infrastruktura, 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příp. </w:t>
            </w:r>
            <w:r w:rsidRPr="00671100">
              <w:rPr>
                <w:rFonts w:ascii="Arial" w:eastAsia="Calibri" w:hAnsi="Arial" w:cs="Arial"/>
                <w:color w:val="000000"/>
                <w:sz w:val="16"/>
                <w:szCs w:val="16"/>
              </w:rPr>
              <w:t>komplexní investiční projekty MSP s vazbou na RIS3) vs. OP Z+ (ostatní podnikatelské subjekty, resp. typy projektů).</w:t>
            </w:r>
          </w:p>
          <w:p w:rsidR="006D3117" w:rsidRPr="00671100" w:rsidRDefault="006D3117" w:rsidP="006D3117">
            <w:pPr>
              <w:pStyle w:val="Odstavecseseznamem"/>
              <w:ind w:left="0"/>
              <w:contextualSpacing w:val="0"/>
              <w:jc w:val="both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671100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OP TAK bude podporovat zvyšování dovedností a kompetencí v rámci MSP při zavádění pokročilých technologií a s tím související rozvoj center pro digitální inovace či další infrastruktury zajišťující služby 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zaměřené na</w:t>
            </w:r>
            <w:r w:rsidRPr="00671100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zaváděn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</w:rPr>
              <w:t>í</w:t>
            </w:r>
            <w:r w:rsidRPr="00671100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nových technologií, spolupráci v oblasti digitální transformace a využívání digitálních technologií, a to ve vazbě na RIS3. </w:t>
            </w:r>
            <w:r w:rsidR="00445C16">
              <w:rPr>
                <w:rFonts w:ascii="Arial" w:hAnsi="Arial" w:cs="Arial"/>
                <w:sz w:val="16"/>
                <w:szCs w:val="16"/>
              </w:rPr>
              <w:t>Podpora bude realizována prostřednictvím</w:t>
            </w:r>
            <w:r w:rsidR="00445C16" w:rsidRPr="00C71A97">
              <w:rPr>
                <w:rFonts w:ascii="Arial" w:hAnsi="Arial" w:cs="Arial"/>
                <w:sz w:val="16"/>
                <w:szCs w:val="16"/>
              </w:rPr>
              <w:t xml:space="preserve"> subjekt</w:t>
            </w:r>
            <w:r w:rsidR="00445C16">
              <w:rPr>
                <w:rFonts w:ascii="Arial" w:hAnsi="Arial" w:cs="Arial"/>
                <w:sz w:val="16"/>
                <w:szCs w:val="16"/>
              </w:rPr>
              <w:t>ů</w:t>
            </w:r>
            <w:r w:rsidR="00445C16" w:rsidRPr="00C71A97">
              <w:rPr>
                <w:rFonts w:ascii="Arial" w:hAnsi="Arial" w:cs="Arial"/>
                <w:sz w:val="16"/>
                <w:szCs w:val="16"/>
              </w:rPr>
              <w:t xml:space="preserve"> inovační infrastruktury </w:t>
            </w:r>
            <w:r w:rsidR="00445C16">
              <w:rPr>
                <w:rFonts w:ascii="Arial" w:hAnsi="Arial" w:cs="Arial"/>
                <w:sz w:val="16"/>
                <w:szCs w:val="16"/>
              </w:rPr>
              <w:t xml:space="preserve">dle odsouhlaseného </w:t>
            </w:r>
            <w:r w:rsidR="00445C16" w:rsidRPr="00C71A97">
              <w:rPr>
                <w:rFonts w:ascii="Arial" w:hAnsi="Arial" w:cs="Arial"/>
                <w:sz w:val="16"/>
                <w:szCs w:val="16"/>
              </w:rPr>
              <w:t>seznam</w:t>
            </w:r>
            <w:r w:rsidR="00445C16">
              <w:rPr>
                <w:rFonts w:ascii="Arial" w:hAnsi="Arial" w:cs="Arial"/>
                <w:sz w:val="16"/>
                <w:szCs w:val="16"/>
              </w:rPr>
              <w:t>u</w:t>
            </w:r>
            <w:r w:rsidR="00445C16" w:rsidRPr="00C71A97">
              <w:rPr>
                <w:rFonts w:ascii="Arial" w:hAnsi="Arial" w:cs="Arial"/>
                <w:sz w:val="16"/>
                <w:szCs w:val="16"/>
              </w:rPr>
              <w:t xml:space="preserve"> společností na bázi EBN a SVTP, které by byly oprávněné </w:t>
            </w:r>
            <w:r w:rsidR="00445C16">
              <w:rPr>
                <w:rFonts w:ascii="Arial" w:hAnsi="Arial" w:cs="Arial"/>
                <w:sz w:val="16"/>
                <w:szCs w:val="16"/>
              </w:rPr>
              <w:t>d</w:t>
            </w:r>
            <w:r w:rsidR="00445C16" w:rsidRPr="00C71A97">
              <w:rPr>
                <w:rFonts w:ascii="Arial" w:hAnsi="Arial" w:cs="Arial"/>
                <w:sz w:val="16"/>
                <w:szCs w:val="16"/>
              </w:rPr>
              <w:t xml:space="preserve">ané služby </w:t>
            </w:r>
            <w:r w:rsidR="00445C16">
              <w:rPr>
                <w:rFonts w:ascii="Arial" w:hAnsi="Arial" w:cs="Arial"/>
                <w:sz w:val="16"/>
                <w:szCs w:val="16"/>
              </w:rPr>
              <w:t>s podporou</w:t>
            </w:r>
            <w:r w:rsidR="00445C16" w:rsidRPr="00C71A97">
              <w:rPr>
                <w:rFonts w:ascii="Arial" w:hAnsi="Arial" w:cs="Arial"/>
                <w:sz w:val="16"/>
                <w:szCs w:val="16"/>
              </w:rPr>
              <w:t xml:space="preserve"> OP TAK poskytovat</w:t>
            </w:r>
            <w:r w:rsidR="00445C16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445C16" w:rsidRPr="00C71A97">
              <w:rPr>
                <w:rFonts w:ascii="Arial" w:hAnsi="Arial" w:cs="Arial"/>
                <w:sz w:val="16"/>
                <w:szCs w:val="16"/>
              </w:rPr>
              <w:t xml:space="preserve">MPSV v rámci svých </w:t>
            </w:r>
            <w:r w:rsidR="00445C16">
              <w:rPr>
                <w:rFonts w:ascii="Arial" w:hAnsi="Arial" w:cs="Arial"/>
                <w:sz w:val="16"/>
                <w:szCs w:val="16"/>
              </w:rPr>
              <w:t xml:space="preserve">aktivit tak </w:t>
            </w:r>
            <w:r w:rsidR="00445C16" w:rsidRPr="00C71A97">
              <w:rPr>
                <w:rFonts w:ascii="Arial" w:hAnsi="Arial" w:cs="Arial"/>
                <w:sz w:val="16"/>
                <w:szCs w:val="16"/>
              </w:rPr>
              <w:t>nebude vzdělávací aktivity poskytované uvedenými subjekty podporovat (pokud budou mít tyto subjekty zájem figurovat na seznamu možných dodavatelů vzdělávacích aktivit). Seznam je dle dohody dán subjekty inovačních infrastruktur v ČR – inovační centra (</w:t>
            </w:r>
            <w:hyperlink r:id="rId7" w:history="1">
              <w:r w:rsidR="00445C16" w:rsidRPr="00EE58D1">
                <w:rPr>
                  <w:rStyle w:val="Hypertextovodkaz"/>
                  <w:rFonts w:ascii="Arial" w:hAnsi="Arial" w:cs="Arial"/>
                  <w:sz w:val="16"/>
                  <w:szCs w:val="16"/>
                </w:rPr>
                <w:t>https://www.jic.cz/ebn</w:t>
              </w:r>
            </w:hyperlink>
            <w:r w:rsidR="00445C16" w:rsidRPr="00C71A97">
              <w:rPr>
                <w:rFonts w:ascii="Arial" w:hAnsi="Arial" w:cs="Arial"/>
                <w:sz w:val="16"/>
                <w:szCs w:val="16"/>
              </w:rPr>
              <w:t>/), VTP a podnikatelské inkubátory (</w:t>
            </w:r>
            <w:hyperlink r:id="rId8" w:history="1">
              <w:r w:rsidR="00445C16" w:rsidRPr="00EE58D1">
                <w:rPr>
                  <w:rStyle w:val="Hypertextovodkaz"/>
                  <w:rFonts w:ascii="Arial" w:hAnsi="Arial" w:cs="Arial"/>
                  <w:sz w:val="16"/>
                  <w:szCs w:val="16"/>
                </w:rPr>
                <w:t>https://www.svtp.cz/katalog/</w:t>
              </w:r>
            </w:hyperlink>
            <w:r w:rsidR="00445C16" w:rsidRPr="00C71A97">
              <w:rPr>
                <w:rFonts w:ascii="Arial" w:hAnsi="Arial" w:cs="Arial"/>
                <w:sz w:val="16"/>
                <w:szCs w:val="16"/>
              </w:rPr>
              <w:t>) a vybraných kandidátů na Evropská centra pro digitální inovace pro Evropské Digitální a inovační huby (e DIH)</w:t>
            </w:r>
            <w:r w:rsidR="00445C16">
              <w:rPr>
                <w:rFonts w:ascii="Arial" w:hAnsi="Arial" w:cs="Arial"/>
                <w:sz w:val="16"/>
                <w:szCs w:val="16"/>
              </w:rPr>
              <w:t xml:space="preserve"> zveřejněných na internetových stránkách MPO.</w:t>
            </w:r>
          </w:p>
          <w:p w:rsidR="00816043" w:rsidRPr="00445C16" w:rsidRDefault="006D3117" w:rsidP="00445C16">
            <w:pPr>
              <w:pStyle w:val="Odstavecseseznamem"/>
              <w:ind w:left="0"/>
              <w:contextualSpacing w:val="0"/>
              <w:jc w:val="both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671100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OP Z+ podporuje další vzdělávání pracovníků, rozvoj dovedností pracovní síly v podnicích a rekvalifikace zaměřené na získávání a prohlubování odborných a klíčových kompetencí, včetně osvojení nových dovedností v oblastech spojených se socioekonomickými a environmentálními změnami a 4. průmyslovou revolucí. 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11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K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potenciálnímu 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překryvu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může docházet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 uhelných regionech.</w:t>
            </w:r>
            <w:r w:rsidR="005B486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Jednání k řešení potenciálních překryvů aktuálně probíhají.</w:t>
            </w:r>
          </w:p>
        </w:tc>
        <w:tc>
          <w:tcPr>
            <w:tcW w:w="1466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9A637C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Překryv je vymezen na úrovni způsobilých výdajů. </w:t>
            </w:r>
          </w:p>
          <w:p w:rsidR="009A637C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 rámci OP R budou podporovány inovace v oblasti akvakultury. Způsobilými příjemci budou fyzické a právnické osoby a veřejnoprávní subjekty.  </w:t>
            </w:r>
          </w:p>
          <w:p w:rsidR="00816043" w:rsidRPr="00C71A97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 OP TAK mohou být podporovány zvláštní </w:t>
            </w:r>
            <w:proofErr w:type="gramStart"/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formy  rozvoje</w:t>
            </w:r>
            <w:proofErr w:type="gramEnd"/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inovativního potenciálu (např. technologická centra). Tyto způsobilé výdaje budou explicitně vyloučeny z podpory v OP R. 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43" w:rsidRDefault="009054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Aktivita </w:t>
            </w:r>
            <w:r w:rsidR="00816043"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Inovace</w:t>
            </w:r>
          </w:p>
          <w:p w:rsidR="009A637C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MZe</w:t>
            </w:r>
            <w:proofErr w:type="spellEnd"/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 rámci NACE 01, MPO od NACE 10 (potravinářství) dále, přičemž se jedná o zaměření projektu a nikoli o zaměření žadatele</w:t>
            </w:r>
            <w:r w:rsidR="009A637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  <w:p w:rsidR="00816043" w:rsidRPr="00C71A97" w:rsidRDefault="009A637C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</w:t>
            </w:r>
            <w:r w:rsidR="00816043"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bývá vyjasnit intervence do výzkumu a vývoje v oblasti </w:t>
            </w:r>
            <w:proofErr w:type="gramStart"/>
            <w:r w:rsidR="00816043"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prvovýroby - Toto</w:t>
            </w:r>
            <w:proofErr w:type="gramEnd"/>
            <w:r w:rsidR="00816043"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je dotováno z národních zdrojů Národní agenturou pro zemědělství, OP TAK může teoreticky intervenovat i zde, pokud nedojde k překryvu s národními zdroji, bude ještě dořešeno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</w:tc>
      </w:tr>
      <w:tr w:rsidR="00C47815" w:rsidRPr="00C71A97" w:rsidTr="00445C16">
        <w:trPr>
          <w:cantSplit/>
          <w:trHeight w:val="2760"/>
          <w:jc w:val="center"/>
        </w:trPr>
        <w:tc>
          <w:tcPr>
            <w:tcW w:w="83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73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SC 1.2</w:t>
            </w:r>
          </w:p>
          <w:p w:rsidR="00816043" w:rsidRPr="00C71A97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Využití přínosů digitalizace pro občany, podniky a vlády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C47815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043" w:rsidRPr="00C71A97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IROP řeší </w:t>
            </w:r>
            <w:r w:rsidR="000D7ED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projekty v rámci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státní správu</w:t>
            </w:r>
            <w:r w:rsidR="000D7ED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(e-</w:t>
            </w:r>
            <w:proofErr w:type="spellStart"/>
            <w:r w:rsidR="000D7ED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government</w:t>
            </w:r>
            <w:proofErr w:type="spellEnd"/>
            <w:r w:rsidR="000D7ED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)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, OP TAK soukromý/podnikatelský sektor.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5B486D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B486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Podpora této oblasti z OP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ST</w:t>
            </w:r>
            <w:r w:rsidRPr="005B486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transformace není v tuto chvíli plánována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, k přeryvu tak nedochází</w:t>
            </w:r>
            <w:r w:rsidRPr="005B486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466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7ED4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Překryv je vymezen na úrovni způsobilých výdajů. </w:t>
            </w:r>
          </w:p>
          <w:p w:rsidR="00E217BD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 OP R budou financovány výdaje spojené s digitalizací v oblasti akvakultury. </w:t>
            </w:r>
          </w:p>
          <w:p w:rsidR="00816043" w:rsidRPr="00C71A97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 OP TAK potom způsobilé výdaje spojené s digitalizací mimo oblast akvakultury.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816043" w:rsidP="00064B73">
            <w:pPr>
              <w:spacing w:after="2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Řízení prvovýroby </w:t>
            </w:r>
            <w:r w:rsidR="00E217B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bude podporováno v rámci SP </w:t>
            </w:r>
            <w:proofErr w:type="gramStart"/>
            <w:r w:rsidR="00E217B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SZP.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-</w:t>
            </w:r>
            <w:proofErr w:type="gramEnd"/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hranice vymezena p</w:t>
            </w:r>
            <w:r w:rsidR="00E217B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rostřednictvím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NACE 01, tzn. MPO ostatní NACE vyjma prvovýroby.</w:t>
            </w:r>
          </w:p>
        </w:tc>
      </w:tr>
      <w:tr w:rsidR="00C47815" w:rsidRPr="00C71A97" w:rsidTr="00445C16">
        <w:trPr>
          <w:cantSplit/>
          <w:trHeight w:val="3270"/>
          <w:jc w:val="center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CP </w:t>
            </w:r>
            <w:r w:rsidR="00064B7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64B73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SC 2.1</w:t>
            </w:r>
          </w:p>
          <w:p w:rsidR="00816043" w:rsidRPr="00C71A97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Posílení růstu a konkurenceschopnosti malých a středních podniků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5B486D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K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potenciálnímu 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překryvu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může docházet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 uhelných regionech.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Jednání k řešení potenciálních překryvů aktuálně probíhají.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E217BD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Překryv je jasně vymezen na úrovni způsobilých výdajů. </w:t>
            </w:r>
          </w:p>
          <w:p w:rsidR="00E217BD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 OP R budou financovány výdaje spojené s posilováním růstu a konkurenceschopnosti v oblasti akvakultury. </w:t>
            </w:r>
          </w:p>
          <w:p w:rsidR="00816043" w:rsidRPr="00C71A97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 OP TAK potom způsobilé výdaje spojené s růstem a konkurenceschopnosti mimo oblast akvakultury.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815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</w:t>
            </w:r>
            <w:r w:rsidR="00C4781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TAK bude využívat čl. 14</w:t>
            </w:r>
            <w:r w:rsidR="00C4781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GBER.</w:t>
            </w:r>
          </w:p>
          <w:p w:rsidR="00816043" w:rsidRPr="00C71A97" w:rsidRDefault="00C47815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Plánováno </w:t>
            </w:r>
            <w:r w:rsidR="00816043"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ještě jednání mezi MPO, </w:t>
            </w:r>
            <w:proofErr w:type="spellStart"/>
            <w:r w:rsidR="00816043"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MZe</w:t>
            </w:r>
            <w:proofErr w:type="spellEnd"/>
            <w:r w:rsidR="00816043"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 NS MAS</w:t>
            </w:r>
            <w:r w:rsidR="00E217B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k dořešení projektů realizovaných v režimu CLLD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</w:tc>
      </w:tr>
      <w:tr w:rsidR="00C47815" w:rsidRPr="00C71A97" w:rsidTr="00445C16">
        <w:trPr>
          <w:cantSplit/>
          <w:trHeight w:val="1932"/>
          <w:jc w:val="center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lastRenderedPageBreak/>
              <w:t xml:space="preserve">CP </w:t>
            </w:r>
            <w:r w:rsidR="00064B7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73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SC 3.1</w:t>
            </w:r>
          </w:p>
          <w:p w:rsidR="00816043" w:rsidRPr="00C71A97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Zvýšení digitálního propojení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5B486D" w:rsidP="005B48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K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potenciálnímu 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překryvu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může docházet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 uhelných regionech.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Jednání k řešení potenciálních překryvů aktuálně probíhají.</w:t>
            </w:r>
            <w:r>
              <w:t xml:space="preserve"> </w:t>
            </w:r>
            <w:r w:rsidRPr="00A24FB2">
              <w:rPr>
                <w:rFonts w:ascii="Arial" w:hAnsi="Arial" w:cs="Arial"/>
                <w:sz w:val="16"/>
                <w:szCs w:val="16"/>
              </w:rPr>
              <w:t>V</w:t>
            </w:r>
            <w:r w:rsidRPr="00A24FB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rámci </w:t>
            </w:r>
            <w:r w:rsidRPr="005B486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podrobného mapování potřeb pro plné pokrytí rozvoje VRI v uhelných regionech, byla ze strany MPO definována potřebná alokace, která není pokryta z jiných zdrojů a přichází tak v úvahu její podpora z OP ST (397 071 429 </w:t>
            </w:r>
            <w:proofErr w:type="gramStart"/>
            <w:r w:rsidRPr="005B486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Kč - Vybudování</w:t>
            </w:r>
            <w:proofErr w:type="gramEnd"/>
            <w:r w:rsidRPr="005B486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vysokokapacitních přípojných sítí do obcí; 1 263 642 857 Kč - VHCN pro domácnosti a MSP).</w:t>
            </w:r>
          </w:p>
        </w:tc>
        <w:tc>
          <w:tcPr>
            <w:tcW w:w="146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 OP R nebudou podporovány výdaje spojené se zvýšením digitálního propojení.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Z OP TAK budou podporovány výdaje spojené se zvyšováním digitálního propojení ve všech oblastech.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</w:tr>
      <w:tr w:rsidR="00C47815" w:rsidRPr="00C71A97" w:rsidTr="00445C16">
        <w:trPr>
          <w:cantSplit/>
          <w:trHeight w:val="2400"/>
          <w:jc w:val="center"/>
        </w:trPr>
        <w:tc>
          <w:tcPr>
            <w:tcW w:w="83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lastRenderedPageBreak/>
              <w:t xml:space="preserve">CP </w:t>
            </w:r>
            <w:r w:rsidR="00064B7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73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SC 4.1</w:t>
            </w:r>
          </w:p>
          <w:p w:rsidR="006D6013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Podpora opatření v</w:t>
            </w:r>
          </w:p>
          <w:p w:rsidR="00816043" w:rsidRPr="00C71A97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oblasti energetické účinnosti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DE2" w:rsidRDefault="003A6DE2" w:rsidP="003A6DE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Překryv je vymezen na úrovni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příjemců.</w:t>
            </w:r>
          </w:p>
          <w:p w:rsidR="003A6DE2" w:rsidRDefault="003A6DE2" w:rsidP="003A6DE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Veřejný sektor bude podporován z OP ŽP a soukromý/podnikatelský sektor v rámci OP TAK.</w:t>
            </w:r>
          </w:p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5B486D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B486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Podpora </w:t>
            </w:r>
            <w:r w:rsidR="00A058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individuálních projektů </w:t>
            </w:r>
            <w:r w:rsidRPr="005B486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této oblasti </w:t>
            </w:r>
            <w:r w:rsidR="00A058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 podnikatelském sektoru </w:t>
            </w:r>
            <w:r w:rsidRPr="005B486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 OP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ST</w:t>
            </w:r>
            <w:r w:rsidRPr="005B486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transformace není v tuto chvíli plánována</w:t>
            </w:r>
            <w:r w:rsidR="00A058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 OP ST se zaměřuje na podporu větších komplexních projektů (viz projekty uvedené v PSÚT), u kterých představují úspory energie pouze dílčí aktivitu.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="00A058B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 podporu individuálních projektů zaměřených primárně na úspory energie v podnikatelském sektoru bude na území uhelných regionů využit OP TAK.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6DE2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Překryv je vymezen na úrovni způsobilých výdajů. </w:t>
            </w:r>
          </w:p>
          <w:p w:rsidR="003A6DE2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 OP R budou financovány výdaje spojené s posilováním energetické účinnosti v oblasti akvakultury a činností přímo spojených s akvakulturou. </w:t>
            </w:r>
          </w:p>
          <w:p w:rsidR="00816043" w:rsidRPr="00C71A97" w:rsidRDefault="003A6DE2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 případě pochybností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bude </w:t>
            </w:r>
            <w:r w:rsidR="00816043"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vymezení</w:t>
            </w:r>
            <w:proofErr w:type="gramEnd"/>
            <w:r w:rsidR="00816043"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překryvu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řešeno </w:t>
            </w:r>
            <w:r w:rsidR="00816043"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vzájemnou komunikací mezi ŘO.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CD2BD0" w:rsidP="00064B73">
            <w:pPr>
              <w:spacing w:after="2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 </w:t>
            </w:r>
            <w:r w:rsidR="00816043"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OP TAK </w:t>
            </w:r>
            <w:r w:rsidR="00024A0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lze</w:t>
            </w:r>
            <w:r w:rsidR="00816043"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zahrn</w:t>
            </w:r>
            <w:r w:rsidR="00024A0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out</w:t>
            </w:r>
            <w:r w:rsidR="00816043"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prvovýrobu i zpracování</w:t>
            </w:r>
            <w:r w:rsidR="00024A0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, která nebude podpořena v rámci SP SZP.</w:t>
            </w:r>
          </w:p>
        </w:tc>
      </w:tr>
      <w:tr w:rsidR="00C47815" w:rsidRPr="00C71A97" w:rsidTr="00445C16">
        <w:trPr>
          <w:cantSplit/>
          <w:trHeight w:val="2550"/>
          <w:jc w:val="center"/>
        </w:trPr>
        <w:tc>
          <w:tcPr>
            <w:tcW w:w="83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6043" w:rsidRPr="00C71A97" w:rsidRDefault="00816043" w:rsidP="008160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73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SC 4.2</w:t>
            </w:r>
          </w:p>
          <w:p w:rsidR="00816043" w:rsidRPr="00C71A97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Podpora energie z obnovitelných zdrojů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DE2" w:rsidRDefault="003A6DE2" w:rsidP="003A6DE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Překryv je vymezen na úrovni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příjemců.</w:t>
            </w:r>
          </w:p>
          <w:p w:rsidR="003A6DE2" w:rsidRDefault="003A6DE2" w:rsidP="003A6DE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Veřejný sektor bude podporován z OP ŽP a soukromý/podnikatelský sektor v rámci OP TAK.</w:t>
            </w:r>
          </w:p>
          <w:p w:rsidR="003A6DE2" w:rsidRDefault="003A6DE2" w:rsidP="003A6DE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OP ŽP 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budou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dále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podporovat výstavbu bioplynových stanic na odpad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A058BE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B486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Podpora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individuálních projektů </w:t>
            </w:r>
            <w:r w:rsidRPr="005B486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této oblasti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 podnikatelském sektoru </w:t>
            </w:r>
            <w:r w:rsidRPr="005B486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 OP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ST</w:t>
            </w:r>
            <w:r w:rsidRPr="005B486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transformace není v tuto chvíli plánována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 OP ST se zaměřuje na podporu větších komplexních projektů, u kterých představuje podpora OZE pouze dílčí aktivitu (viz projekty uvedené v PSÚT). Pro podporu individuálních projektů zaměřených primárně na podporu OZE v podnikatelském sektoru bude na území uhelných regionů využit OP TAK.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6DE2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Překryv je jasně vymezen na úrovni způsobilých výdajů. </w:t>
            </w:r>
          </w:p>
          <w:p w:rsidR="003A6DE2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 OP R budou financovány výdaje na podporu energie z obnovitelných zdrojů v oblasti akvakultury. </w:t>
            </w:r>
          </w:p>
          <w:p w:rsidR="00816043" w:rsidRPr="00C71A97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 OP TAK nemohou být takové výdaje pro oblast akvakultury podpořeny z důvodu aplikace GBER.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3A6DE2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OP TAK </w:t>
            </w:r>
            <w:r w:rsidR="00816043"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bude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podporovat v návaznosti </w:t>
            </w:r>
            <w:r w:rsidR="00816043"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na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výstavbu</w:t>
            </w:r>
            <w:r w:rsidR="00816043"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bioplynových stanic na odpady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(z OP ŽP)</w:t>
            </w:r>
            <w:r w:rsidR="00816043"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návazná zařízení typu čištění a vtláčení bioplynu, toto lze i pro zemědělské prvovýrobce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</w:tc>
      </w:tr>
      <w:tr w:rsidR="00C47815" w:rsidRPr="00C71A97" w:rsidTr="00445C16">
        <w:trPr>
          <w:cantSplit/>
          <w:trHeight w:val="1440"/>
          <w:jc w:val="center"/>
        </w:trPr>
        <w:tc>
          <w:tcPr>
            <w:tcW w:w="83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6043" w:rsidRPr="00C71A97" w:rsidRDefault="00816043" w:rsidP="008160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B73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SC 4.3</w:t>
            </w:r>
          </w:p>
          <w:p w:rsidR="00816043" w:rsidRPr="00C71A97" w:rsidRDefault="00816043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Rozvoj inteligentních energetických systémů, sítí a skladování na místní úrovni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A058BE" w:rsidP="00064B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K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potenciálnímu 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překryvu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může docházet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 uhelných regionech.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Jednání k řešení potenciálních překryvů aktuálně probíhají.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776048" w:rsidP="007760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43" w:rsidRPr="00C71A97" w:rsidRDefault="00816043" w:rsidP="00064B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</w:tr>
      <w:tr w:rsidR="00C47815" w:rsidRPr="00C71A97" w:rsidTr="00445C16">
        <w:trPr>
          <w:cantSplit/>
          <w:trHeight w:val="2484"/>
          <w:jc w:val="center"/>
        </w:trPr>
        <w:tc>
          <w:tcPr>
            <w:tcW w:w="83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58BE" w:rsidRPr="00C71A97" w:rsidRDefault="00A058BE" w:rsidP="00A058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8BE" w:rsidRDefault="00A058BE" w:rsidP="00A058B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SC 4.4</w:t>
            </w:r>
          </w:p>
          <w:p w:rsidR="00A058BE" w:rsidRPr="00C71A97" w:rsidRDefault="00A058BE" w:rsidP="00A058B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Posílení biologické rozmanitosti, zelené infrastruktury v městském prostředí a snížení znečištění (podpora čisté mobility)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8BE" w:rsidRPr="00C71A97" w:rsidRDefault="00A058BE" w:rsidP="00A05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8BE" w:rsidRPr="00C71A97" w:rsidRDefault="00A058BE" w:rsidP="00A058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OPŽP podporuje </w:t>
            </w:r>
            <w:proofErr w:type="spellStart"/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veřejn</w:t>
            </w:r>
            <w:r w:rsidR="0015775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ý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sektor</w:t>
            </w:r>
            <w:proofErr w:type="spellEnd"/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(obce, města, včetně subjektů vlastněných obcemi).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="0015775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 TAK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podporuje </w:t>
            </w:r>
            <w:r w:rsidR="0015775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soukromý/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podnikatelský sektor.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8BE" w:rsidRPr="00C71A97" w:rsidRDefault="00157752" w:rsidP="00A058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</w:t>
            </w:r>
            <w:r w:rsidR="00A058BE"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D podporuje veřejnou, páteřní a doplňkovou infrastrukturu.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 TAK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podporuje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soukromý/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podnikatelský sektor.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8BE" w:rsidRPr="00C71A97" w:rsidRDefault="00A058BE" w:rsidP="00A05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752" w:rsidRDefault="00157752" w:rsidP="00A058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  <w:p w:rsidR="00157752" w:rsidRDefault="00157752" w:rsidP="00A058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  <w:p w:rsidR="00157752" w:rsidRDefault="00157752" w:rsidP="00A058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  <w:p w:rsidR="00157752" w:rsidRDefault="00157752" w:rsidP="00A058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  <w:p w:rsidR="00157752" w:rsidRDefault="00157752" w:rsidP="00A058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  <w:p w:rsidR="00157752" w:rsidRDefault="00157752" w:rsidP="00A058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  <w:p w:rsidR="00157752" w:rsidRDefault="00157752" w:rsidP="00A058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  <w:p w:rsidR="00157752" w:rsidRDefault="00157752" w:rsidP="00A058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  <w:p w:rsidR="00157752" w:rsidRDefault="00157752" w:rsidP="00A058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  <w:p w:rsidR="00A058BE" w:rsidRDefault="00A058BE" w:rsidP="00A058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IROP </w:t>
            </w:r>
            <w:r w:rsidR="0015775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podporuje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veřejnou dopravu, </w:t>
            </w:r>
            <w:r w:rsidR="0015775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 TAK</w:t>
            </w:r>
            <w:r w:rsidR="00157752"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podporuje </w:t>
            </w:r>
            <w:r w:rsidR="0015775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soukromý/</w:t>
            </w:r>
            <w:r w:rsidR="00157752"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podnikatelský sektor.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8BE" w:rsidRPr="00C71A97" w:rsidRDefault="00A058BE" w:rsidP="00A058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B486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Podpora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čisté mobility</w:t>
            </w:r>
            <w:r w:rsidRPr="005B486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z OP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ST</w:t>
            </w:r>
            <w:r w:rsidRPr="005B486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není v tuto chvíli plánována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, k přeryvu tak nedochází</w:t>
            </w:r>
            <w:r w:rsidRPr="005B486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7752" w:rsidRDefault="00A058BE" w:rsidP="00A058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Překryv je vymezen na úrovni způsobilých výdajů. </w:t>
            </w:r>
          </w:p>
          <w:p w:rsidR="00A058BE" w:rsidRPr="00C71A97" w:rsidRDefault="00A058BE" w:rsidP="00A058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 OP R budou financovány výdaje spojené s podporou čisté mobility v oblasti akvakultury. 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Z OP TAK potom způsobilé výdaje spojené s</w:t>
            </w:r>
            <w:r w:rsidR="0015775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čistou mobilitou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mimo oblast akvakultury.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8BE" w:rsidRPr="00C71A97" w:rsidRDefault="00157752" w:rsidP="00A058BE">
            <w:pPr>
              <w:spacing w:after="2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</w:t>
            </w:r>
            <w:r w:rsidR="00A058BE"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OP TAK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bude podporována čistá mobility </w:t>
            </w:r>
            <w:r w:rsidR="00A058BE"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bez omezení odvětví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</w:tc>
      </w:tr>
      <w:tr w:rsidR="00C47815" w:rsidRPr="00C71A97" w:rsidTr="00445C16">
        <w:trPr>
          <w:cantSplit/>
          <w:trHeight w:val="2484"/>
          <w:jc w:val="center"/>
        </w:trPr>
        <w:tc>
          <w:tcPr>
            <w:tcW w:w="83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8BE" w:rsidRPr="00C71A97" w:rsidRDefault="00A058BE" w:rsidP="00A05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CP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8BE" w:rsidRDefault="00A058BE" w:rsidP="00A058B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SC 5.1</w:t>
            </w:r>
          </w:p>
          <w:p w:rsidR="00A058BE" w:rsidRPr="00C71A97" w:rsidRDefault="00A058BE" w:rsidP="00A058B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Podpora přizpůsobení se změnám klimatu, prevence rizik a odolnosti vůči katastrofám (podpora průmyslového hospodaření s vodou)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8BE" w:rsidRPr="00C71A97" w:rsidRDefault="00A058BE" w:rsidP="00A05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8BE" w:rsidRPr="00C71A97" w:rsidRDefault="00A058BE" w:rsidP="00A058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OPŽP podporuje veřejn</w:t>
            </w:r>
            <w:r w:rsidR="0015775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ý sektor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(obce, města, včetně subjektů vlastněných obcemi).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="0015775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 TAK</w:t>
            </w:r>
            <w:r w:rsidR="00157752"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podporuje </w:t>
            </w:r>
            <w:r w:rsidR="0015775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soukromý/</w:t>
            </w:r>
            <w:r w:rsidR="00157752"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podnikatelský sektor</w:t>
            </w:r>
            <w:r w:rsidR="0015775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, přičemž p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odp</w:t>
            </w:r>
            <w:r w:rsidR="0015775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ra je omezena </w:t>
            </w:r>
            <w:r w:rsidR="0015775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pouze 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na podnikatelské areály.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8BE" w:rsidRPr="00C71A97" w:rsidRDefault="00A058BE" w:rsidP="00A05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8BE" w:rsidRPr="00C71A97" w:rsidRDefault="00A058BE" w:rsidP="00A05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BE" w:rsidRPr="00C71A97" w:rsidRDefault="00A058BE" w:rsidP="00A05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8BE" w:rsidRPr="00C71A97" w:rsidRDefault="00A058BE" w:rsidP="00A058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B486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Podpora </w:t>
            </w:r>
            <w:r w:rsidR="0015775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úspory vody</w:t>
            </w:r>
            <w:r w:rsidRPr="005B486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z OP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ST</w:t>
            </w:r>
            <w:r w:rsidRPr="005B486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není v tuto chvíli plánována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, k přeryvu tak nedochází</w:t>
            </w:r>
            <w:r w:rsidRPr="005B486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752" w:rsidRDefault="00A058BE" w:rsidP="00A058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Překryv je vymezen na úrovni způsobilých výdajů. </w:t>
            </w:r>
          </w:p>
          <w:p w:rsidR="00157752" w:rsidRDefault="00A058BE" w:rsidP="00A058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 OP R budou financovány výdaje spojené s hospodařením s vodou v oblasti akvakultury. </w:t>
            </w:r>
          </w:p>
          <w:p w:rsidR="00A058BE" w:rsidRPr="00C71A97" w:rsidRDefault="00A058BE" w:rsidP="00A058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 OP TAK </w:t>
            </w:r>
            <w:r w:rsidR="0015775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jsou podporovány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způsobilé výdaje spojené s hospodařením s vodou mimo akvakulturu.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8BE" w:rsidRPr="00C71A97" w:rsidRDefault="00A058BE" w:rsidP="00A058BE">
            <w:pPr>
              <w:spacing w:after="2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OP TAK </w:t>
            </w:r>
            <w:r w:rsidR="0015775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nebude podporovat projekty v oblasti 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zeměděls</w:t>
            </w:r>
            <w:r w:rsidR="0015775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ké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prvovýro</w:t>
            </w:r>
            <w:r w:rsidR="0015775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by.</w:t>
            </w:r>
          </w:p>
        </w:tc>
      </w:tr>
      <w:tr w:rsidR="00C47815" w:rsidRPr="00C71A97" w:rsidTr="00445C16">
        <w:trPr>
          <w:cantSplit/>
          <w:trHeight w:val="2208"/>
          <w:jc w:val="center"/>
        </w:trPr>
        <w:tc>
          <w:tcPr>
            <w:tcW w:w="83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58BE" w:rsidRPr="00C71A97" w:rsidRDefault="00A058BE" w:rsidP="00A058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8BE" w:rsidRDefault="00A058BE" w:rsidP="00A058B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SC 5.2</w:t>
            </w:r>
          </w:p>
          <w:p w:rsidR="00A058BE" w:rsidRPr="00C71A97" w:rsidRDefault="00A058BE" w:rsidP="00A058B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Podpora přechodu k oběhovému hospodářství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8BE" w:rsidRPr="00C71A97" w:rsidRDefault="00A058BE" w:rsidP="00A05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8BE" w:rsidRPr="00C71A97" w:rsidRDefault="00A058BE" w:rsidP="00A058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Překryv vymezen na základě dohody MPO a MŽP o hraničních oblastech.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MPO podporuje zpracování druhotných surovin a vybrané skupiny odpadů produkovaných v podnikatelském sektoru.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8BE" w:rsidRPr="00C71A97" w:rsidRDefault="00A058BE" w:rsidP="00A05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8BE" w:rsidRPr="00C71A97" w:rsidRDefault="00A058BE" w:rsidP="00A05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8BE" w:rsidRPr="00C71A97" w:rsidRDefault="00A058BE" w:rsidP="00A058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N/R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8BE" w:rsidRPr="00C71A97" w:rsidRDefault="00A058BE" w:rsidP="00A058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K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potenciálnímu 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překryvu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může docházet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 uhelných regionech.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Jednání k řešení potenciálních překryvů aktuálně probíhají.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752" w:rsidRDefault="00A058BE" w:rsidP="00A058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Překryv je vymezen na úrovni způsobilých výdajů. </w:t>
            </w:r>
          </w:p>
          <w:p w:rsidR="00157752" w:rsidRDefault="00A058BE" w:rsidP="00A058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 OP R budou </w:t>
            </w:r>
            <w:r w:rsidR="0015775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podporovány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výdaje spojené s přechodem na oběhové hospodářství v oblasti akvakultury. </w:t>
            </w:r>
          </w:p>
          <w:p w:rsidR="00A058BE" w:rsidRPr="00C71A97" w:rsidRDefault="00A058BE" w:rsidP="00A058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 OP TAK potom způsobilé výdaje spojené s přechodem k oběhovému hospodářství mimo akvakulturu.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752" w:rsidRDefault="00A058BE" w:rsidP="00A058BE">
            <w:pPr>
              <w:spacing w:after="2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Zemědělské odpady spadají do kompetence MŽP</w:t>
            </w:r>
            <w:r w:rsidR="0015775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– SP SZP.</w:t>
            </w:r>
            <w:r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</w:p>
          <w:p w:rsidR="00A058BE" w:rsidRPr="00C71A97" w:rsidRDefault="00157752" w:rsidP="00A058BE">
            <w:pPr>
              <w:spacing w:after="24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 OP TAK možno podpořit projekty v případě, že </w:t>
            </w:r>
            <w:r w:rsidR="00A058BE"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by zeměděl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ští podnikatelé</w:t>
            </w:r>
            <w:bookmarkStart w:id="0" w:name="_GoBack"/>
            <w:bookmarkEnd w:id="0"/>
            <w:r w:rsidR="00A058BE" w:rsidRPr="00C71A9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měli přidruženou výrobu produkující odpady, které by zpracovávali.</w:t>
            </w:r>
          </w:p>
        </w:tc>
      </w:tr>
    </w:tbl>
    <w:p w:rsidR="00CD5D35" w:rsidRPr="00C71A97" w:rsidRDefault="00CD5D35">
      <w:pPr>
        <w:rPr>
          <w:rFonts w:ascii="Arial" w:hAnsi="Arial" w:cs="Arial"/>
        </w:rPr>
      </w:pPr>
    </w:p>
    <w:sectPr w:rsidR="00CD5D35" w:rsidRPr="00C71A97" w:rsidSect="00C4781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14EE" w:rsidRDefault="007214EE" w:rsidP="007214EE">
      <w:pPr>
        <w:spacing w:after="0" w:line="240" w:lineRule="auto"/>
      </w:pPr>
      <w:r>
        <w:separator/>
      </w:r>
    </w:p>
  </w:endnote>
  <w:endnote w:type="continuationSeparator" w:id="0">
    <w:p w:rsidR="007214EE" w:rsidRDefault="007214EE" w:rsidP="00721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14EE" w:rsidRDefault="007214EE" w:rsidP="007214EE">
      <w:pPr>
        <w:spacing w:after="0" w:line="240" w:lineRule="auto"/>
      </w:pPr>
      <w:r>
        <w:separator/>
      </w:r>
    </w:p>
  </w:footnote>
  <w:footnote w:type="continuationSeparator" w:id="0">
    <w:p w:rsidR="007214EE" w:rsidRDefault="007214EE" w:rsidP="007214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D35"/>
    <w:rsid w:val="00024A09"/>
    <w:rsid w:val="00064B73"/>
    <w:rsid w:val="000D7ED4"/>
    <w:rsid w:val="00157752"/>
    <w:rsid w:val="00270056"/>
    <w:rsid w:val="003A6DE2"/>
    <w:rsid w:val="00445C16"/>
    <w:rsid w:val="005B486D"/>
    <w:rsid w:val="006D3117"/>
    <w:rsid w:val="006D6013"/>
    <w:rsid w:val="007214EE"/>
    <w:rsid w:val="00744558"/>
    <w:rsid w:val="00767B87"/>
    <w:rsid w:val="00776048"/>
    <w:rsid w:val="007914B3"/>
    <w:rsid w:val="00816043"/>
    <w:rsid w:val="008668FC"/>
    <w:rsid w:val="00905443"/>
    <w:rsid w:val="0092384D"/>
    <w:rsid w:val="009A637C"/>
    <w:rsid w:val="00A058BE"/>
    <w:rsid w:val="00A24FB2"/>
    <w:rsid w:val="00A508E4"/>
    <w:rsid w:val="00B519A2"/>
    <w:rsid w:val="00B76694"/>
    <w:rsid w:val="00B84B0F"/>
    <w:rsid w:val="00B859BA"/>
    <w:rsid w:val="00C47815"/>
    <w:rsid w:val="00C71A97"/>
    <w:rsid w:val="00C8148A"/>
    <w:rsid w:val="00CD2BD0"/>
    <w:rsid w:val="00CD5D35"/>
    <w:rsid w:val="00E217BD"/>
    <w:rsid w:val="00F50BAA"/>
    <w:rsid w:val="00F76732"/>
    <w:rsid w:val="00FD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2D76D"/>
  <w15:docId w15:val="{933944B1-0DDF-4BF8-A50A-1E1AD8172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519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214E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214E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214EE"/>
    <w:rPr>
      <w:vertAlign w:val="superscript"/>
    </w:rPr>
  </w:style>
  <w:style w:type="paragraph" w:styleId="Odstavecseseznamem">
    <w:name w:val="List Paragraph"/>
    <w:aliases w:val="Nad,Conclusion de partie,Odstavec cíl se seznamem,Odstavec se seznamem5,_Odstavec se seznamem,Seznam - odrážky,Fiche List Paragraph,List Paragraph (Czech Tourism),Název grafu,nad 1,Odstavec se seznamem2,List Paragraph,Odstavec_muj1"/>
    <w:basedOn w:val="Normln"/>
    <w:uiPriority w:val="34"/>
    <w:qFormat/>
    <w:rsid w:val="00270056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24FB2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24F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1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vtp.cz/katalo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jic.cz/eb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3DF6D-54D3-4DD6-9AB0-91F3DD435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BD5C47B1.dotm</Template>
  <TotalTime>128</TotalTime>
  <Pages>7</Pages>
  <Words>1609</Words>
  <Characters>9499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Juráš Pavel</cp:lastModifiedBy>
  <cp:revision>22</cp:revision>
  <dcterms:created xsi:type="dcterms:W3CDTF">2021-05-07T07:52:00Z</dcterms:created>
  <dcterms:modified xsi:type="dcterms:W3CDTF">2021-05-07T11:30:00Z</dcterms:modified>
</cp:coreProperties>
</file>