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1B4064">
        <w:rPr>
          <w:rFonts w:ascii="Arial" w:hAnsi="Arial" w:cs="Arial"/>
          <w:b/>
          <w:color w:val="0070C0"/>
          <w:sz w:val="28"/>
          <w:szCs w:val="28"/>
        </w:rPr>
        <w:t>e Koncepci činnosti Grantové agentury České republiky 2021+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E90F18" w:rsidRDefault="001B4064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s názvem „Koncepce činnosti Grantové agentury České republiky </w:t>
      </w:r>
      <w:r w:rsidR="00E44842">
        <w:rPr>
          <w:rFonts w:ascii="Arial" w:hAnsi="Arial" w:cs="Arial"/>
        </w:rPr>
        <w:t>2021+“ (dále jen „Koncepce</w:t>
      </w:r>
      <w:r>
        <w:rPr>
          <w:rFonts w:ascii="Arial" w:hAnsi="Arial" w:cs="Arial"/>
        </w:rPr>
        <w:t xml:space="preserve">“) </w:t>
      </w:r>
      <w:r w:rsidR="00E90F18">
        <w:rPr>
          <w:rFonts w:ascii="Arial" w:hAnsi="Arial" w:cs="Arial"/>
        </w:rPr>
        <w:t>byl zaslán předsedovi vlády a předsedovi Rady pro výzkum, vývoj a inovace</w:t>
      </w:r>
      <w:r w:rsidR="00921F88">
        <w:rPr>
          <w:rFonts w:ascii="Arial" w:hAnsi="Arial" w:cs="Arial"/>
        </w:rPr>
        <w:t xml:space="preserve"> </w:t>
      </w:r>
      <w:r w:rsidR="00E90F18">
        <w:rPr>
          <w:rFonts w:ascii="Arial" w:hAnsi="Arial" w:cs="Arial"/>
        </w:rPr>
        <w:t>dopisem ředitelky Kanceláře Grantové agentury České republiky ze</w:t>
      </w:r>
      <w:r w:rsidR="00B13C0C">
        <w:rPr>
          <w:rFonts w:ascii="Arial" w:hAnsi="Arial" w:cs="Arial"/>
        </w:rPr>
        <w:t> </w:t>
      </w:r>
      <w:r w:rsidR="00E90F18">
        <w:rPr>
          <w:rFonts w:ascii="Arial" w:hAnsi="Arial" w:cs="Arial"/>
        </w:rPr>
        <w:t xml:space="preserve">dne 13. května 2021 čj. 24409/2021/GAČR/PAK se žádostí o </w:t>
      </w:r>
      <w:r w:rsidR="00B9243E">
        <w:rPr>
          <w:rFonts w:ascii="Arial" w:hAnsi="Arial" w:cs="Arial"/>
        </w:rPr>
        <w:t xml:space="preserve">předložení tohoto materiálu </w:t>
      </w:r>
      <w:r w:rsidR="00015E5D">
        <w:rPr>
          <w:rFonts w:ascii="Arial" w:hAnsi="Arial" w:cs="Arial"/>
        </w:rPr>
        <w:t>na program nejbližší schůze Rady pro výzkum, vývoj a inovace (dále jen „Rada“)</w:t>
      </w:r>
      <w:r w:rsidR="00E90F18">
        <w:rPr>
          <w:rFonts w:ascii="Arial" w:hAnsi="Arial" w:cs="Arial"/>
        </w:rPr>
        <w:t>.</w:t>
      </w:r>
    </w:p>
    <w:p w:rsidR="00C376B2" w:rsidRDefault="00E90F18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byl zařazen pro informaci </w:t>
      </w:r>
      <w:r w:rsidR="002953DA">
        <w:rPr>
          <w:rFonts w:ascii="Arial" w:hAnsi="Arial" w:cs="Arial"/>
        </w:rPr>
        <w:t>na</w:t>
      </w:r>
      <w:r w:rsidR="00B54BE5">
        <w:rPr>
          <w:rFonts w:ascii="Arial" w:hAnsi="Arial" w:cs="Arial"/>
        </w:rPr>
        <w:t> </w:t>
      </w:r>
      <w:r w:rsidR="00910B1F">
        <w:rPr>
          <w:rFonts w:ascii="Arial" w:hAnsi="Arial" w:cs="Arial"/>
        </w:rPr>
        <w:t xml:space="preserve">program </w:t>
      </w:r>
      <w:r>
        <w:rPr>
          <w:rFonts w:ascii="Arial" w:hAnsi="Arial" w:cs="Arial"/>
        </w:rPr>
        <w:t>368</w:t>
      </w:r>
      <w:r w:rsidR="00921F88">
        <w:rPr>
          <w:rFonts w:ascii="Arial" w:hAnsi="Arial" w:cs="Arial"/>
        </w:rPr>
        <w:t>.</w:t>
      </w:r>
      <w:r w:rsidR="009413E8">
        <w:rPr>
          <w:rFonts w:ascii="Arial" w:hAnsi="Arial" w:cs="Arial"/>
        </w:rPr>
        <w:t> </w:t>
      </w:r>
      <w:r w:rsidR="00921F88">
        <w:rPr>
          <w:rFonts w:ascii="Arial" w:hAnsi="Arial" w:cs="Arial"/>
        </w:rPr>
        <w:t xml:space="preserve">zasedání </w:t>
      </w:r>
      <w:r w:rsidR="007E0254">
        <w:rPr>
          <w:rFonts w:ascii="Arial" w:hAnsi="Arial" w:cs="Arial"/>
        </w:rPr>
        <w:t xml:space="preserve">Rady </w:t>
      </w:r>
      <w:r>
        <w:rPr>
          <w:rFonts w:ascii="Arial" w:hAnsi="Arial" w:cs="Arial"/>
        </w:rPr>
        <w:t>dne 28. května 2021 do bodu 368/C3</w:t>
      </w:r>
      <w:r w:rsidR="00B54BE5">
        <w:rPr>
          <w:rFonts w:ascii="Arial" w:hAnsi="Arial" w:cs="Arial"/>
        </w:rPr>
        <w:t xml:space="preserve">. </w:t>
      </w:r>
    </w:p>
    <w:p w:rsidR="00C34CE7" w:rsidRPr="00F565FD" w:rsidRDefault="00E90F18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Následně byl materiál zařazen na </w:t>
      </w:r>
      <w:r w:rsidR="00910B1F">
        <w:rPr>
          <w:rFonts w:ascii="Arial" w:hAnsi="Arial" w:cs="Arial"/>
        </w:rPr>
        <w:t xml:space="preserve">program </w:t>
      </w:r>
      <w:r>
        <w:rPr>
          <w:rFonts w:ascii="Arial" w:hAnsi="Arial" w:cs="Arial"/>
        </w:rPr>
        <w:t xml:space="preserve">369. zasedání Rady dne 25. června 2021 </w:t>
      </w:r>
      <w:r w:rsidR="00910B1F">
        <w:rPr>
          <w:rFonts w:ascii="Arial" w:hAnsi="Arial" w:cs="Arial"/>
        </w:rPr>
        <w:t xml:space="preserve">a předložen </w:t>
      </w:r>
      <w:r>
        <w:rPr>
          <w:rFonts w:ascii="Arial" w:hAnsi="Arial" w:cs="Arial"/>
        </w:rPr>
        <w:t xml:space="preserve">Radě </w:t>
      </w:r>
      <w:r w:rsidRPr="00B54BE5">
        <w:rPr>
          <w:rFonts w:ascii="Arial" w:hAnsi="Arial" w:cs="Arial"/>
        </w:rPr>
        <w:t>ke stanovisku ve smyslu ustanovení §</w:t>
      </w:r>
      <w:r>
        <w:rPr>
          <w:rFonts w:ascii="Arial" w:hAnsi="Arial" w:cs="Arial"/>
        </w:rPr>
        <w:t> </w:t>
      </w:r>
      <w:r w:rsidRPr="00B54BE5">
        <w:rPr>
          <w:rFonts w:ascii="Arial" w:hAnsi="Arial" w:cs="Arial"/>
        </w:rPr>
        <w:t>35</w:t>
      </w:r>
      <w:r>
        <w:rPr>
          <w:rFonts w:ascii="Arial" w:hAnsi="Arial" w:cs="Arial"/>
        </w:rPr>
        <w:t> </w:t>
      </w:r>
      <w:r w:rsidRPr="00B54BE5">
        <w:rPr>
          <w:rFonts w:ascii="Arial" w:hAnsi="Arial" w:cs="Arial"/>
        </w:rPr>
        <w:t>odst. 2 písm. i) zákona č.</w:t>
      </w:r>
      <w:r>
        <w:rPr>
          <w:rFonts w:ascii="Arial" w:hAnsi="Arial" w:cs="Arial"/>
        </w:rPr>
        <w:t> </w:t>
      </w:r>
      <w:r w:rsidRPr="00B54BE5">
        <w:rPr>
          <w:rFonts w:ascii="Arial" w:hAnsi="Arial" w:cs="Arial"/>
        </w:rPr>
        <w:t>130/2002 Sb</w:t>
      </w:r>
      <w:r w:rsidR="00910B1F">
        <w:rPr>
          <w:rFonts w:ascii="Arial" w:hAnsi="Arial" w:cs="Arial"/>
        </w:rPr>
        <w:t xml:space="preserve">., </w:t>
      </w:r>
      <w:r w:rsidR="00910B1F" w:rsidRPr="00910B1F">
        <w:rPr>
          <w:rFonts w:ascii="Arial" w:hAnsi="Arial" w:cs="Arial"/>
        </w:rPr>
        <w:t>o podpoře výzkumu, experimentálního vývoje a inovací z veřejných prostředků a o změně některých souvisejících zákonů (zákon o podpoře výzkumu, experimentálního vývoje a inovací), ve znění pozdějších předpisů.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1B3A9B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stanoviska ke Koncepci byl projednán a schválen</w:t>
      </w:r>
      <w:r w:rsidR="00B86F23">
        <w:rPr>
          <w:rFonts w:ascii="Arial" w:hAnsi="Arial" w:cs="Arial"/>
        </w:rPr>
        <w:t xml:space="preserve"> </w:t>
      </w:r>
      <w:r w:rsidR="00857720">
        <w:rPr>
          <w:rFonts w:ascii="Arial" w:hAnsi="Arial" w:cs="Arial"/>
        </w:rPr>
        <w:t xml:space="preserve">na 369. zasedání </w:t>
      </w:r>
      <w:r>
        <w:rPr>
          <w:rFonts w:ascii="Arial" w:hAnsi="Arial" w:cs="Arial"/>
        </w:rPr>
        <w:t xml:space="preserve">Rady </w:t>
      </w:r>
      <w:r w:rsidR="00857720">
        <w:rPr>
          <w:rFonts w:ascii="Arial" w:hAnsi="Arial" w:cs="Arial"/>
        </w:rPr>
        <w:t>dne 25. června</w:t>
      </w:r>
      <w:r w:rsidR="00921F88">
        <w:rPr>
          <w:rFonts w:ascii="Arial" w:hAnsi="Arial" w:cs="Arial"/>
        </w:rPr>
        <w:t xml:space="preserve"> 2021</w:t>
      </w:r>
      <w:r w:rsidR="00F565FD">
        <w:rPr>
          <w:rFonts w:ascii="Arial" w:hAnsi="Arial" w:cs="Arial"/>
        </w:rPr>
        <w:t>.</w:t>
      </w:r>
      <w:r w:rsidR="00092A95" w:rsidRPr="00F565FD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06258F" w:rsidRDefault="0006258F" w:rsidP="0006258F">
      <w:pPr>
        <w:spacing w:after="240"/>
        <w:jc w:val="both"/>
        <w:rPr>
          <w:rFonts w:ascii="Arial" w:hAnsi="Arial" w:cs="Arial"/>
          <w:bCs/>
        </w:rPr>
      </w:pPr>
      <w:r w:rsidRPr="0006258F">
        <w:rPr>
          <w:rFonts w:ascii="Arial" w:hAnsi="Arial" w:cs="Arial"/>
          <w:bCs/>
        </w:rPr>
        <w:t>Cílem Koncepce je potvrdit, stabilizovat a dále rozvíjet činnost GA ČR v pozici jedné z</w:t>
      </w:r>
      <w:r w:rsidR="005D7C50">
        <w:rPr>
          <w:rFonts w:ascii="Arial" w:hAnsi="Arial" w:cs="Arial"/>
          <w:bCs/>
        </w:rPr>
        <w:t> </w:t>
      </w:r>
      <w:r w:rsidRPr="0006258F">
        <w:rPr>
          <w:rFonts w:ascii="Arial" w:hAnsi="Arial" w:cs="Arial"/>
          <w:bCs/>
        </w:rPr>
        <w:t>vyspělých evropských grantových agentur zapojených do budování Evropského výzkumného prostoru ERA, podporující</w:t>
      </w:r>
      <w:r>
        <w:rPr>
          <w:rFonts w:ascii="Arial" w:hAnsi="Arial" w:cs="Arial"/>
          <w:bCs/>
        </w:rPr>
        <w:t xml:space="preserve">ch základní výzkum v celé šíři. </w:t>
      </w:r>
      <w:r w:rsidRPr="0006258F">
        <w:rPr>
          <w:rFonts w:ascii="Arial" w:hAnsi="Arial" w:cs="Arial"/>
          <w:bCs/>
        </w:rPr>
        <w:t>Vizí GA ČR pro následující roky je vytvářet podmínky pro excelentní výzkum ve všech vědních oblastech, napomáhat rozvoji mezinárodní vědecké spolupráce a v návaznosti na</w:t>
      </w:r>
      <w:r w:rsidR="005D7C50">
        <w:rPr>
          <w:rFonts w:ascii="Arial" w:hAnsi="Arial" w:cs="Arial"/>
          <w:bCs/>
        </w:rPr>
        <w:t> </w:t>
      </w:r>
      <w:r w:rsidRPr="0006258F">
        <w:rPr>
          <w:rFonts w:ascii="Arial" w:hAnsi="Arial" w:cs="Arial"/>
          <w:bCs/>
        </w:rPr>
        <w:t>současný systém zlepšovat podmínky pro podporu grantových projektů základního výzkumu a přispět tak k hlavnímu cíli vize České republiky jako země, která se stane nejen symbolem znalostí a pokročilých technologií, ale rovněž hostitelem nejvýznamnějších světových vědeckých kapacit a zemí pro budoucnost dle Inovační strategie České republiky 2019–2030. Hlavním cílem GA ČR je tak naplňovat tuto vizi v maximální možné míře s ohledem na omezené lidské, věcné a finanční možnosti ČR.</w:t>
      </w:r>
    </w:p>
    <w:p w:rsidR="0046471D" w:rsidRDefault="00C07578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Koncepce je v souladu s</w:t>
      </w:r>
      <w:r w:rsidR="0046471D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> </w:t>
      </w:r>
    </w:p>
    <w:p w:rsidR="0046471D" w:rsidRPr="00F80D1A" w:rsidRDefault="00C07578" w:rsidP="00F80D1A">
      <w:pPr>
        <w:pStyle w:val="Odstavecseseznamem"/>
        <w:numPr>
          <w:ilvl w:val="0"/>
          <w:numId w:val="31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t>Národní politikou výzkumu, vývoje a inovací České republiky 2021+ z</w:t>
      </w:r>
      <w:r w:rsidR="00285B23" w:rsidRPr="00F80D1A">
        <w:rPr>
          <w:rFonts w:ascii="Arial" w:hAnsi="Arial" w:cs="Arial"/>
          <w:bCs/>
        </w:rPr>
        <w:t> </w:t>
      </w:r>
      <w:r w:rsidRPr="00F80D1A">
        <w:rPr>
          <w:rFonts w:ascii="Arial" w:hAnsi="Arial" w:cs="Arial"/>
          <w:bCs/>
        </w:rPr>
        <w:t>hlediska příspěvku k pl</w:t>
      </w:r>
      <w:r w:rsidR="0046471D" w:rsidRPr="00F80D1A">
        <w:rPr>
          <w:rFonts w:ascii="Arial" w:hAnsi="Arial" w:cs="Arial"/>
          <w:bCs/>
        </w:rPr>
        <w:t>nění vybraných cílů a opatření,</w:t>
      </w:r>
    </w:p>
    <w:p w:rsidR="0046471D" w:rsidRPr="00F80D1A" w:rsidRDefault="00A62CCD" w:rsidP="00F80D1A">
      <w:pPr>
        <w:pStyle w:val="Odstavecseseznamem"/>
        <w:numPr>
          <w:ilvl w:val="0"/>
          <w:numId w:val="31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t xml:space="preserve">Implementací </w:t>
      </w:r>
      <w:r w:rsidR="00C07578" w:rsidRPr="00F80D1A">
        <w:rPr>
          <w:rFonts w:ascii="Arial" w:hAnsi="Arial" w:cs="Arial"/>
          <w:bCs/>
        </w:rPr>
        <w:t>Národní</w:t>
      </w:r>
      <w:r w:rsidRPr="00F80D1A">
        <w:rPr>
          <w:rFonts w:ascii="Arial" w:hAnsi="Arial" w:cs="Arial"/>
          <w:bCs/>
        </w:rPr>
        <w:t>ch priorit</w:t>
      </w:r>
      <w:r w:rsidR="00C07578" w:rsidRPr="00F80D1A">
        <w:rPr>
          <w:rFonts w:ascii="Arial" w:hAnsi="Arial" w:cs="Arial"/>
          <w:bCs/>
        </w:rPr>
        <w:t xml:space="preserve"> orientovaného výzkumu, experimentál</w:t>
      </w:r>
      <w:r w:rsidR="00065EFD" w:rsidRPr="00F80D1A">
        <w:rPr>
          <w:rFonts w:ascii="Arial" w:hAnsi="Arial" w:cs="Arial"/>
          <w:bCs/>
        </w:rPr>
        <w:t>ního vývoje a inovací z hlediska plánovaných kroků</w:t>
      </w:r>
      <w:r w:rsidR="00C07578" w:rsidRPr="00F80D1A">
        <w:rPr>
          <w:rFonts w:ascii="Arial" w:hAnsi="Arial" w:cs="Arial"/>
          <w:bCs/>
        </w:rPr>
        <w:t xml:space="preserve"> k podpoře orientovaného základního výzkumu, která by vyc</w:t>
      </w:r>
      <w:r w:rsidR="00065EFD" w:rsidRPr="00F80D1A">
        <w:rPr>
          <w:rFonts w:ascii="Arial" w:hAnsi="Arial" w:cs="Arial"/>
          <w:bCs/>
        </w:rPr>
        <w:t>házela především z Národních priorit orientovaného výzkumu, experimentálního vývoje a inovací</w:t>
      </w:r>
      <w:r w:rsidR="0046471D" w:rsidRPr="00F80D1A">
        <w:rPr>
          <w:rFonts w:ascii="Arial" w:hAnsi="Arial" w:cs="Arial"/>
          <w:bCs/>
        </w:rPr>
        <w:t>,</w:t>
      </w:r>
    </w:p>
    <w:p w:rsidR="00F01234" w:rsidRDefault="0046471D" w:rsidP="00F01234">
      <w:pPr>
        <w:pStyle w:val="Odstavecseseznamem"/>
        <w:numPr>
          <w:ilvl w:val="0"/>
          <w:numId w:val="31"/>
        </w:numPr>
        <w:spacing w:after="240"/>
        <w:jc w:val="both"/>
        <w:rPr>
          <w:rFonts w:ascii="Arial" w:hAnsi="Arial" w:cs="Arial"/>
          <w:bCs/>
        </w:rPr>
      </w:pPr>
      <w:r w:rsidRPr="00F80D1A">
        <w:rPr>
          <w:rFonts w:ascii="Arial" w:hAnsi="Arial" w:cs="Arial"/>
          <w:bCs/>
        </w:rPr>
        <w:lastRenderedPageBreak/>
        <w:t>Inovační strategií České republiky 2019-2030 z hlediska příspěvku</w:t>
      </w:r>
      <w:r w:rsidR="00285B23" w:rsidRPr="00F80D1A">
        <w:rPr>
          <w:rFonts w:ascii="Arial" w:hAnsi="Arial" w:cs="Arial"/>
          <w:bCs/>
        </w:rPr>
        <w:t xml:space="preserve"> k naplnění vize</w:t>
      </w:r>
      <w:r w:rsidR="003233B2" w:rsidRPr="00F80D1A">
        <w:rPr>
          <w:rFonts w:ascii="Arial" w:hAnsi="Arial" w:cs="Arial"/>
          <w:bCs/>
        </w:rPr>
        <w:t xml:space="preserve"> </w:t>
      </w:r>
      <w:r w:rsidR="00285B23" w:rsidRPr="00F80D1A">
        <w:rPr>
          <w:rFonts w:ascii="Arial" w:hAnsi="Arial" w:cs="Arial"/>
          <w:bCs/>
        </w:rPr>
        <w:t>v oblasti tvorby podmínek pro excelentní výzkum ve všech vědních oblastech, napomáhání rozvoje mezinárodní vědecké spolupráce a zlepšování podmínek pro podporu grantových projektů základního výzkumu.</w:t>
      </w:r>
    </w:p>
    <w:p w:rsidR="00F01234" w:rsidRPr="00F01234" w:rsidRDefault="00F01234" w:rsidP="00F01234">
      <w:pPr>
        <w:pStyle w:val="Odstavecseseznamem"/>
        <w:spacing w:after="240"/>
        <w:ind w:left="360"/>
        <w:jc w:val="both"/>
        <w:rPr>
          <w:rFonts w:ascii="Arial" w:hAnsi="Arial" w:cs="Arial"/>
          <w:bCs/>
        </w:rPr>
      </w:pPr>
    </w:p>
    <w:p w:rsidR="00437FAE" w:rsidRDefault="00C31F9C" w:rsidP="000D15F1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BC137C" w:rsidRPr="00BC137C" w:rsidRDefault="00BC137C" w:rsidP="00BC137C">
      <w:pPr>
        <w:pStyle w:val="Odstavecseseznamem"/>
        <w:spacing w:after="120"/>
        <w:ind w:left="567"/>
        <w:jc w:val="both"/>
        <w:rPr>
          <w:rFonts w:ascii="Arial" w:hAnsi="Arial" w:cs="Arial"/>
          <w:b/>
          <w:color w:val="0070C0"/>
        </w:rPr>
      </w:pPr>
    </w:p>
    <w:p w:rsidR="00A2623A" w:rsidRDefault="00A2623A" w:rsidP="006B338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920A07" w:rsidRDefault="00920A07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33363">
        <w:rPr>
          <w:rFonts w:ascii="Arial" w:hAnsi="Arial" w:cs="Arial"/>
          <w:b/>
        </w:rPr>
        <w:t>K</w:t>
      </w:r>
      <w:r w:rsidR="009F3B71">
        <w:rPr>
          <w:rFonts w:ascii="Arial" w:hAnsi="Arial" w:cs="Arial"/>
          <w:b/>
        </w:rPr>
        <w:t> materiálu jako celku</w:t>
      </w:r>
    </w:p>
    <w:p w:rsidR="003F0E23" w:rsidRDefault="00560F09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="00920A07" w:rsidRPr="00920A07">
        <w:rPr>
          <w:rFonts w:ascii="Arial" w:hAnsi="Arial" w:cs="Arial"/>
        </w:rPr>
        <w:t xml:space="preserve"> </w:t>
      </w:r>
      <w:r w:rsidR="004D328D">
        <w:rPr>
          <w:rFonts w:ascii="Arial" w:hAnsi="Arial" w:cs="Arial"/>
        </w:rPr>
        <w:t>do</w:t>
      </w:r>
      <w:r w:rsidR="00AB3E49">
        <w:rPr>
          <w:rFonts w:ascii="Arial" w:hAnsi="Arial" w:cs="Arial"/>
        </w:rPr>
        <w:t xml:space="preserve"> </w:t>
      </w:r>
      <w:r w:rsidR="009F3B71">
        <w:rPr>
          <w:rFonts w:ascii="Arial" w:hAnsi="Arial" w:cs="Arial"/>
        </w:rPr>
        <w:t>předkládací zprávy a na vhodné místo v Koncepci v části 1. Úvod a/nebo části 6. Plnění úkolů vyplývajících z koncepčních dokumentů vztahujících se ke GA</w:t>
      </w:r>
      <w:r w:rsidR="00573A6C">
        <w:rPr>
          <w:rFonts w:ascii="Arial" w:hAnsi="Arial" w:cs="Arial"/>
        </w:rPr>
        <w:t> </w:t>
      </w:r>
      <w:r w:rsidR="009F3B71">
        <w:rPr>
          <w:rFonts w:ascii="Arial" w:hAnsi="Arial" w:cs="Arial"/>
        </w:rPr>
        <w:t>ČR</w:t>
      </w:r>
      <w:r w:rsidR="004622BF">
        <w:rPr>
          <w:rFonts w:ascii="Arial" w:hAnsi="Arial" w:cs="Arial"/>
        </w:rPr>
        <w:t xml:space="preserve"> a/nebo části 8.6.3 Realizace a naplňování cílů GA ČR</w:t>
      </w:r>
      <w:r w:rsidR="009F3B71">
        <w:rPr>
          <w:rFonts w:ascii="Arial" w:hAnsi="Arial" w:cs="Arial"/>
        </w:rPr>
        <w:t xml:space="preserve"> doplnit text popisující vazbu na</w:t>
      </w:r>
      <w:r w:rsidR="00E10CA0">
        <w:rPr>
          <w:rFonts w:ascii="Arial" w:hAnsi="Arial" w:cs="Arial"/>
        </w:rPr>
        <w:t> </w:t>
      </w:r>
      <w:r w:rsidR="009F3B71">
        <w:rPr>
          <w:rFonts w:ascii="Arial" w:hAnsi="Arial" w:cs="Arial"/>
        </w:rPr>
        <w:t>předchozí Koncepci činnosti Grantové agentury České republiky na léta 2016-2020.</w:t>
      </w:r>
    </w:p>
    <w:p w:rsidR="00560F09" w:rsidRDefault="00560F09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560F09" w:rsidRDefault="009F3B71" w:rsidP="001C22B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předkládací zprávě, Koncepci ani přiložených analýzách není nikde </w:t>
      </w:r>
      <w:r w:rsidR="00724072">
        <w:rPr>
          <w:rFonts w:ascii="Arial" w:hAnsi="Arial" w:cs="Arial"/>
        </w:rPr>
        <w:t>explicitně vyjádřena návaznost</w:t>
      </w:r>
      <w:r>
        <w:rPr>
          <w:rFonts w:ascii="Arial" w:hAnsi="Arial" w:cs="Arial"/>
        </w:rPr>
        <w:t xml:space="preserve"> na předchozí koncepční dokument GA ČR. V textu materiálu jako celku</w:t>
      </w:r>
      <w:r w:rsidR="005465B2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analyzovány dosažené výstupy z období do konce roku 2020</w:t>
      </w:r>
      <w:r w:rsidR="005465B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je uvedena vazba na</w:t>
      </w:r>
      <w:r w:rsidR="00A75DCA">
        <w:rPr>
          <w:rFonts w:ascii="Arial" w:hAnsi="Arial" w:cs="Arial"/>
        </w:rPr>
        <w:t> </w:t>
      </w:r>
      <w:r>
        <w:rPr>
          <w:rFonts w:ascii="Arial" w:hAnsi="Arial" w:cs="Arial"/>
        </w:rPr>
        <w:t>relevantní národní a mez</w:t>
      </w:r>
      <w:r w:rsidR="005465B2">
        <w:rPr>
          <w:rFonts w:ascii="Arial" w:hAnsi="Arial" w:cs="Arial"/>
        </w:rPr>
        <w:t>inárodní strategické dokumenty, mezi nimiž však chybí</w:t>
      </w:r>
      <w:r w:rsidR="001636FB">
        <w:rPr>
          <w:rFonts w:ascii="Arial" w:hAnsi="Arial" w:cs="Arial"/>
        </w:rPr>
        <w:t xml:space="preserve"> </w:t>
      </w:r>
      <w:r w:rsidR="005465B2">
        <w:rPr>
          <w:rFonts w:ascii="Arial" w:hAnsi="Arial" w:cs="Arial"/>
        </w:rPr>
        <w:t>popis a vysvětlení vazby K</w:t>
      </w:r>
      <w:r w:rsidR="00F22BEB">
        <w:rPr>
          <w:rFonts w:ascii="Arial" w:hAnsi="Arial" w:cs="Arial"/>
        </w:rPr>
        <w:t>oncepce na předchozí</w:t>
      </w:r>
      <w:r w:rsidR="005465B2">
        <w:rPr>
          <w:rFonts w:ascii="Arial" w:hAnsi="Arial" w:cs="Arial"/>
        </w:rPr>
        <w:t xml:space="preserve"> koncepci GA ČR.</w:t>
      </w:r>
      <w:r>
        <w:rPr>
          <w:rFonts w:ascii="Arial" w:hAnsi="Arial" w:cs="Arial"/>
        </w:rPr>
        <w:t xml:space="preserve"> </w:t>
      </w:r>
    </w:p>
    <w:p w:rsidR="008A47BF" w:rsidRDefault="008A47BF" w:rsidP="00251352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8A47BF" w:rsidRDefault="008A47BF" w:rsidP="008A47B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části 7. Z</w:t>
      </w:r>
      <w:r w:rsidR="009F1B63">
        <w:rPr>
          <w:rFonts w:ascii="Arial" w:hAnsi="Arial" w:cs="Arial"/>
          <w:b/>
        </w:rPr>
        <w:t>abezpečení vybraný</w:t>
      </w:r>
      <w:r>
        <w:rPr>
          <w:rFonts w:ascii="Arial" w:hAnsi="Arial" w:cs="Arial"/>
          <w:b/>
        </w:rPr>
        <w:t xml:space="preserve">ch cílů Národní politiky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  <w:b/>
        </w:rPr>
        <w:t xml:space="preserve"> 2021+ a Priorit </w:t>
      </w:r>
      <w:proofErr w:type="spellStart"/>
      <w:r>
        <w:rPr>
          <w:rFonts w:ascii="Arial" w:hAnsi="Arial" w:cs="Arial"/>
          <w:b/>
        </w:rPr>
        <w:t>VaVaI</w:t>
      </w:r>
      <w:proofErr w:type="spellEnd"/>
      <w:r>
        <w:rPr>
          <w:rFonts w:ascii="Arial" w:hAnsi="Arial" w:cs="Arial"/>
          <w:b/>
        </w:rPr>
        <w:t xml:space="preserve"> v Koncepci</w:t>
      </w:r>
    </w:p>
    <w:p w:rsidR="00C0670F" w:rsidRPr="00C0670F" w:rsidRDefault="00C0670F" w:rsidP="00C0670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</w:t>
      </w:r>
      <w:r w:rsidRPr="00C0670F">
        <w:rPr>
          <w:rFonts w:ascii="Arial" w:hAnsi="Arial" w:cs="Arial"/>
        </w:rPr>
        <w:t xml:space="preserve">doplnit na vhodné místo do textu (ideálně např.  jako </w:t>
      </w:r>
      <w:r>
        <w:rPr>
          <w:rFonts w:ascii="Arial" w:hAnsi="Arial" w:cs="Arial"/>
        </w:rPr>
        <w:t xml:space="preserve">novou </w:t>
      </w:r>
      <w:r w:rsidRPr="00C0670F">
        <w:rPr>
          <w:rFonts w:ascii="Arial" w:hAnsi="Arial" w:cs="Arial"/>
        </w:rPr>
        <w:t>samostatnou část 7.4) vazbu Koncepce na cíl 1.7 "Zvýšit efektivitu účelové podpory základního výzkumu, zajistit podporu nejlepších týmů bez ohledu na limity průměrné oborové úspěšnosti, zabezpečit provázanost a odstranit překryvy grantových projektů s jinými typy projektů", jehož realizace bude zabezpečena prostřednictvím Opatření 6 "Zvýšení efektivity účelové podpory základního výzkumu a zajištění podpory nejlepších tý</w:t>
      </w:r>
      <w:r>
        <w:rPr>
          <w:rFonts w:ascii="Arial" w:hAnsi="Arial" w:cs="Arial"/>
        </w:rPr>
        <w:t>mů v rámci jednotlivých oborů".</w:t>
      </w:r>
    </w:p>
    <w:p w:rsidR="00C0670F" w:rsidRPr="00C0670F" w:rsidRDefault="00C0670F" w:rsidP="00C0670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0670F">
        <w:rPr>
          <w:rFonts w:ascii="Arial" w:hAnsi="Arial" w:cs="Arial"/>
        </w:rPr>
        <w:t xml:space="preserve">Zdůvodnění: </w:t>
      </w:r>
    </w:p>
    <w:p w:rsidR="008A47BF" w:rsidRPr="00C0670F" w:rsidRDefault="00C0670F" w:rsidP="00C0670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0670F">
        <w:rPr>
          <w:rFonts w:ascii="Arial" w:hAnsi="Arial" w:cs="Arial"/>
        </w:rPr>
        <w:t xml:space="preserve">GA ČR v části 7 podrobně popisuje vazbu na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prostřednictvím příspěvku k</w:t>
      </w:r>
      <w:r>
        <w:rPr>
          <w:rFonts w:ascii="Arial" w:hAnsi="Arial" w:cs="Arial"/>
        </w:rPr>
        <w:t> </w:t>
      </w:r>
      <w:r w:rsidRPr="00C0670F">
        <w:rPr>
          <w:rFonts w:ascii="Arial" w:hAnsi="Arial" w:cs="Arial"/>
        </w:rPr>
        <w:t xml:space="preserve">plnění cíle1.2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2021+, k němuž se vztahuje Opatření 1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 a</w:t>
      </w:r>
      <w:r>
        <w:rPr>
          <w:rFonts w:ascii="Arial" w:hAnsi="Arial" w:cs="Arial"/>
        </w:rPr>
        <w:t> </w:t>
      </w:r>
      <w:r w:rsidRPr="00C0670F">
        <w:rPr>
          <w:rFonts w:ascii="Arial" w:hAnsi="Arial" w:cs="Arial"/>
        </w:rPr>
        <w:t xml:space="preserve">cíle 1.11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2021+, k němuž se vztahuje Opatření 27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2021+. V</w:t>
      </w:r>
      <w:r>
        <w:rPr>
          <w:rFonts w:ascii="Arial" w:hAnsi="Arial" w:cs="Arial"/>
        </w:rPr>
        <w:t> </w:t>
      </w:r>
      <w:r w:rsidRPr="00C0670F">
        <w:rPr>
          <w:rFonts w:ascii="Arial" w:hAnsi="Arial" w:cs="Arial"/>
        </w:rPr>
        <w:t xml:space="preserve">textu části 7 však chybí vazba na cíl 1.7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2021+, který bude realizován prostřednictvím Opatření 6 NP </w:t>
      </w:r>
      <w:proofErr w:type="spellStart"/>
      <w:r w:rsidRPr="00C0670F">
        <w:rPr>
          <w:rFonts w:ascii="Arial" w:hAnsi="Arial" w:cs="Arial"/>
        </w:rPr>
        <w:t>VaVaI</w:t>
      </w:r>
      <w:proofErr w:type="spellEnd"/>
      <w:r w:rsidRPr="00C0670F">
        <w:rPr>
          <w:rFonts w:ascii="Arial" w:hAnsi="Arial" w:cs="Arial"/>
        </w:rPr>
        <w:t xml:space="preserve"> 2021+, jehož gestorem je právě GA ČR.</w:t>
      </w:r>
    </w:p>
    <w:p w:rsidR="00F20CD4" w:rsidRDefault="00F20CD4" w:rsidP="00EB421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E10CA0" w:rsidRPr="00E10CA0" w:rsidRDefault="00E10CA0" w:rsidP="00F20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E10CA0">
        <w:rPr>
          <w:rFonts w:ascii="Arial" w:hAnsi="Arial" w:cs="Arial"/>
          <w:b/>
        </w:rPr>
        <w:t>K materiálu jako celku</w:t>
      </w:r>
    </w:p>
    <w:p w:rsidR="00F20CD4" w:rsidRPr="00F20CD4" w:rsidRDefault="00F20CD4" w:rsidP="00F20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20CD4">
        <w:rPr>
          <w:rFonts w:ascii="Arial" w:hAnsi="Arial" w:cs="Arial"/>
        </w:rPr>
        <w:t>Rada žádá v souladu s Metodikou přípravy veřejných strategií v návaznosti na</w:t>
      </w:r>
      <w:r w:rsidR="00DF33F8">
        <w:rPr>
          <w:rFonts w:ascii="Arial" w:hAnsi="Arial" w:cs="Arial"/>
        </w:rPr>
        <w:t> </w:t>
      </w:r>
      <w:r w:rsidRPr="00F20CD4">
        <w:rPr>
          <w:rFonts w:ascii="Arial" w:hAnsi="Arial" w:cs="Arial"/>
        </w:rPr>
        <w:t>metodické doporučení Ministerstva pro místní rozvoj „Typologie strategických a</w:t>
      </w:r>
      <w:r w:rsidR="00DF33F8">
        <w:rPr>
          <w:rFonts w:ascii="Arial" w:hAnsi="Arial" w:cs="Arial"/>
        </w:rPr>
        <w:t> </w:t>
      </w:r>
      <w:r w:rsidRPr="00F20CD4">
        <w:rPr>
          <w:rFonts w:ascii="Arial" w:hAnsi="Arial" w:cs="Arial"/>
        </w:rPr>
        <w:t>prováděcích dokumentů“ o doplnění, jakým způsobem a v jakém termínu bud</w:t>
      </w:r>
      <w:r w:rsidR="00DF33F8">
        <w:rPr>
          <w:rFonts w:ascii="Arial" w:hAnsi="Arial" w:cs="Arial"/>
        </w:rPr>
        <w:t>e zpracován implementační plán K</w:t>
      </w:r>
      <w:r w:rsidRPr="00F20CD4">
        <w:rPr>
          <w:rFonts w:ascii="Arial" w:hAnsi="Arial" w:cs="Arial"/>
        </w:rPr>
        <w:t>oncepce.</w:t>
      </w:r>
    </w:p>
    <w:p w:rsidR="00F20CD4" w:rsidRPr="00F20CD4" w:rsidRDefault="00F20CD4" w:rsidP="00F20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20CD4">
        <w:rPr>
          <w:rFonts w:ascii="Arial" w:hAnsi="Arial" w:cs="Arial"/>
        </w:rPr>
        <w:t>Zdůvodnění:</w:t>
      </w:r>
    </w:p>
    <w:p w:rsidR="00F20CD4" w:rsidRDefault="00F20CD4" w:rsidP="00F20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Ministerstvo pro místní rozvoj</w:t>
      </w:r>
      <w:r w:rsidRPr="00F20CD4">
        <w:rPr>
          <w:rFonts w:ascii="Arial" w:hAnsi="Arial" w:cs="Arial"/>
        </w:rPr>
        <w:t xml:space="preserve">, jakožto gestor Metodiky přípravy veřejných strategií, vydalo metodické doporučení „Typologie strategických a prováděcích dokumentů“, které je dostupné na Portálu strategické práce v České republice pod odkazem </w:t>
      </w:r>
      <w:hyperlink r:id="rId9" w:history="1">
        <w:r w:rsidRPr="00BD5CEA">
          <w:rPr>
            <w:rStyle w:val="Hypertextovodkaz"/>
            <w:rFonts w:ascii="Arial" w:hAnsi="Arial" w:cs="Arial"/>
          </w:rPr>
          <w:t>https://www.mmr.cz/getmedia/a8e367ae-8c84-48f2-9ce4-5484e4d5de52/Typologie-strategickych-a-provadecich-dokumentu_final.pdf</w:t>
        </w:r>
      </w:hyperlink>
    </w:p>
    <w:p w:rsidR="00F20CD4" w:rsidRPr="00F20CD4" w:rsidRDefault="00F20CD4" w:rsidP="00F20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20CD4">
        <w:rPr>
          <w:rFonts w:ascii="Arial" w:hAnsi="Arial" w:cs="Arial"/>
        </w:rPr>
        <w:t>Na str. 6 a 8 je uvedena charakteristika „koncepce“ a způsob její implementace.</w:t>
      </w:r>
    </w:p>
    <w:p w:rsidR="00EB421D" w:rsidRDefault="00EB421D" w:rsidP="00EB421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EB421D">
        <w:rPr>
          <w:rFonts w:ascii="Arial" w:hAnsi="Arial" w:cs="Arial"/>
          <w:b/>
        </w:rPr>
        <w:t>Připomínka</w:t>
      </w:r>
    </w:p>
    <w:p w:rsidR="00EB421D" w:rsidRDefault="00EB421D" w:rsidP="00EB42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 výčtu platných strategických dokumentů  </w:t>
      </w:r>
    </w:p>
    <w:p w:rsidR="00EB421D" w:rsidRDefault="002B2230" w:rsidP="00EB42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</w:t>
      </w:r>
      <w:r w:rsidR="0050097D">
        <w:rPr>
          <w:rFonts w:ascii="Arial" w:hAnsi="Arial" w:cs="Arial"/>
        </w:rPr>
        <w:t xml:space="preserve"> v části 1</w:t>
      </w:r>
      <w:r w:rsidR="00F9208C">
        <w:rPr>
          <w:rFonts w:ascii="Arial" w:hAnsi="Arial" w:cs="Arial"/>
        </w:rPr>
        <w:t>.</w:t>
      </w:r>
      <w:r w:rsidR="0050097D">
        <w:rPr>
          <w:rFonts w:ascii="Arial" w:hAnsi="Arial" w:cs="Arial"/>
        </w:rPr>
        <w:t>, části 6</w:t>
      </w:r>
      <w:r w:rsidR="00F9208C">
        <w:rPr>
          <w:rFonts w:ascii="Arial" w:hAnsi="Arial" w:cs="Arial"/>
        </w:rPr>
        <w:t>.</w:t>
      </w:r>
      <w:r w:rsidR="0050097D">
        <w:rPr>
          <w:rFonts w:ascii="Arial" w:hAnsi="Arial" w:cs="Arial"/>
        </w:rPr>
        <w:t xml:space="preserve">, části 8.6.3 </w:t>
      </w:r>
      <w:r w:rsidR="00EB421D">
        <w:rPr>
          <w:rFonts w:ascii="Arial" w:hAnsi="Arial" w:cs="Arial"/>
        </w:rPr>
        <w:t xml:space="preserve">a dále tam, kde je to relevantní, uvést </w:t>
      </w:r>
      <w:r w:rsidR="003F2EC5">
        <w:rPr>
          <w:rFonts w:ascii="Arial" w:hAnsi="Arial" w:cs="Arial"/>
        </w:rPr>
        <w:t>odkaz na </w:t>
      </w:r>
      <w:r w:rsidR="00EB421D">
        <w:rPr>
          <w:rFonts w:ascii="Arial" w:hAnsi="Arial" w:cs="Arial"/>
        </w:rPr>
        <w:t>aktuálně platný strategický dokument pro oblast inteligentní specializace, kterým je</w:t>
      </w:r>
      <w:r w:rsidR="003F2EC5">
        <w:rPr>
          <w:rFonts w:ascii="Arial" w:hAnsi="Arial" w:cs="Arial"/>
        </w:rPr>
        <w:t> </w:t>
      </w:r>
      <w:r w:rsidR="00EB421D">
        <w:rPr>
          <w:rFonts w:ascii="Arial" w:hAnsi="Arial" w:cs="Arial"/>
        </w:rPr>
        <w:t>Národní výzkumná a inovační strategie pro inteligentní specializaci České republiky 2021-2027 schválená usnesením vlády ze dne 25. ledna 2021 č. 66.</w:t>
      </w:r>
    </w:p>
    <w:p w:rsidR="00EB421D" w:rsidRDefault="00EB421D" w:rsidP="00EB421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EB421D" w:rsidRPr="002B2230" w:rsidRDefault="00EB421D" w:rsidP="002B223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B2230">
        <w:rPr>
          <w:rFonts w:ascii="Arial" w:hAnsi="Arial" w:cs="Arial"/>
        </w:rPr>
        <w:t>V textu materiálu je uváděn odkaz na již neaktuální dokument inteligentní specializace.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2F1FE7" w:rsidRPr="002F1FE7" w:rsidRDefault="007566C8" w:rsidP="002F1FE7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F565FD">
        <w:rPr>
          <w:rFonts w:ascii="Arial" w:hAnsi="Arial" w:cs="Arial"/>
          <w:szCs w:val="24"/>
        </w:rPr>
        <w:t>Rada</w:t>
      </w:r>
    </w:p>
    <w:p w:rsidR="0041165C" w:rsidRPr="007B6D77" w:rsidRDefault="00E70614" w:rsidP="0041165C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žádá Grantovou agenturu České republiky</w:t>
      </w:r>
      <w:r w:rsidR="0041165C">
        <w:rPr>
          <w:rFonts w:ascii="Arial" w:hAnsi="Arial" w:cs="Arial"/>
          <w:color w:val="000000"/>
          <w:szCs w:val="22"/>
        </w:rPr>
        <w:t>, aby</w:t>
      </w:r>
      <w:r w:rsidR="0041165C" w:rsidRPr="007B6D77">
        <w:rPr>
          <w:rFonts w:ascii="Arial" w:hAnsi="Arial" w:cs="Arial"/>
          <w:color w:val="000000"/>
          <w:szCs w:val="22"/>
        </w:rPr>
        <w:t xml:space="preserve"> př</w:t>
      </w:r>
      <w:r w:rsidR="0041165C">
        <w:rPr>
          <w:rFonts w:ascii="Arial" w:hAnsi="Arial" w:cs="Arial"/>
          <w:color w:val="000000"/>
          <w:szCs w:val="22"/>
        </w:rPr>
        <w:t>ed předlož</w:t>
      </w:r>
      <w:r>
        <w:rPr>
          <w:rFonts w:ascii="Arial" w:hAnsi="Arial" w:cs="Arial"/>
          <w:color w:val="000000"/>
          <w:szCs w:val="22"/>
        </w:rPr>
        <w:t>ením materiálu pro jednání vlády zapracovala</w:t>
      </w:r>
      <w:r w:rsidR="0041165C">
        <w:rPr>
          <w:rFonts w:ascii="Arial" w:hAnsi="Arial" w:cs="Arial"/>
          <w:color w:val="000000"/>
          <w:szCs w:val="22"/>
        </w:rPr>
        <w:t xml:space="preserve"> připomínky </w:t>
      </w:r>
      <w:r>
        <w:rPr>
          <w:rFonts w:ascii="Arial" w:hAnsi="Arial" w:cs="Arial"/>
          <w:color w:val="000000"/>
          <w:szCs w:val="22"/>
        </w:rPr>
        <w:t xml:space="preserve">Rady </w:t>
      </w:r>
      <w:r w:rsidR="0041165C">
        <w:rPr>
          <w:rFonts w:ascii="Arial" w:hAnsi="Arial" w:cs="Arial"/>
          <w:color w:val="000000"/>
          <w:szCs w:val="22"/>
        </w:rPr>
        <w:t>k předmětnému materiál</w:t>
      </w:r>
      <w:r>
        <w:rPr>
          <w:rFonts w:ascii="Arial" w:hAnsi="Arial" w:cs="Arial"/>
          <w:color w:val="000000"/>
          <w:szCs w:val="22"/>
        </w:rPr>
        <w:t>u a upravený materiál předložila</w:t>
      </w:r>
      <w:r w:rsidR="0041165C">
        <w:rPr>
          <w:rFonts w:ascii="Arial" w:hAnsi="Arial" w:cs="Arial"/>
          <w:color w:val="000000"/>
          <w:szCs w:val="22"/>
        </w:rPr>
        <w:t xml:space="preserve"> </w:t>
      </w:r>
      <w:r w:rsidR="0041165C" w:rsidRPr="007B6D77">
        <w:rPr>
          <w:rFonts w:ascii="Arial" w:hAnsi="Arial" w:cs="Arial"/>
          <w:color w:val="000000"/>
          <w:szCs w:val="22"/>
        </w:rPr>
        <w:t>předsednictvu Rady</w:t>
      </w:r>
      <w:r w:rsidR="0041165C">
        <w:rPr>
          <w:rFonts w:ascii="Arial" w:hAnsi="Arial" w:cs="Arial"/>
          <w:color w:val="000000"/>
          <w:szCs w:val="22"/>
        </w:rPr>
        <w:t xml:space="preserve"> k projednání</w:t>
      </w:r>
      <w:r w:rsidR="0041165C" w:rsidRPr="007B6D77">
        <w:rPr>
          <w:rFonts w:ascii="Arial" w:hAnsi="Arial" w:cs="Arial"/>
          <w:color w:val="000000"/>
          <w:szCs w:val="22"/>
        </w:rPr>
        <w:t xml:space="preserve">, </w:t>
      </w:r>
    </w:p>
    <w:p w:rsidR="0041165C" w:rsidRDefault="0041165C" w:rsidP="0041165C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zmocňuje předsednictvo Rady ke schválení vypořádání připomínek Rady,</w:t>
      </w:r>
    </w:p>
    <w:p w:rsidR="0041165C" w:rsidRPr="000A6D3C" w:rsidRDefault="0041165C" w:rsidP="000A6D3C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ukládá</w:t>
      </w:r>
      <w:r w:rsidRPr="007B6D77">
        <w:rPr>
          <w:rFonts w:ascii="Arial" w:hAnsi="Arial" w:cs="Arial"/>
          <w:szCs w:val="24"/>
        </w:rPr>
        <w:t xml:space="preserve"> předsednictv</w:t>
      </w:r>
      <w:r>
        <w:rPr>
          <w:rFonts w:ascii="Arial" w:hAnsi="Arial" w:cs="Arial"/>
          <w:szCs w:val="24"/>
        </w:rPr>
        <w:t>u</w:t>
      </w:r>
      <w:r w:rsidRPr="007B6D77">
        <w:rPr>
          <w:rFonts w:ascii="Arial" w:hAnsi="Arial" w:cs="Arial"/>
          <w:szCs w:val="24"/>
        </w:rPr>
        <w:t xml:space="preserve"> Rady informovat </w:t>
      </w:r>
      <w:r w:rsidR="006849C2">
        <w:rPr>
          <w:rFonts w:ascii="Arial" w:hAnsi="Arial" w:cs="Arial"/>
          <w:szCs w:val="24"/>
        </w:rPr>
        <w:t xml:space="preserve">členy Rady </w:t>
      </w:r>
      <w:r w:rsidR="008259B7">
        <w:rPr>
          <w:rFonts w:ascii="Arial" w:hAnsi="Arial" w:cs="Arial"/>
          <w:szCs w:val="24"/>
        </w:rPr>
        <w:t>o vypořádán</w:t>
      </w:r>
      <w:r w:rsidR="006403F3">
        <w:rPr>
          <w:rFonts w:ascii="Arial" w:hAnsi="Arial" w:cs="Arial"/>
          <w:szCs w:val="24"/>
        </w:rPr>
        <w:t>í připomínek Rady</w:t>
      </w:r>
      <w:r w:rsidRPr="000A6D3C">
        <w:rPr>
          <w:rFonts w:ascii="Arial" w:hAnsi="Arial" w:cs="Arial"/>
          <w:szCs w:val="24"/>
        </w:rPr>
        <w:t>.</w:t>
      </w:r>
    </w:p>
    <w:p w:rsidR="008876FB" w:rsidRPr="00F565FD" w:rsidRDefault="008876FB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bookmarkEnd w:id="1"/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dne </w:t>
      </w:r>
      <w:r w:rsidR="008259B7">
        <w:rPr>
          <w:rFonts w:ascii="Arial" w:hAnsi="Arial" w:cs="Arial"/>
          <w:szCs w:val="24"/>
        </w:rPr>
        <w:t>25</w:t>
      </w:r>
      <w:r w:rsidR="002F1FE7">
        <w:rPr>
          <w:rFonts w:ascii="Arial" w:hAnsi="Arial" w:cs="Arial"/>
          <w:szCs w:val="24"/>
        </w:rPr>
        <w:t>. června</w:t>
      </w:r>
      <w:r w:rsidR="004F1565">
        <w:rPr>
          <w:rFonts w:ascii="Arial" w:hAnsi="Arial" w:cs="Arial"/>
          <w:szCs w:val="24"/>
        </w:rPr>
        <w:t xml:space="preserve"> 2021</w:t>
      </w:r>
    </w:p>
    <w:sectPr w:rsidR="00D34CFA" w:rsidRPr="00F565FD" w:rsidSect="009758E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34" w:rsidRDefault="00C02D34" w:rsidP="008F77F6">
      <w:r>
        <w:separator/>
      </w:r>
    </w:p>
  </w:endnote>
  <w:endnote w:type="continuationSeparator" w:id="0">
    <w:p w:rsidR="00C02D34" w:rsidRDefault="00C02D3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E90F18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Koncepce činnosti Grantové agentury České republiky 2021+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5269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5269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526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5269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34" w:rsidRDefault="00C02D34" w:rsidP="008F77F6">
      <w:r>
        <w:separator/>
      </w:r>
    </w:p>
  </w:footnote>
  <w:footnote w:type="continuationSeparator" w:id="0">
    <w:p w:rsidR="00C02D34" w:rsidRDefault="00C02D3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780E9B4" wp14:editId="47925E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90F18">
            <w:rPr>
              <w:rFonts w:ascii="Arial" w:hAnsi="Arial" w:cs="Arial"/>
              <w:b/>
              <w:color w:val="0070C0"/>
              <w:sz w:val="28"/>
              <w:szCs w:val="28"/>
            </w:rPr>
            <w:t>69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A139E8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1"/>
  </w:num>
  <w:num w:numId="5">
    <w:abstractNumId w:val="2"/>
  </w:num>
  <w:num w:numId="6">
    <w:abstractNumId w:val="1"/>
  </w:num>
  <w:num w:numId="7">
    <w:abstractNumId w:val="30"/>
  </w:num>
  <w:num w:numId="8">
    <w:abstractNumId w:val="17"/>
  </w:num>
  <w:num w:numId="9">
    <w:abstractNumId w:val="20"/>
  </w:num>
  <w:num w:numId="10">
    <w:abstractNumId w:val="7"/>
  </w:num>
  <w:num w:numId="11">
    <w:abstractNumId w:val="11"/>
  </w:num>
  <w:num w:numId="12">
    <w:abstractNumId w:val="27"/>
  </w:num>
  <w:num w:numId="13">
    <w:abstractNumId w:val="28"/>
  </w:num>
  <w:num w:numId="14">
    <w:abstractNumId w:val="19"/>
  </w:num>
  <w:num w:numId="15">
    <w:abstractNumId w:val="26"/>
  </w:num>
  <w:num w:numId="16">
    <w:abstractNumId w:val="23"/>
  </w:num>
  <w:num w:numId="17">
    <w:abstractNumId w:val="24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6"/>
  </w:num>
  <w:num w:numId="24">
    <w:abstractNumId w:val="25"/>
  </w:num>
  <w:num w:numId="25">
    <w:abstractNumId w:val="18"/>
  </w:num>
  <w:num w:numId="26">
    <w:abstractNumId w:val="15"/>
  </w:num>
  <w:num w:numId="27">
    <w:abstractNumId w:val="4"/>
  </w:num>
  <w:num w:numId="28">
    <w:abstractNumId w:val="8"/>
  </w:num>
  <w:num w:numId="29">
    <w:abstractNumId w:val="29"/>
  </w:num>
  <w:num w:numId="30">
    <w:abstractNumId w:val="1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07077"/>
    <w:rsid w:val="00012D3F"/>
    <w:rsid w:val="000133E6"/>
    <w:rsid w:val="00015E5D"/>
    <w:rsid w:val="000160EF"/>
    <w:rsid w:val="00016576"/>
    <w:rsid w:val="0002110B"/>
    <w:rsid w:val="000364BF"/>
    <w:rsid w:val="00040CD2"/>
    <w:rsid w:val="000429DC"/>
    <w:rsid w:val="000430A4"/>
    <w:rsid w:val="00043BFD"/>
    <w:rsid w:val="00043D9D"/>
    <w:rsid w:val="0004544F"/>
    <w:rsid w:val="0005350D"/>
    <w:rsid w:val="00054B23"/>
    <w:rsid w:val="0005583A"/>
    <w:rsid w:val="000614EF"/>
    <w:rsid w:val="000617AC"/>
    <w:rsid w:val="0006258F"/>
    <w:rsid w:val="00062FA0"/>
    <w:rsid w:val="00065396"/>
    <w:rsid w:val="00065EF3"/>
    <w:rsid w:val="00065EFD"/>
    <w:rsid w:val="00066D7B"/>
    <w:rsid w:val="00070BAF"/>
    <w:rsid w:val="000710A5"/>
    <w:rsid w:val="00075BD0"/>
    <w:rsid w:val="00077465"/>
    <w:rsid w:val="00080564"/>
    <w:rsid w:val="000838A9"/>
    <w:rsid w:val="00091335"/>
    <w:rsid w:val="00091404"/>
    <w:rsid w:val="00092A95"/>
    <w:rsid w:val="00094F80"/>
    <w:rsid w:val="000A5A84"/>
    <w:rsid w:val="000A6D3C"/>
    <w:rsid w:val="000B2780"/>
    <w:rsid w:val="000B2D07"/>
    <w:rsid w:val="000B55AF"/>
    <w:rsid w:val="000C2343"/>
    <w:rsid w:val="000C4A33"/>
    <w:rsid w:val="000C69BB"/>
    <w:rsid w:val="000C7CF4"/>
    <w:rsid w:val="000D15F1"/>
    <w:rsid w:val="000D50B5"/>
    <w:rsid w:val="000D7CE8"/>
    <w:rsid w:val="000D7F79"/>
    <w:rsid w:val="000E4068"/>
    <w:rsid w:val="000E4ADA"/>
    <w:rsid w:val="000E7BDB"/>
    <w:rsid w:val="000F03D5"/>
    <w:rsid w:val="000F5C14"/>
    <w:rsid w:val="001103F3"/>
    <w:rsid w:val="00111E9F"/>
    <w:rsid w:val="001242A4"/>
    <w:rsid w:val="00127CBE"/>
    <w:rsid w:val="00130B16"/>
    <w:rsid w:val="001370C3"/>
    <w:rsid w:val="00152215"/>
    <w:rsid w:val="00152BF2"/>
    <w:rsid w:val="00153264"/>
    <w:rsid w:val="001636FB"/>
    <w:rsid w:val="001677F4"/>
    <w:rsid w:val="00167D9C"/>
    <w:rsid w:val="001722B0"/>
    <w:rsid w:val="0017246A"/>
    <w:rsid w:val="00180DAC"/>
    <w:rsid w:val="001812FA"/>
    <w:rsid w:val="00181F8B"/>
    <w:rsid w:val="00182044"/>
    <w:rsid w:val="001833D0"/>
    <w:rsid w:val="00184322"/>
    <w:rsid w:val="00184F31"/>
    <w:rsid w:val="00185D1F"/>
    <w:rsid w:val="00190269"/>
    <w:rsid w:val="00196F68"/>
    <w:rsid w:val="001A46AD"/>
    <w:rsid w:val="001B3A9B"/>
    <w:rsid w:val="001B4064"/>
    <w:rsid w:val="001B4532"/>
    <w:rsid w:val="001C0774"/>
    <w:rsid w:val="001C22B3"/>
    <w:rsid w:val="001D3091"/>
    <w:rsid w:val="001F1965"/>
    <w:rsid w:val="001F23E0"/>
    <w:rsid w:val="001F37FE"/>
    <w:rsid w:val="001F532E"/>
    <w:rsid w:val="001F6F7C"/>
    <w:rsid w:val="00202087"/>
    <w:rsid w:val="0020434F"/>
    <w:rsid w:val="00213D9E"/>
    <w:rsid w:val="002325E9"/>
    <w:rsid w:val="00237006"/>
    <w:rsid w:val="00251352"/>
    <w:rsid w:val="00251F89"/>
    <w:rsid w:val="00263EF2"/>
    <w:rsid w:val="00265A36"/>
    <w:rsid w:val="00280586"/>
    <w:rsid w:val="002807FC"/>
    <w:rsid w:val="00281D46"/>
    <w:rsid w:val="00285B23"/>
    <w:rsid w:val="00286ADE"/>
    <w:rsid w:val="002937C8"/>
    <w:rsid w:val="00293A94"/>
    <w:rsid w:val="00294C9E"/>
    <w:rsid w:val="002953DA"/>
    <w:rsid w:val="002A63C3"/>
    <w:rsid w:val="002A6C05"/>
    <w:rsid w:val="002B2230"/>
    <w:rsid w:val="002B2F8F"/>
    <w:rsid w:val="002B31C8"/>
    <w:rsid w:val="002C3EA8"/>
    <w:rsid w:val="002D0869"/>
    <w:rsid w:val="002D6D62"/>
    <w:rsid w:val="002E2591"/>
    <w:rsid w:val="002F1FE7"/>
    <w:rsid w:val="002F282F"/>
    <w:rsid w:val="00304753"/>
    <w:rsid w:val="00306196"/>
    <w:rsid w:val="0030629C"/>
    <w:rsid w:val="00307AE8"/>
    <w:rsid w:val="00314A8D"/>
    <w:rsid w:val="00322E8A"/>
    <w:rsid w:val="003233B2"/>
    <w:rsid w:val="003313E5"/>
    <w:rsid w:val="003415EB"/>
    <w:rsid w:val="0034625D"/>
    <w:rsid w:val="0034669E"/>
    <w:rsid w:val="00360293"/>
    <w:rsid w:val="00362CC5"/>
    <w:rsid w:val="0036476D"/>
    <w:rsid w:val="00365269"/>
    <w:rsid w:val="00365ABB"/>
    <w:rsid w:val="00371E90"/>
    <w:rsid w:val="00374984"/>
    <w:rsid w:val="0037509B"/>
    <w:rsid w:val="00377B37"/>
    <w:rsid w:val="00382645"/>
    <w:rsid w:val="00383525"/>
    <w:rsid w:val="003866D2"/>
    <w:rsid w:val="00387B05"/>
    <w:rsid w:val="003909D2"/>
    <w:rsid w:val="003B31C7"/>
    <w:rsid w:val="003B40D6"/>
    <w:rsid w:val="003B5996"/>
    <w:rsid w:val="003B77F7"/>
    <w:rsid w:val="003B79AF"/>
    <w:rsid w:val="003C1A86"/>
    <w:rsid w:val="003C2A8E"/>
    <w:rsid w:val="003C5E20"/>
    <w:rsid w:val="003C68BE"/>
    <w:rsid w:val="003C6FEC"/>
    <w:rsid w:val="003D7024"/>
    <w:rsid w:val="003E126C"/>
    <w:rsid w:val="003F0E23"/>
    <w:rsid w:val="003F255A"/>
    <w:rsid w:val="003F2EC5"/>
    <w:rsid w:val="003F4B05"/>
    <w:rsid w:val="003F6C5C"/>
    <w:rsid w:val="0040412F"/>
    <w:rsid w:val="00407D5A"/>
    <w:rsid w:val="0041165C"/>
    <w:rsid w:val="0041219D"/>
    <w:rsid w:val="00416DC1"/>
    <w:rsid w:val="004213DE"/>
    <w:rsid w:val="00421ED8"/>
    <w:rsid w:val="0042258C"/>
    <w:rsid w:val="00425D54"/>
    <w:rsid w:val="004334A6"/>
    <w:rsid w:val="00433EE9"/>
    <w:rsid w:val="00437FAE"/>
    <w:rsid w:val="00444D72"/>
    <w:rsid w:val="00446D21"/>
    <w:rsid w:val="00447D69"/>
    <w:rsid w:val="004529D1"/>
    <w:rsid w:val="00455DE7"/>
    <w:rsid w:val="004622BF"/>
    <w:rsid w:val="0046318D"/>
    <w:rsid w:val="0046471D"/>
    <w:rsid w:val="0047005B"/>
    <w:rsid w:val="0047212F"/>
    <w:rsid w:val="00473EF2"/>
    <w:rsid w:val="0047450C"/>
    <w:rsid w:val="00481332"/>
    <w:rsid w:val="004930EF"/>
    <w:rsid w:val="00494FB8"/>
    <w:rsid w:val="004A1647"/>
    <w:rsid w:val="004A3183"/>
    <w:rsid w:val="004A4C61"/>
    <w:rsid w:val="004B2008"/>
    <w:rsid w:val="004B361F"/>
    <w:rsid w:val="004B4842"/>
    <w:rsid w:val="004C0564"/>
    <w:rsid w:val="004C4883"/>
    <w:rsid w:val="004D03F8"/>
    <w:rsid w:val="004D328D"/>
    <w:rsid w:val="004D6E60"/>
    <w:rsid w:val="004E7557"/>
    <w:rsid w:val="004F1565"/>
    <w:rsid w:val="004F539F"/>
    <w:rsid w:val="004F5D80"/>
    <w:rsid w:val="0050097D"/>
    <w:rsid w:val="00501776"/>
    <w:rsid w:val="00501F34"/>
    <w:rsid w:val="00504FF0"/>
    <w:rsid w:val="00506A85"/>
    <w:rsid w:val="005111C4"/>
    <w:rsid w:val="00521894"/>
    <w:rsid w:val="00524B3D"/>
    <w:rsid w:val="00541B58"/>
    <w:rsid w:val="005432EC"/>
    <w:rsid w:val="00545D99"/>
    <w:rsid w:val="005465B2"/>
    <w:rsid w:val="005506EE"/>
    <w:rsid w:val="00555D9E"/>
    <w:rsid w:val="00556E15"/>
    <w:rsid w:val="00560F09"/>
    <w:rsid w:val="005654D8"/>
    <w:rsid w:val="00573759"/>
    <w:rsid w:val="00573A6C"/>
    <w:rsid w:val="005747BD"/>
    <w:rsid w:val="005820AA"/>
    <w:rsid w:val="00584AC4"/>
    <w:rsid w:val="005872CA"/>
    <w:rsid w:val="0059081D"/>
    <w:rsid w:val="005910A1"/>
    <w:rsid w:val="005921B5"/>
    <w:rsid w:val="00592513"/>
    <w:rsid w:val="00594215"/>
    <w:rsid w:val="005A099B"/>
    <w:rsid w:val="005A6B2D"/>
    <w:rsid w:val="005B39F2"/>
    <w:rsid w:val="005C0139"/>
    <w:rsid w:val="005C1D24"/>
    <w:rsid w:val="005C4C50"/>
    <w:rsid w:val="005D15AC"/>
    <w:rsid w:val="005D7C50"/>
    <w:rsid w:val="005D7F87"/>
    <w:rsid w:val="005E160B"/>
    <w:rsid w:val="005E43C2"/>
    <w:rsid w:val="005E4607"/>
    <w:rsid w:val="005F0F19"/>
    <w:rsid w:val="005F29EA"/>
    <w:rsid w:val="005F2EBA"/>
    <w:rsid w:val="00601E02"/>
    <w:rsid w:val="006047D8"/>
    <w:rsid w:val="00616978"/>
    <w:rsid w:val="006308BE"/>
    <w:rsid w:val="0063109B"/>
    <w:rsid w:val="006311CA"/>
    <w:rsid w:val="006340EF"/>
    <w:rsid w:val="00635691"/>
    <w:rsid w:val="0063686D"/>
    <w:rsid w:val="006403F3"/>
    <w:rsid w:val="0065341B"/>
    <w:rsid w:val="006628C7"/>
    <w:rsid w:val="00671DA8"/>
    <w:rsid w:val="00673F37"/>
    <w:rsid w:val="006849C2"/>
    <w:rsid w:val="0069134F"/>
    <w:rsid w:val="00695D64"/>
    <w:rsid w:val="00696158"/>
    <w:rsid w:val="00696ECC"/>
    <w:rsid w:val="006A4FD0"/>
    <w:rsid w:val="006B0A2A"/>
    <w:rsid w:val="006B3385"/>
    <w:rsid w:val="006B461A"/>
    <w:rsid w:val="006B6357"/>
    <w:rsid w:val="006C0702"/>
    <w:rsid w:val="006C48FD"/>
    <w:rsid w:val="006D1B06"/>
    <w:rsid w:val="006D3E22"/>
    <w:rsid w:val="006E513F"/>
    <w:rsid w:val="006F16DB"/>
    <w:rsid w:val="006F34D9"/>
    <w:rsid w:val="006F5075"/>
    <w:rsid w:val="006F7330"/>
    <w:rsid w:val="007065E5"/>
    <w:rsid w:val="00720627"/>
    <w:rsid w:val="00720790"/>
    <w:rsid w:val="00722B41"/>
    <w:rsid w:val="00724072"/>
    <w:rsid w:val="00731893"/>
    <w:rsid w:val="00732DFE"/>
    <w:rsid w:val="00734A88"/>
    <w:rsid w:val="00740AE8"/>
    <w:rsid w:val="007443D2"/>
    <w:rsid w:val="00750FEC"/>
    <w:rsid w:val="00753484"/>
    <w:rsid w:val="007566C8"/>
    <w:rsid w:val="007714AA"/>
    <w:rsid w:val="0078058C"/>
    <w:rsid w:val="0078363A"/>
    <w:rsid w:val="007868F4"/>
    <w:rsid w:val="007906E0"/>
    <w:rsid w:val="00791605"/>
    <w:rsid w:val="00792BA3"/>
    <w:rsid w:val="007A10FD"/>
    <w:rsid w:val="007A1E61"/>
    <w:rsid w:val="007A645B"/>
    <w:rsid w:val="007B178D"/>
    <w:rsid w:val="007B6D77"/>
    <w:rsid w:val="007C25B8"/>
    <w:rsid w:val="007C4C05"/>
    <w:rsid w:val="007D2D04"/>
    <w:rsid w:val="007D48E8"/>
    <w:rsid w:val="007E0254"/>
    <w:rsid w:val="007E0B6F"/>
    <w:rsid w:val="007E293D"/>
    <w:rsid w:val="007F19D7"/>
    <w:rsid w:val="00801957"/>
    <w:rsid w:val="00810AA0"/>
    <w:rsid w:val="00817392"/>
    <w:rsid w:val="008259B7"/>
    <w:rsid w:val="00831406"/>
    <w:rsid w:val="00832EFE"/>
    <w:rsid w:val="00845823"/>
    <w:rsid w:val="0085507C"/>
    <w:rsid w:val="00856E01"/>
    <w:rsid w:val="00857720"/>
    <w:rsid w:val="00861051"/>
    <w:rsid w:val="00873042"/>
    <w:rsid w:val="00874E3A"/>
    <w:rsid w:val="008858F2"/>
    <w:rsid w:val="008869F7"/>
    <w:rsid w:val="008876FB"/>
    <w:rsid w:val="00892A78"/>
    <w:rsid w:val="00897402"/>
    <w:rsid w:val="008A076C"/>
    <w:rsid w:val="008A3D90"/>
    <w:rsid w:val="008A47BF"/>
    <w:rsid w:val="008A581A"/>
    <w:rsid w:val="008A5E8C"/>
    <w:rsid w:val="008B0D06"/>
    <w:rsid w:val="008B19A7"/>
    <w:rsid w:val="008B2768"/>
    <w:rsid w:val="008B3784"/>
    <w:rsid w:val="008B6B6D"/>
    <w:rsid w:val="008C7C4A"/>
    <w:rsid w:val="008D0383"/>
    <w:rsid w:val="008D4DA4"/>
    <w:rsid w:val="008D571E"/>
    <w:rsid w:val="008E0833"/>
    <w:rsid w:val="008E143E"/>
    <w:rsid w:val="008E57BD"/>
    <w:rsid w:val="008E6D31"/>
    <w:rsid w:val="008E73E6"/>
    <w:rsid w:val="008F77F6"/>
    <w:rsid w:val="009021EA"/>
    <w:rsid w:val="00910B1F"/>
    <w:rsid w:val="009111E6"/>
    <w:rsid w:val="00920A07"/>
    <w:rsid w:val="00921F88"/>
    <w:rsid w:val="009224F3"/>
    <w:rsid w:val="0093210F"/>
    <w:rsid w:val="00933363"/>
    <w:rsid w:val="00933786"/>
    <w:rsid w:val="009413E8"/>
    <w:rsid w:val="00943393"/>
    <w:rsid w:val="00944EA3"/>
    <w:rsid w:val="009457B1"/>
    <w:rsid w:val="009520BB"/>
    <w:rsid w:val="0095292D"/>
    <w:rsid w:val="00960BE7"/>
    <w:rsid w:val="00964272"/>
    <w:rsid w:val="00966678"/>
    <w:rsid w:val="00971DB1"/>
    <w:rsid w:val="009758E5"/>
    <w:rsid w:val="0098461C"/>
    <w:rsid w:val="009867C6"/>
    <w:rsid w:val="009926B9"/>
    <w:rsid w:val="009A168D"/>
    <w:rsid w:val="009B65FE"/>
    <w:rsid w:val="009C115A"/>
    <w:rsid w:val="009C7518"/>
    <w:rsid w:val="009D0590"/>
    <w:rsid w:val="009D0A50"/>
    <w:rsid w:val="009D1FDA"/>
    <w:rsid w:val="009D2D79"/>
    <w:rsid w:val="009D3F45"/>
    <w:rsid w:val="009E054C"/>
    <w:rsid w:val="009E0F3E"/>
    <w:rsid w:val="009F119A"/>
    <w:rsid w:val="009F1B63"/>
    <w:rsid w:val="009F3B71"/>
    <w:rsid w:val="009F50D3"/>
    <w:rsid w:val="009F60FC"/>
    <w:rsid w:val="00A00ACC"/>
    <w:rsid w:val="00A0212E"/>
    <w:rsid w:val="00A0521C"/>
    <w:rsid w:val="00A07DA5"/>
    <w:rsid w:val="00A07E58"/>
    <w:rsid w:val="00A139E8"/>
    <w:rsid w:val="00A1434B"/>
    <w:rsid w:val="00A20F17"/>
    <w:rsid w:val="00A2250B"/>
    <w:rsid w:val="00A23268"/>
    <w:rsid w:val="00A238B5"/>
    <w:rsid w:val="00A24977"/>
    <w:rsid w:val="00A2623A"/>
    <w:rsid w:val="00A33138"/>
    <w:rsid w:val="00A4091D"/>
    <w:rsid w:val="00A42026"/>
    <w:rsid w:val="00A45F19"/>
    <w:rsid w:val="00A50988"/>
    <w:rsid w:val="00A5172A"/>
    <w:rsid w:val="00A51874"/>
    <w:rsid w:val="00A53FE4"/>
    <w:rsid w:val="00A5408F"/>
    <w:rsid w:val="00A55B3A"/>
    <w:rsid w:val="00A600B0"/>
    <w:rsid w:val="00A62535"/>
    <w:rsid w:val="00A62CCD"/>
    <w:rsid w:val="00A62CEE"/>
    <w:rsid w:val="00A63760"/>
    <w:rsid w:val="00A64CE0"/>
    <w:rsid w:val="00A7077F"/>
    <w:rsid w:val="00A70C58"/>
    <w:rsid w:val="00A71F63"/>
    <w:rsid w:val="00A72DE7"/>
    <w:rsid w:val="00A75DCA"/>
    <w:rsid w:val="00A85EC4"/>
    <w:rsid w:val="00A87851"/>
    <w:rsid w:val="00A93EDC"/>
    <w:rsid w:val="00A956CC"/>
    <w:rsid w:val="00A95A08"/>
    <w:rsid w:val="00A9684D"/>
    <w:rsid w:val="00AA0833"/>
    <w:rsid w:val="00AA1B72"/>
    <w:rsid w:val="00AA6345"/>
    <w:rsid w:val="00AA6A69"/>
    <w:rsid w:val="00AB1EFD"/>
    <w:rsid w:val="00AB33A7"/>
    <w:rsid w:val="00AB3E49"/>
    <w:rsid w:val="00AC278B"/>
    <w:rsid w:val="00AD1A38"/>
    <w:rsid w:val="00AD3B75"/>
    <w:rsid w:val="00AD5458"/>
    <w:rsid w:val="00AD709D"/>
    <w:rsid w:val="00AE4A6C"/>
    <w:rsid w:val="00AE7471"/>
    <w:rsid w:val="00AF1CAE"/>
    <w:rsid w:val="00AF2281"/>
    <w:rsid w:val="00AF4815"/>
    <w:rsid w:val="00B04708"/>
    <w:rsid w:val="00B13C0C"/>
    <w:rsid w:val="00B13F1C"/>
    <w:rsid w:val="00B13F46"/>
    <w:rsid w:val="00B16976"/>
    <w:rsid w:val="00B24EAB"/>
    <w:rsid w:val="00B26B43"/>
    <w:rsid w:val="00B3055C"/>
    <w:rsid w:val="00B3568B"/>
    <w:rsid w:val="00B37A2A"/>
    <w:rsid w:val="00B37A6F"/>
    <w:rsid w:val="00B45689"/>
    <w:rsid w:val="00B54BE5"/>
    <w:rsid w:val="00B54D61"/>
    <w:rsid w:val="00B60AD2"/>
    <w:rsid w:val="00B66469"/>
    <w:rsid w:val="00B71C13"/>
    <w:rsid w:val="00B71E63"/>
    <w:rsid w:val="00B72020"/>
    <w:rsid w:val="00B75636"/>
    <w:rsid w:val="00B769E9"/>
    <w:rsid w:val="00B776E5"/>
    <w:rsid w:val="00B81941"/>
    <w:rsid w:val="00B86F23"/>
    <w:rsid w:val="00B9243E"/>
    <w:rsid w:val="00B96849"/>
    <w:rsid w:val="00BA0320"/>
    <w:rsid w:val="00BA0452"/>
    <w:rsid w:val="00BA2505"/>
    <w:rsid w:val="00BA3F68"/>
    <w:rsid w:val="00BA6C05"/>
    <w:rsid w:val="00BB381B"/>
    <w:rsid w:val="00BB5806"/>
    <w:rsid w:val="00BB70CC"/>
    <w:rsid w:val="00BC137C"/>
    <w:rsid w:val="00BC1F20"/>
    <w:rsid w:val="00BC4B41"/>
    <w:rsid w:val="00BD331D"/>
    <w:rsid w:val="00BE3959"/>
    <w:rsid w:val="00BF014C"/>
    <w:rsid w:val="00C021B3"/>
    <w:rsid w:val="00C02D34"/>
    <w:rsid w:val="00C03C57"/>
    <w:rsid w:val="00C0670F"/>
    <w:rsid w:val="00C07578"/>
    <w:rsid w:val="00C0757C"/>
    <w:rsid w:val="00C11A9B"/>
    <w:rsid w:val="00C12A14"/>
    <w:rsid w:val="00C27E4D"/>
    <w:rsid w:val="00C31F9C"/>
    <w:rsid w:val="00C34CE7"/>
    <w:rsid w:val="00C376B2"/>
    <w:rsid w:val="00C40F34"/>
    <w:rsid w:val="00C41933"/>
    <w:rsid w:val="00C43FD3"/>
    <w:rsid w:val="00C4443F"/>
    <w:rsid w:val="00C454E2"/>
    <w:rsid w:val="00C5382A"/>
    <w:rsid w:val="00C55D99"/>
    <w:rsid w:val="00C5658B"/>
    <w:rsid w:val="00C61B7A"/>
    <w:rsid w:val="00C654CC"/>
    <w:rsid w:val="00C7435E"/>
    <w:rsid w:val="00C75A67"/>
    <w:rsid w:val="00C778AF"/>
    <w:rsid w:val="00C858A5"/>
    <w:rsid w:val="00C85AEF"/>
    <w:rsid w:val="00C92DCD"/>
    <w:rsid w:val="00C94F66"/>
    <w:rsid w:val="00C96B46"/>
    <w:rsid w:val="00CA0276"/>
    <w:rsid w:val="00CA0320"/>
    <w:rsid w:val="00CA0B52"/>
    <w:rsid w:val="00CA15A4"/>
    <w:rsid w:val="00CA2D0A"/>
    <w:rsid w:val="00CA44DF"/>
    <w:rsid w:val="00CA713E"/>
    <w:rsid w:val="00CA7313"/>
    <w:rsid w:val="00CB2433"/>
    <w:rsid w:val="00CB4CAA"/>
    <w:rsid w:val="00CB4D9D"/>
    <w:rsid w:val="00CB55ED"/>
    <w:rsid w:val="00CB6958"/>
    <w:rsid w:val="00CB6E5C"/>
    <w:rsid w:val="00CC0B2F"/>
    <w:rsid w:val="00CC370F"/>
    <w:rsid w:val="00CC6D5B"/>
    <w:rsid w:val="00CD0C85"/>
    <w:rsid w:val="00CD6E70"/>
    <w:rsid w:val="00CE20EC"/>
    <w:rsid w:val="00CE5B82"/>
    <w:rsid w:val="00CE713B"/>
    <w:rsid w:val="00CF2648"/>
    <w:rsid w:val="00D03B61"/>
    <w:rsid w:val="00D145C1"/>
    <w:rsid w:val="00D1522E"/>
    <w:rsid w:val="00D162F1"/>
    <w:rsid w:val="00D23214"/>
    <w:rsid w:val="00D26A33"/>
    <w:rsid w:val="00D322E7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2418"/>
    <w:rsid w:val="00D57387"/>
    <w:rsid w:val="00D63151"/>
    <w:rsid w:val="00D74A13"/>
    <w:rsid w:val="00D76AC0"/>
    <w:rsid w:val="00D80C39"/>
    <w:rsid w:val="00D82FF5"/>
    <w:rsid w:val="00D86BE0"/>
    <w:rsid w:val="00DA09C6"/>
    <w:rsid w:val="00DA43AA"/>
    <w:rsid w:val="00DA5D0D"/>
    <w:rsid w:val="00DC12E2"/>
    <w:rsid w:val="00DC3453"/>
    <w:rsid w:val="00DC37D7"/>
    <w:rsid w:val="00DC5FE9"/>
    <w:rsid w:val="00DD0263"/>
    <w:rsid w:val="00DD296A"/>
    <w:rsid w:val="00DD603C"/>
    <w:rsid w:val="00DE149E"/>
    <w:rsid w:val="00DE16A0"/>
    <w:rsid w:val="00DE2739"/>
    <w:rsid w:val="00DE3487"/>
    <w:rsid w:val="00DF0DEC"/>
    <w:rsid w:val="00DF33F8"/>
    <w:rsid w:val="00E03A2F"/>
    <w:rsid w:val="00E047BB"/>
    <w:rsid w:val="00E10CA0"/>
    <w:rsid w:val="00E118BA"/>
    <w:rsid w:val="00E13439"/>
    <w:rsid w:val="00E16EFF"/>
    <w:rsid w:val="00E179B8"/>
    <w:rsid w:val="00E3795A"/>
    <w:rsid w:val="00E4031F"/>
    <w:rsid w:val="00E44842"/>
    <w:rsid w:val="00E5391C"/>
    <w:rsid w:val="00E61231"/>
    <w:rsid w:val="00E62B5D"/>
    <w:rsid w:val="00E70519"/>
    <w:rsid w:val="00E70614"/>
    <w:rsid w:val="00E70BBD"/>
    <w:rsid w:val="00E74B1F"/>
    <w:rsid w:val="00E74D0F"/>
    <w:rsid w:val="00E75212"/>
    <w:rsid w:val="00E82464"/>
    <w:rsid w:val="00E82C93"/>
    <w:rsid w:val="00E83FA8"/>
    <w:rsid w:val="00E87F8C"/>
    <w:rsid w:val="00E90863"/>
    <w:rsid w:val="00E90B62"/>
    <w:rsid w:val="00E90F18"/>
    <w:rsid w:val="00E93E53"/>
    <w:rsid w:val="00EA2070"/>
    <w:rsid w:val="00EB39FB"/>
    <w:rsid w:val="00EB421D"/>
    <w:rsid w:val="00EC30CA"/>
    <w:rsid w:val="00EC4F6C"/>
    <w:rsid w:val="00ED3CD3"/>
    <w:rsid w:val="00ED4BA5"/>
    <w:rsid w:val="00ED648A"/>
    <w:rsid w:val="00EE0571"/>
    <w:rsid w:val="00EE20AD"/>
    <w:rsid w:val="00EE6AAE"/>
    <w:rsid w:val="00EF478D"/>
    <w:rsid w:val="00F01234"/>
    <w:rsid w:val="00F13C94"/>
    <w:rsid w:val="00F173F1"/>
    <w:rsid w:val="00F20CD4"/>
    <w:rsid w:val="00F20E39"/>
    <w:rsid w:val="00F22BEB"/>
    <w:rsid w:val="00F26506"/>
    <w:rsid w:val="00F36208"/>
    <w:rsid w:val="00F407FC"/>
    <w:rsid w:val="00F4221D"/>
    <w:rsid w:val="00F42E25"/>
    <w:rsid w:val="00F44668"/>
    <w:rsid w:val="00F50C7E"/>
    <w:rsid w:val="00F5104A"/>
    <w:rsid w:val="00F54A73"/>
    <w:rsid w:val="00F565FD"/>
    <w:rsid w:val="00F66A89"/>
    <w:rsid w:val="00F764A7"/>
    <w:rsid w:val="00F775AD"/>
    <w:rsid w:val="00F80D1A"/>
    <w:rsid w:val="00F8101A"/>
    <w:rsid w:val="00F85F64"/>
    <w:rsid w:val="00F9208C"/>
    <w:rsid w:val="00FA036F"/>
    <w:rsid w:val="00FA6324"/>
    <w:rsid w:val="00FB412D"/>
    <w:rsid w:val="00FB4178"/>
    <w:rsid w:val="00FB513E"/>
    <w:rsid w:val="00FB5702"/>
    <w:rsid w:val="00FD0261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C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C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mmr.cz/getmedia/a8e367ae-8c84-48f2-9ce4-5484e4d5de52/Typologie-strategickych-a-provadecich-dokumentu_final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B50D6-5BE7-4B38-87E7-E5D3C6C4A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2021-05-28T09:01:00Z</dcterms:created>
  <dcterms:modified xsi:type="dcterms:W3CDTF">2021-06-21T08:37:00Z</dcterms:modified>
</cp:coreProperties>
</file>