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459" w:tblpY="165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2835"/>
      </w:tblGrid>
      <w:tr w:rsidR="008F77F6" w:rsidRPr="00DE2BC0" w14:paraId="2B8D6CEF" w14:textId="77777777" w:rsidTr="62D0C9B7">
        <w:trPr>
          <w:trHeight w:val="82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3FE341A2" w14:textId="13676A6D" w:rsidR="00E64098" w:rsidRPr="008B4A7D" w:rsidRDefault="109B3F48" w:rsidP="3E8291B3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 w:rsidRPr="3E8291B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A10)</w:t>
            </w:r>
            <w:r w:rsidR="00B06939">
              <w:tab/>
            </w:r>
            <w:r w:rsidRPr="3E8291B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Informační systém </w:t>
            </w:r>
            <w:proofErr w:type="spellStart"/>
            <w:r w:rsidRPr="3E8291B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VaVaI</w:t>
            </w:r>
            <w:proofErr w:type="spellEnd"/>
            <w:r w:rsidRPr="3E8291B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  <w:p w14:paraId="718968B1" w14:textId="1C939AFE" w:rsidR="00E64098" w:rsidRPr="008B4A7D" w:rsidRDefault="109B3F48" w:rsidP="3E8291B3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3E8291B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a)</w:t>
            </w:r>
            <w:r w:rsidR="00B06939">
              <w:tab/>
            </w:r>
            <w:r w:rsidRPr="3E8291B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vyhodnocení sběru výsledků výzkumu, vývoje a inovací </w:t>
            </w:r>
          </w:p>
          <w:p w14:paraId="1F1B6617" w14:textId="25D0AABE" w:rsidR="00E64098" w:rsidRPr="008B4A7D" w:rsidRDefault="109B3F48" w:rsidP="3E8291B3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3E8291B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b)</w:t>
            </w:r>
            <w:r w:rsidR="00B06939">
              <w:tab/>
            </w:r>
            <w:r w:rsidRPr="3E8291B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vyhodnocení oprav po meziročních kontrolách</w:t>
            </w:r>
          </w:p>
          <w:p w14:paraId="40039122" w14:textId="256D73B9" w:rsidR="00E64098" w:rsidRPr="008B4A7D" w:rsidRDefault="109B3F48" w:rsidP="3E8291B3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3E8291B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c)</w:t>
            </w:r>
            <w:r w:rsidR="00B06939">
              <w:tab/>
            </w:r>
            <w:r w:rsidRPr="3E8291B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informace o proběhlé atestaci Informačního systému veřejné správy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14:paraId="63E38C62" w14:textId="24CC21C4" w:rsidR="008F77F6" w:rsidRPr="009870E8" w:rsidRDefault="1ADB2EE9" w:rsidP="602AACFF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94B2FC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  <w:r w:rsidR="2145E656" w:rsidRPr="094B2FC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6</w:t>
            </w:r>
            <w:r w:rsidR="78F6D92B" w:rsidRPr="094B2FC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9</w:t>
            </w:r>
            <w:r w:rsidRPr="094B2FC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/</w:t>
            </w:r>
            <w:r w:rsidR="7DC47FF1" w:rsidRPr="094B2FC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A10</w:t>
            </w:r>
          </w:p>
        </w:tc>
      </w:tr>
      <w:tr w:rsidR="008F77F6" w:rsidRPr="00DE2BC0" w14:paraId="5922D328" w14:textId="77777777" w:rsidTr="62D0C9B7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B98E4CA" w14:textId="77777777" w:rsidR="008F77F6" w:rsidRPr="008F77F6" w:rsidRDefault="000F4331" w:rsidP="00323D65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623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38DFCA9" w14:textId="77777777" w:rsidR="008F77F6" w:rsidRPr="000607ED" w:rsidRDefault="00FF57D0" w:rsidP="00323D6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B61641">
              <w:rPr>
                <w:rFonts w:ascii="Arial" w:hAnsi="Arial" w:cs="Arial"/>
                <w:i/>
                <w:sz w:val="22"/>
                <w:szCs w:val="22"/>
              </w:rPr>
              <w:t xml:space="preserve">rof. </w:t>
            </w:r>
            <w:proofErr w:type="spellStart"/>
            <w:r w:rsidR="00B61641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8F77F6" w:rsidRPr="00DE2BC0" w14:paraId="262A1FEE" w14:textId="77777777" w:rsidTr="62D0C9B7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0B97B9" w14:textId="77777777" w:rsidR="008F77F6" w:rsidRPr="008F77F6" w:rsidRDefault="008F77F6" w:rsidP="00323D6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623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C86727" w14:textId="66344360" w:rsidR="008F77F6" w:rsidRPr="00115DD5" w:rsidRDefault="00552943" w:rsidP="61F0DF42">
            <w:pPr>
              <w:spacing w:before="120" w:after="1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61F0DF42">
              <w:rPr>
                <w:rFonts w:ascii="Arial" w:hAnsi="Arial" w:cs="Arial"/>
                <w:i/>
                <w:iCs/>
                <w:sz w:val="22"/>
                <w:szCs w:val="22"/>
              </w:rPr>
              <w:t>Ing. Janovský</w:t>
            </w:r>
            <w:r w:rsidR="004E352F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54B8B4DF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Ing. Rychtařík, </w:t>
            </w:r>
            <w:r w:rsidR="004E352F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Odbor </w:t>
            </w:r>
            <w:r w:rsidR="00740E10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>informatiky</w:t>
            </w:r>
            <w:r w:rsidR="00316410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5D8CC8CD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>9</w:t>
            </w:r>
            <w:r w:rsidR="00FF57D0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 w:rsidRPr="61F0DF42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="60319D70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="00FF57D0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 w:rsidRPr="61F0DF42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="004B5C0F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>20</w:t>
            </w:r>
            <w:r w:rsidR="00740E10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  <w:r w:rsidR="00651D11" w:rsidRPr="61F0DF42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</w:tr>
      <w:tr w:rsidR="008F77F6" w:rsidRPr="00DE2BC0" w14:paraId="1536AE53" w14:textId="77777777" w:rsidTr="62D0C9B7">
        <w:trPr>
          <w:trHeight w:val="8727"/>
        </w:trPr>
        <w:tc>
          <w:tcPr>
            <w:tcW w:w="1017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17C25B" w14:textId="77777777" w:rsidR="008F77F6" w:rsidRDefault="008F77F6" w:rsidP="00323D6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7E048C4D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Souhrn</w:t>
            </w:r>
          </w:p>
          <w:p w14:paraId="5656ACD2" w14:textId="1CC30E99" w:rsidR="1A5518A7" w:rsidRDefault="1A5518A7" w:rsidP="7E048C4D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2D6DE05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a)</w:t>
            </w:r>
            <w:r>
              <w:tab/>
            </w:r>
            <w:r w:rsidRPr="2D6DE05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vyhodnocení sběru výsledků výzkumu, vývoje a inovací</w:t>
            </w:r>
          </w:p>
          <w:p w14:paraId="4267C6F7" w14:textId="4D74F8D1" w:rsidR="52F7BAE9" w:rsidRPr="00961815" w:rsidRDefault="5B71FB6C" w:rsidP="52F7BAE9">
            <w:pPr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52F7BAE9">
              <w:rPr>
                <w:rFonts w:ascii="Arial" w:eastAsia="Calibri" w:hAnsi="Arial" w:cs="Arial"/>
                <w:sz w:val="22"/>
                <w:szCs w:val="22"/>
              </w:rPr>
              <w:t>V období od 1. 1</w:t>
            </w:r>
            <w:r w:rsidR="1A16E09E" w:rsidRPr="52F7BAE9">
              <w:rPr>
                <w:rFonts w:ascii="Arial" w:eastAsia="Calibri" w:hAnsi="Arial" w:cs="Arial"/>
                <w:sz w:val="22"/>
                <w:szCs w:val="22"/>
              </w:rPr>
              <w:t xml:space="preserve">. 2021 do 31. 5. 2021 bylo do IS </w:t>
            </w:r>
            <w:proofErr w:type="spellStart"/>
            <w:r w:rsidR="1A16E09E" w:rsidRPr="52F7BAE9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1A16E09E" w:rsidRPr="52F7BAE9">
              <w:rPr>
                <w:rFonts w:ascii="Arial" w:eastAsia="Calibri" w:hAnsi="Arial" w:cs="Arial"/>
                <w:sz w:val="22"/>
                <w:szCs w:val="22"/>
              </w:rPr>
              <w:t xml:space="preserve"> předáno 81</w:t>
            </w:r>
            <w:r w:rsidR="2F6E6E2B" w:rsidRPr="52F7BAE9">
              <w:rPr>
                <w:rFonts w:ascii="Arial" w:eastAsia="Calibri" w:hAnsi="Arial" w:cs="Arial"/>
                <w:sz w:val="22"/>
                <w:szCs w:val="22"/>
              </w:rPr>
              <w:t xml:space="preserve"> 640</w:t>
            </w:r>
            <w:r w:rsidR="53782F7A" w:rsidRPr="52F7BAE9">
              <w:rPr>
                <w:rFonts w:ascii="Arial" w:eastAsia="Calibri" w:hAnsi="Arial" w:cs="Arial"/>
                <w:sz w:val="22"/>
                <w:szCs w:val="22"/>
              </w:rPr>
              <w:t xml:space="preserve"> záznamů o výsledcích</w:t>
            </w:r>
            <w:r w:rsidR="2F6E6E2B" w:rsidRPr="52F7BAE9">
              <w:rPr>
                <w:rFonts w:ascii="Arial" w:eastAsia="Calibri" w:hAnsi="Arial" w:cs="Arial"/>
                <w:sz w:val="22"/>
                <w:szCs w:val="22"/>
              </w:rPr>
              <w:t xml:space="preserve">. Sběr výsledků proběhl bez jakýchkoliv problémů. </w:t>
            </w:r>
            <w:r w:rsidR="0B17B05B" w:rsidRPr="52F7BAE9">
              <w:rPr>
                <w:rFonts w:ascii="Arial" w:eastAsia="Calibri" w:hAnsi="Arial" w:cs="Arial"/>
                <w:sz w:val="22"/>
                <w:szCs w:val="22"/>
              </w:rPr>
              <w:t xml:space="preserve">Detailnější </w:t>
            </w:r>
            <w:r w:rsidR="097D4A6F" w:rsidRPr="52F7BAE9">
              <w:rPr>
                <w:rFonts w:ascii="Arial" w:eastAsia="Calibri" w:hAnsi="Arial" w:cs="Arial"/>
                <w:sz w:val="22"/>
                <w:szCs w:val="22"/>
              </w:rPr>
              <w:t>informace o</w:t>
            </w:r>
            <w:r w:rsidR="0B17B05B" w:rsidRPr="52F7BAE9">
              <w:rPr>
                <w:rFonts w:ascii="Arial" w:eastAsia="Calibri" w:hAnsi="Arial" w:cs="Arial"/>
                <w:sz w:val="22"/>
                <w:szCs w:val="22"/>
              </w:rPr>
              <w:t xml:space="preserve"> předaných záznam</w:t>
            </w:r>
            <w:r w:rsidR="442BF204" w:rsidRPr="52F7BAE9">
              <w:rPr>
                <w:rFonts w:ascii="Arial" w:eastAsia="Calibri" w:hAnsi="Arial" w:cs="Arial"/>
                <w:sz w:val="22"/>
                <w:szCs w:val="22"/>
              </w:rPr>
              <w:t>ech</w:t>
            </w:r>
            <w:r w:rsidR="0B17B05B" w:rsidRPr="52F7BAE9">
              <w:rPr>
                <w:rFonts w:ascii="Arial" w:eastAsia="Calibri" w:hAnsi="Arial" w:cs="Arial"/>
                <w:sz w:val="22"/>
                <w:szCs w:val="22"/>
              </w:rPr>
              <w:t xml:space="preserve"> a srovnání s předchozími roky viz prezentace </w:t>
            </w:r>
            <w:r w:rsidR="7751EB86" w:rsidRPr="52F7BAE9">
              <w:rPr>
                <w:rFonts w:ascii="Arial" w:eastAsia="Calibri" w:hAnsi="Arial" w:cs="Arial"/>
                <w:sz w:val="22"/>
                <w:szCs w:val="22"/>
              </w:rPr>
              <w:t>(příloha č. 1)</w:t>
            </w:r>
            <w:r w:rsidR="0B17B05B" w:rsidRPr="52F7BAE9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14:paraId="40AE77AE" w14:textId="30F0588F" w:rsidR="611595F3" w:rsidRDefault="611595F3" w:rsidP="7E048C4D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7E048C4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b)</w:t>
            </w:r>
            <w:r>
              <w:tab/>
            </w:r>
            <w:r w:rsidRPr="7E048C4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vyhodnocení oprav po meziročních kontrolách</w:t>
            </w:r>
          </w:p>
          <w:p w14:paraId="5F87EF2E" w14:textId="450900A7" w:rsidR="00C27DEB" w:rsidRPr="00C27DEB" w:rsidRDefault="00C27DEB" w:rsidP="00323D65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52F7BAE9">
              <w:rPr>
                <w:rFonts w:ascii="Arial" w:eastAsia="Calibri" w:hAnsi="Arial" w:cs="Arial"/>
                <w:sz w:val="22"/>
                <w:szCs w:val="22"/>
              </w:rPr>
              <w:t>Dle § 31 odst. 10 zákona č.</w:t>
            </w:r>
            <w:r w:rsidR="546C49B8" w:rsidRPr="52F7BAE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>130/2002 Sb., o podpoře výzkumu, experimentálního vývoje a inovací, ve</w:t>
            </w:r>
            <w:r w:rsidR="005572C7" w:rsidRPr="52F7BAE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 xml:space="preserve">znění pozdějších předpisů (dále jen „zákon“) je Rada pro výzkum, vývoj a inovace, jakožto provozovatel Informačního systému výzkumu, vývoje a inovací (dále jen „IS </w:t>
            </w:r>
            <w:proofErr w:type="spellStart"/>
            <w:r w:rsidRPr="52F7BAE9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52F7BAE9">
              <w:rPr>
                <w:rFonts w:ascii="Arial" w:eastAsia="Calibri" w:hAnsi="Arial" w:cs="Arial"/>
                <w:sz w:val="22"/>
                <w:szCs w:val="22"/>
              </w:rPr>
              <w:t>“), povinna provést nejpozději do 90 kalendářních dnů od</w:t>
            </w:r>
            <w:r w:rsidR="00552943" w:rsidRPr="52F7BAE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>počátku kalendářního roku následujícího po</w:t>
            </w:r>
            <w:r w:rsidR="00212C86" w:rsidRPr="52F7BAE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 xml:space="preserve">zařazení údajů do IS </w:t>
            </w:r>
            <w:proofErr w:type="spellStart"/>
            <w:r w:rsidRPr="52F7BAE9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52F7BAE9">
              <w:rPr>
                <w:rFonts w:ascii="Arial" w:eastAsia="Calibri" w:hAnsi="Arial" w:cs="Arial"/>
                <w:sz w:val="22"/>
                <w:szCs w:val="22"/>
              </w:rPr>
              <w:t xml:space="preserve"> kontrolu souladu mezi údaji různých poskytovatelů včetně kontroly jejich souladu s</w:t>
            </w:r>
            <w:r w:rsidR="04ED851C" w:rsidRPr="52F7BAE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>údaji zařazenými v předcházejících letech. Při zjištění nesouladu mezi údaji je provozovatel oprávněn požadovat od poskytovatele opravu předaných údajů v souladu s</w:t>
            </w:r>
            <w:r w:rsidR="005572C7" w:rsidRPr="52F7BAE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>ustanoveními §</w:t>
            </w:r>
            <w:r w:rsidR="00EE6684" w:rsidRPr="52F7BAE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>12 a § 31 odst. 5</w:t>
            </w:r>
            <w:r w:rsidR="693E85B1" w:rsidRPr="52F7BAE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 xml:space="preserve">zákona. </w:t>
            </w:r>
          </w:p>
          <w:p w14:paraId="7CEF948B" w14:textId="3E23FFDE" w:rsidR="00C27DEB" w:rsidRDefault="00C27DEB" w:rsidP="00323D65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52F7BAE9">
              <w:rPr>
                <w:rFonts w:ascii="Arial" w:eastAsia="Calibri" w:hAnsi="Arial" w:cs="Arial"/>
                <w:sz w:val="22"/>
                <w:szCs w:val="22"/>
              </w:rPr>
              <w:t xml:space="preserve">Kontrola dat předaných do IS </w:t>
            </w:r>
            <w:proofErr w:type="spellStart"/>
            <w:r w:rsidRPr="52F7BAE9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52F7BAE9">
              <w:rPr>
                <w:rFonts w:ascii="Arial" w:eastAsia="Calibri" w:hAnsi="Arial" w:cs="Arial"/>
                <w:sz w:val="22"/>
                <w:szCs w:val="22"/>
              </w:rPr>
              <w:t xml:space="preserve"> byla provedena k datu </w:t>
            </w:r>
            <w:r w:rsidR="003A7244" w:rsidRPr="52F7BAE9">
              <w:rPr>
                <w:rFonts w:ascii="Arial" w:eastAsia="Calibri" w:hAnsi="Arial" w:cs="Arial"/>
                <w:sz w:val="22"/>
                <w:szCs w:val="22"/>
              </w:rPr>
              <w:t>23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>. 3. 20</w:t>
            </w:r>
            <w:r w:rsidR="00740E10" w:rsidRPr="52F7BAE9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3A7244" w:rsidRPr="52F7BAE9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>,</w:t>
            </w:r>
            <w:r w:rsidRPr="52F7BAE9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>a to u </w:t>
            </w:r>
            <w:r w:rsidR="00251DED" w:rsidRPr="52F7BAE9">
              <w:rPr>
                <w:rFonts w:ascii="Arial" w:eastAsia="Calibri" w:hAnsi="Arial" w:cs="Arial"/>
                <w:sz w:val="22"/>
                <w:szCs w:val="22"/>
              </w:rPr>
              <w:t>všech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> poskytovatelů podpory</w:t>
            </w:r>
            <w:r w:rsidR="00251DED" w:rsidRPr="52F7BAE9">
              <w:rPr>
                <w:rFonts w:ascii="Arial" w:eastAsia="Calibri" w:hAnsi="Arial" w:cs="Arial"/>
                <w:sz w:val="22"/>
                <w:szCs w:val="22"/>
              </w:rPr>
              <w:t xml:space="preserve"> na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52F7BAE9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52F7BAE9">
              <w:rPr>
                <w:rFonts w:ascii="Arial" w:eastAsia="Calibri" w:hAnsi="Arial" w:cs="Arial"/>
                <w:sz w:val="22"/>
                <w:szCs w:val="22"/>
              </w:rPr>
              <w:t xml:space="preserve"> vůči všem aktuálním záznamům uloženým v</w:t>
            </w:r>
            <w:r w:rsidR="00552943" w:rsidRPr="52F7BAE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52F7BAE9">
              <w:rPr>
                <w:rFonts w:ascii="Arial" w:eastAsia="Calibri" w:hAnsi="Arial" w:cs="Arial"/>
                <w:sz w:val="22"/>
                <w:szCs w:val="22"/>
              </w:rPr>
              <w:t>databázi IS </w:t>
            </w:r>
            <w:proofErr w:type="spellStart"/>
            <w:r w:rsidRPr="52F7BAE9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52F7BAE9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  <w:r w:rsidR="003E21C8" w:rsidRPr="52F7BAE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75314728" w14:textId="77777777" w:rsidR="00A54CD4" w:rsidRPr="00A54CD4" w:rsidRDefault="003E21C8" w:rsidP="00A54CD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61F0DF42">
              <w:rPr>
                <w:rFonts w:ascii="Arial" w:eastAsia="Calibri" w:hAnsi="Arial" w:cs="Arial"/>
                <w:sz w:val="22"/>
                <w:szCs w:val="22"/>
              </w:rPr>
              <w:t xml:space="preserve">Poskytovatelé byli dne </w:t>
            </w:r>
            <w:r w:rsidR="003A7244" w:rsidRPr="61F0DF42">
              <w:rPr>
                <w:rFonts w:ascii="Arial" w:eastAsia="Calibri" w:hAnsi="Arial" w:cs="Arial"/>
                <w:sz w:val="22"/>
                <w:szCs w:val="22"/>
              </w:rPr>
              <w:t>26</w:t>
            </w:r>
            <w:r w:rsidRPr="61F0DF42">
              <w:rPr>
                <w:rFonts w:ascii="Arial" w:eastAsia="Calibri" w:hAnsi="Arial" w:cs="Arial"/>
                <w:sz w:val="22"/>
                <w:szCs w:val="22"/>
              </w:rPr>
              <w:t>. března 20</w:t>
            </w:r>
            <w:r w:rsidR="00900DFA" w:rsidRPr="61F0DF42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3A7244" w:rsidRPr="61F0DF42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Pr="61F0DF42">
              <w:rPr>
                <w:rFonts w:ascii="Arial" w:eastAsia="Calibri" w:hAnsi="Arial" w:cs="Arial"/>
                <w:sz w:val="22"/>
                <w:szCs w:val="22"/>
              </w:rPr>
              <w:t xml:space="preserve"> informováni o závěrech provedené kontroly a byli vyzváni k</w:t>
            </w:r>
            <w:r w:rsidR="005572C7" w:rsidRPr="61F0DF42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1F0DF42">
              <w:rPr>
                <w:rFonts w:ascii="Arial" w:eastAsia="Calibri" w:hAnsi="Arial" w:cs="Arial"/>
                <w:sz w:val="22"/>
                <w:szCs w:val="22"/>
              </w:rPr>
              <w:t xml:space="preserve">provedení oprav příp. doplnění údajů s termínem do </w:t>
            </w:r>
            <w:r w:rsidR="003A7244" w:rsidRPr="61F0DF42">
              <w:rPr>
                <w:rFonts w:ascii="Arial" w:eastAsia="Calibri" w:hAnsi="Arial" w:cs="Arial"/>
                <w:sz w:val="22"/>
                <w:szCs w:val="22"/>
              </w:rPr>
              <w:t>4</w:t>
            </w:r>
            <w:r w:rsidRPr="61F0DF42">
              <w:rPr>
                <w:rFonts w:ascii="Arial" w:eastAsia="Calibri" w:hAnsi="Arial" w:cs="Arial"/>
                <w:sz w:val="22"/>
                <w:szCs w:val="22"/>
              </w:rPr>
              <w:t>. června 20</w:t>
            </w:r>
            <w:r w:rsidR="00622538" w:rsidRPr="61F0DF42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3A7244" w:rsidRPr="61F0DF42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Pr="61F0DF42">
              <w:rPr>
                <w:rFonts w:ascii="Arial" w:eastAsia="Calibri" w:hAnsi="Arial" w:cs="Arial"/>
                <w:sz w:val="22"/>
                <w:szCs w:val="22"/>
              </w:rPr>
              <w:t>. Tím byla naplněna povinnost provedení kontroly databáze</w:t>
            </w:r>
            <w:r w:rsidR="00622538" w:rsidRPr="61F0DF4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61F0DF42">
              <w:rPr>
                <w:rFonts w:ascii="Arial" w:eastAsia="Calibri" w:hAnsi="Arial" w:cs="Arial"/>
                <w:sz w:val="22"/>
                <w:szCs w:val="22"/>
              </w:rPr>
              <w:t xml:space="preserve">IS </w:t>
            </w:r>
            <w:proofErr w:type="spellStart"/>
            <w:r w:rsidRPr="61F0DF42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61F0DF42">
              <w:rPr>
                <w:rFonts w:ascii="Arial" w:eastAsia="Calibri" w:hAnsi="Arial" w:cs="Arial"/>
                <w:sz w:val="22"/>
                <w:szCs w:val="22"/>
              </w:rPr>
              <w:t xml:space="preserve"> stanovená § 31 odst. 10 zákona. </w:t>
            </w:r>
            <w:r w:rsidR="00A54CD4" w:rsidRPr="61F0DF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39BF76" w14:textId="64F2B0C9" w:rsidR="005725C4" w:rsidRPr="00961815" w:rsidRDefault="08A456F0" w:rsidP="00961815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4C2CE938">
              <w:rPr>
                <w:rFonts w:ascii="Arial" w:hAnsi="Arial" w:cs="Arial"/>
                <w:b/>
                <w:bCs/>
                <w:sz w:val="22"/>
                <w:szCs w:val="22"/>
              </w:rPr>
              <w:t>Ke dni 9. června 2021 všichni poskytovatelé</w:t>
            </w:r>
            <w:r w:rsidR="6F120E40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>, s výjimkou Ministerstva zdravotnictví,</w:t>
            </w:r>
            <w:r w:rsidRPr="4C2CE9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zjištěné nedostatky odstranili. </w:t>
            </w:r>
            <w:r w:rsidR="0E3A62FE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 </w:t>
            </w:r>
            <w:r w:rsidRPr="4C2CE938">
              <w:rPr>
                <w:rFonts w:ascii="Arial" w:hAnsi="Arial" w:cs="Arial"/>
                <w:b/>
                <w:bCs/>
                <w:sz w:val="22"/>
                <w:szCs w:val="22"/>
              </w:rPr>
              <w:t>Ministerstv</w:t>
            </w:r>
            <w:r w:rsidR="798D6F70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4C2CE9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BBC2B8A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>zdravotnictví</w:t>
            </w:r>
            <w:r w:rsidR="52B1BDED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</w:t>
            </w:r>
            <w:r w:rsidR="7E2CF7D6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šechny </w:t>
            </w:r>
            <w:r w:rsidR="2B5A1BC6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nedostatky </w:t>
            </w:r>
            <w:r w:rsidR="7E2CF7D6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zjištěné </w:t>
            </w:r>
            <w:r w:rsidR="6D59DE42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>během meziročních kont</w:t>
            </w:r>
            <w:r w:rsidR="0314A948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="6D59DE42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ol </w:t>
            </w:r>
            <w:r w:rsidR="7E2CF7D6" w:rsidRPr="4C2CE938">
              <w:rPr>
                <w:rFonts w:ascii="Arial" w:hAnsi="Arial" w:cs="Arial"/>
                <w:b/>
                <w:bCs/>
                <w:sz w:val="22"/>
                <w:szCs w:val="22"/>
              </w:rPr>
              <w:t>přetrvávají (nepředaná data u 14 projektů).</w:t>
            </w:r>
          </w:p>
          <w:p w14:paraId="19F86F94" w14:textId="78500292" w:rsidR="006203A5" w:rsidRPr="00A54CD4" w:rsidRDefault="6E58BBC3" w:rsidP="7E048C4D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7E048C4D">
              <w:rPr>
                <w:rFonts w:ascii="Arial" w:hAnsi="Arial" w:cs="Arial"/>
                <w:b/>
                <w:bCs/>
                <w:sz w:val="22"/>
                <w:szCs w:val="22"/>
              </w:rPr>
              <w:t>c)</w:t>
            </w:r>
            <w:r w:rsidR="006203A5">
              <w:tab/>
            </w:r>
            <w:r w:rsidRPr="7E048C4D">
              <w:rPr>
                <w:rFonts w:ascii="Arial" w:hAnsi="Arial" w:cs="Arial"/>
                <w:b/>
                <w:bCs/>
                <w:sz w:val="22"/>
                <w:szCs w:val="22"/>
              </w:rPr>
              <w:t>informace o proběhlé atestaci Informačního systému veřejné správy</w:t>
            </w:r>
          </w:p>
          <w:p w14:paraId="2E412BB6" w14:textId="75D2C235" w:rsidR="006203A5" w:rsidRPr="00A54CD4" w:rsidRDefault="5DC747C6" w:rsidP="2D6DE050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52F7BAE9">
              <w:rPr>
                <w:rFonts w:ascii="Arial" w:eastAsia="Arial" w:hAnsi="Arial" w:cs="Arial"/>
                <w:sz w:val="22"/>
                <w:szCs w:val="22"/>
              </w:rPr>
              <w:t xml:space="preserve">Počátkem roku 2021 </w:t>
            </w:r>
            <w:r w:rsidR="37D94BFC" w:rsidRPr="52F7BAE9">
              <w:rPr>
                <w:rFonts w:ascii="Arial" w:eastAsia="Arial" w:hAnsi="Arial" w:cs="Arial"/>
                <w:sz w:val="22"/>
                <w:szCs w:val="22"/>
              </w:rPr>
              <w:t>byla provedena</w:t>
            </w:r>
            <w:r w:rsidRPr="52F7BAE9">
              <w:rPr>
                <w:rFonts w:ascii="Arial" w:eastAsia="Arial" w:hAnsi="Arial" w:cs="Arial"/>
                <w:sz w:val="22"/>
                <w:szCs w:val="22"/>
              </w:rPr>
              <w:t xml:space="preserve"> pravidelná aktualizace provozní a bezpečnostní dokumentace IS </w:t>
            </w:r>
            <w:proofErr w:type="spellStart"/>
            <w:r w:rsidRPr="52F7BAE9">
              <w:rPr>
                <w:rFonts w:ascii="Arial" w:eastAsia="Arial" w:hAnsi="Arial" w:cs="Arial"/>
                <w:sz w:val="22"/>
                <w:szCs w:val="22"/>
              </w:rPr>
              <w:t>VaVaI</w:t>
            </w:r>
            <w:proofErr w:type="spellEnd"/>
            <w:r w:rsidR="58C274D8" w:rsidRPr="52F7BAE9">
              <w:rPr>
                <w:rFonts w:ascii="Arial" w:eastAsia="Arial" w:hAnsi="Arial" w:cs="Arial"/>
                <w:sz w:val="22"/>
                <w:szCs w:val="22"/>
              </w:rPr>
              <w:t xml:space="preserve">. V dubnu </w:t>
            </w:r>
            <w:r w:rsidRPr="52F7BAE9">
              <w:rPr>
                <w:rFonts w:ascii="Arial" w:eastAsia="Arial" w:hAnsi="Arial" w:cs="Arial"/>
                <w:sz w:val="22"/>
                <w:szCs w:val="22"/>
              </w:rPr>
              <w:t>202</w:t>
            </w:r>
            <w:r w:rsidR="1D5F27C4" w:rsidRPr="52F7BAE9">
              <w:rPr>
                <w:rFonts w:ascii="Arial" w:eastAsia="Arial" w:hAnsi="Arial" w:cs="Arial"/>
                <w:sz w:val="22"/>
                <w:szCs w:val="22"/>
              </w:rPr>
              <w:t>1 proběhl úspěšný atest shody dlouhodobého řízení ISVS s požadavky zákona č. 365/2000 Sb., o informačních systémech veřejné správy a o změně některých dalších zákonů, ve znění pozdějších předpisů.</w:t>
            </w:r>
            <w:r w:rsidR="332CEFBF" w:rsidRPr="52F7BAE9">
              <w:rPr>
                <w:rFonts w:ascii="Arial" w:eastAsia="Arial" w:hAnsi="Arial" w:cs="Arial"/>
                <w:sz w:val="22"/>
                <w:szCs w:val="22"/>
              </w:rPr>
              <w:t xml:space="preserve"> Platnost atestu je do roku 2026.</w:t>
            </w:r>
          </w:p>
        </w:tc>
      </w:tr>
      <w:tr w:rsidR="008F77F6" w:rsidRPr="00DE2BC0" w14:paraId="22E454F2" w14:textId="77777777" w:rsidTr="62D0C9B7">
        <w:trPr>
          <w:trHeight w:val="1107"/>
        </w:trPr>
        <w:tc>
          <w:tcPr>
            <w:tcW w:w="10173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CA6B62" w14:textId="77777777" w:rsidR="008F77F6" w:rsidRPr="00BB0768" w:rsidRDefault="008F77F6" w:rsidP="7E048C4D">
            <w:pPr>
              <w:spacing w:before="120" w:after="120"/>
              <w:rPr>
                <w:b/>
                <w:bCs/>
                <w:i/>
                <w:iCs/>
              </w:rPr>
            </w:pPr>
            <w:r w:rsidRPr="7E048C4D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Přílohy</w:t>
            </w:r>
          </w:p>
          <w:p w14:paraId="71E96C15" w14:textId="175541D3" w:rsidR="000607ED" w:rsidRPr="00D744C9" w:rsidRDefault="00135CEB" w:rsidP="52F7BAE9">
            <w:pPr>
              <w:spacing w:after="240"/>
              <w:jc w:val="both"/>
            </w:pPr>
            <w:r w:rsidRPr="52F7BAE9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60E59704" w:rsidRPr="52F7BAE9">
              <w:rPr>
                <w:rFonts w:ascii="Arial" w:hAnsi="Arial" w:cs="Arial"/>
                <w:sz w:val="22"/>
                <w:szCs w:val="22"/>
              </w:rPr>
              <w:t>Prezentace - v</w:t>
            </w:r>
            <w:r w:rsidR="224ABB3D" w:rsidRPr="52F7BAE9">
              <w:rPr>
                <w:rFonts w:ascii="Arial" w:hAnsi="Arial" w:cs="Arial"/>
                <w:sz w:val="22"/>
                <w:szCs w:val="22"/>
              </w:rPr>
              <w:t>yhodnocení sběru výsledků výzkumu, vývoje a inovací v roce 2021</w:t>
            </w:r>
          </w:p>
        </w:tc>
      </w:tr>
    </w:tbl>
    <w:p w14:paraId="2C807D54" w14:textId="77777777" w:rsidR="00F86D54" w:rsidRPr="008056FC" w:rsidRDefault="007525DA" w:rsidP="00B15976">
      <w:pPr>
        <w:rPr>
          <w:sz w:val="2"/>
          <w:szCs w:val="2"/>
        </w:rPr>
      </w:pPr>
      <w:bookmarkStart w:id="0" w:name="_GoBack"/>
      <w:bookmarkEnd w:id="0"/>
    </w:p>
    <w:sectPr w:rsidR="00F86D54" w:rsidRPr="008056F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4D8B5" w14:textId="77777777" w:rsidR="00F177F7" w:rsidRDefault="00F177F7" w:rsidP="008F77F6">
      <w:r>
        <w:separator/>
      </w:r>
    </w:p>
  </w:endnote>
  <w:endnote w:type="continuationSeparator" w:id="0">
    <w:p w14:paraId="79D14563" w14:textId="77777777" w:rsidR="00F177F7" w:rsidRDefault="00F177F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1EFFA" w14:textId="77777777" w:rsidR="00F177F7" w:rsidRDefault="00F177F7" w:rsidP="008F77F6">
      <w:r>
        <w:separator/>
      </w:r>
    </w:p>
  </w:footnote>
  <w:footnote w:type="continuationSeparator" w:id="0">
    <w:p w14:paraId="74FA978E" w14:textId="77777777" w:rsidR="00F177F7" w:rsidRDefault="00F177F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BCE6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48F24BF0" w:rsidRPr="602AACFF">
      <w:rPr>
        <w:rFonts w:ascii="Arial" w:hAnsi="Arial" w:cs="Arial"/>
        <w:b/>
        <w:bCs/>
      </w:rPr>
      <w:t xml:space="preserve">                       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83503"/>
    <w:multiLevelType w:val="hybridMultilevel"/>
    <w:tmpl w:val="D7B285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992E27"/>
    <w:multiLevelType w:val="hybridMultilevel"/>
    <w:tmpl w:val="DA6C1550"/>
    <w:lvl w:ilvl="0" w:tplc="8A100B5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1D96DF4"/>
    <w:multiLevelType w:val="hybridMultilevel"/>
    <w:tmpl w:val="FFFFFFFF"/>
    <w:lvl w:ilvl="0" w:tplc="D7C650FC">
      <w:start w:val="1"/>
      <w:numFmt w:val="decimal"/>
      <w:lvlText w:val="%1."/>
      <w:lvlJc w:val="left"/>
      <w:pPr>
        <w:ind w:left="720" w:hanging="360"/>
      </w:pPr>
    </w:lvl>
    <w:lvl w:ilvl="1" w:tplc="5D14335A">
      <w:start w:val="1"/>
      <w:numFmt w:val="lowerLetter"/>
      <w:lvlText w:val="%2."/>
      <w:lvlJc w:val="left"/>
      <w:pPr>
        <w:ind w:left="1440" w:hanging="360"/>
      </w:pPr>
    </w:lvl>
    <w:lvl w:ilvl="2" w:tplc="617406C4">
      <w:start w:val="1"/>
      <w:numFmt w:val="lowerRoman"/>
      <w:lvlText w:val="%3."/>
      <w:lvlJc w:val="right"/>
      <w:pPr>
        <w:ind w:left="2160" w:hanging="180"/>
      </w:pPr>
    </w:lvl>
    <w:lvl w:ilvl="3" w:tplc="CAB416C0">
      <w:start w:val="1"/>
      <w:numFmt w:val="decimal"/>
      <w:lvlText w:val="%4."/>
      <w:lvlJc w:val="left"/>
      <w:pPr>
        <w:ind w:left="2880" w:hanging="360"/>
      </w:pPr>
    </w:lvl>
    <w:lvl w:ilvl="4" w:tplc="27B22CCA">
      <w:start w:val="1"/>
      <w:numFmt w:val="lowerLetter"/>
      <w:lvlText w:val="%5."/>
      <w:lvlJc w:val="left"/>
      <w:pPr>
        <w:ind w:left="3600" w:hanging="360"/>
      </w:pPr>
    </w:lvl>
    <w:lvl w:ilvl="5" w:tplc="C6121372">
      <w:start w:val="1"/>
      <w:numFmt w:val="lowerRoman"/>
      <w:lvlText w:val="%6."/>
      <w:lvlJc w:val="right"/>
      <w:pPr>
        <w:ind w:left="4320" w:hanging="180"/>
      </w:pPr>
    </w:lvl>
    <w:lvl w:ilvl="6" w:tplc="55A892D2">
      <w:start w:val="1"/>
      <w:numFmt w:val="decimal"/>
      <w:lvlText w:val="%7."/>
      <w:lvlJc w:val="left"/>
      <w:pPr>
        <w:ind w:left="5040" w:hanging="360"/>
      </w:pPr>
    </w:lvl>
    <w:lvl w:ilvl="7" w:tplc="0A26D0C6">
      <w:start w:val="1"/>
      <w:numFmt w:val="lowerLetter"/>
      <w:lvlText w:val="%8."/>
      <w:lvlJc w:val="left"/>
      <w:pPr>
        <w:ind w:left="5760" w:hanging="360"/>
      </w:pPr>
    </w:lvl>
    <w:lvl w:ilvl="8" w:tplc="BD063BFC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9FA38CB"/>
    <w:multiLevelType w:val="hybridMultilevel"/>
    <w:tmpl w:val="F410C612"/>
    <w:lvl w:ilvl="0" w:tplc="34A270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13"/>
  </w:num>
  <w:num w:numId="10">
    <w:abstractNumId w:val="11"/>
  </w:num>
  <w:num w:numId="11">
    <w:abstractNumId w:val="14"/>
  </w:num>
  <w:num w:numId="12">
    <w:abstractNumId w:val="4"/>
  </w:num>
  <w:num w:numId="13">
    <w:abstractNumId w:val="2"/>
  </w:num>
  <w:num w:numId="14">
    <w:abstractNumId w:val="7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522"/>
    <w:rsid w:val="000048A0"/>
    <w:rsid w:val="00022B78"/>
    <w:rsid w:val="00040A5D"/>
    <w:rsid w:val="00041A9D"/>
    <w:rsid w:val="00056E15"/>
    <w:rsid w:val="000607ED"/>
    <w:rsid w:val="00085271"/>
    <w:rsid w:val="00095B2C"/>
    <w:rsid w:val="000B4BF9"/>
    <w:rsid w:val="000B7D0E"/>
    <w:rsid w:val="000C4A33"/>
    <w:rsid w:val="000D6C28"/>
    <w:rsid w:val="000F4331"/>
    <w:rsid w:val="00115DD5"/>
    <w:rsid w:val="00115E72"/>
    <w:rsid w:val="00117A43"/>
    <w:rsid w:val="00120429"/>
    <w:rsid w:val="001237E5"/>
    <w:rsid w:val="00127410"/>
    <w:rsid w:val="00135CEB"/>
    <w:rsid w:val="00141492"/>
    <w:rsid w:val="00154AA2"/>
    <w:rsid w:val="001829AF"/>
    <w:rsid w:val="001D15F9"/>
    <w:rsid w:val="001D2EFF"/>
    <w:rsid w:val="001F29B8"/>
    <w:rsid w:val="00212C86"/>
    <w:rsid w:val="002217B3"/>
    <w:rsid w:val="00237006"/>
    <w:rsid w:val="00251DED"/>
    <w:rsid w:val="0026271D"/>
    <w:rsid w:val="0026598D"/>
    <w:rsid w:val="00277F9B"/>
    <w:rsid w:val="00280B76"/>
    <w:rsid w:val="00284274"/>
    <w:rsid w:val="002A1839"/>
    <w:rsid w:val="002A18DA"/>
    <w:rsid w:val="002C1D42"/>
    <w:rsid w:val="002F0145"/>
    <w:rsid w:val="002F01DD"/>
    <w:rsid w:val="00301C40"/>
    <w:rsid w:val="0031020D"/>
    <w:rsid w:val="00316410"/>
    <w:rsid w:val="00323D65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A7244"/>
    <w:rsid w:val="003B3511"/>
    <w:rsid w:val="003C1580"/>
    <w:rsid w:val="003C3DEA"/>
    <w:rsid w:val="003C6480"/>
    <w:rsid w:val="003D114D"/>
    <w:rsid w:val="003E21C8"/>
    <w:rsid w:val="00412661"/>
    <w:rsid w:val="00414F12"/>
    <w:rsid w:val="00425C94"/>
    <w:rsid w:val="00461A40"/>
    <w:rsid w:val="00494A1F"/>
    <w:rsid w:val="00495E87"/>
    <w:rsid w:val="004A2383"/>
    <w:rsid w:val="004A31C7"/>
    <w:rsid w:val="004A6478"/>
    <w:rsid w:val="004A7F28"/>
    <w:rsid w:val="004B5C0F"/>
    <w:rsid w:val="004C416A"/>
    <w:rsid w:val="004E352F"/>
    <w:rsid w:val="004E6B96"/>
    <w:rsid w:val="00516F19"/>
    <w:rsid w:val="00533D24"/>
    <w:rsid w:val="00542570"/>
    <w:rsid w:val="00552943"/>
    <w:rsid w:val="00553E0C"/>
    <w:rsid w:val="0055683A"/>
    <w:rsid w:val="005572C7"/>
    <w:rsid w:val="005608B1"/>
    <w:rsid w:val="005725C4"/>
    <w:rsid w:val="005818BA"/>
    <w:rsid w:val="00582B31"/>
    <w:rsid w:val="005B4296"/>
    <w:rsid w:val="005E2D94"/>
    <w:rsid w:val="005F2A87"/>
    <w:rsid w:val="005F70B9"/>
    <w:rsid w:val="00600CD7"/>
    <w:rsid w:val="006102E7"/>
    <w:rsid w:val="006203A5"/>
    <w:rsid w:val="00622538"/>
    <w:rsid w:val="0063374B"/>
    <w:rsid w:val="00646D8B"/>
    <w:rsid w:val="00651C94"/>
    <w:rsid w:val="00651D11"/>
    <w:rsid w:val="006526AA"/>
    <w:rsid w:val="00660AAF"/>
    <w:rsid w:val="00676BEA"/>
    <w:rsid w:val="006818EC"/>
    <w:rsid w:val="00681D93"/>
    <w:rsid w:val="00683EDD"/>
    <w:rsid w:val="00684820"/>
    <w:rsid w:val="00697738"/>
    <w:rsid w:val="006C4FEA"/>
    <w:rsid w:val="006F708D"/>
    <w:rsid w:val="007030E0"/>
    <w:rsid w:val="007039F9"/>
    <w:rsid w:val="00712A37"/>
    <w:rsid w:val="00713180"/>
    <w:rsid w:val="007148CA"/>
    <w:rsid w:val="007173AA"/>
    <w:rsid w:val="007226BB"/>
    <w:rsid w:val="0072331F"/>
    <w:rsid w:val="00731B10"/>
    <w:rsid w:val="00737644"/>
    <w:rsid w:val="00740E10"/>
    <w:rsid w:val="007503B0"/>
    <w:rsid w:val="007525DA"/>
    <w:rsid w:val="007706E8"/>
    <w:rsid w:val="007753E4"/>
    <w:rsid w:val="007C23F0"/>
    <w:rsid w:val="007C2B70"/>
    <w:rsid w:val="007F3B96"/>
    <w:rsid w:val="008056FC"/>
    <w:rsid w:val="00810AA0"/>
    <w:rsid w:val="00821E36"/>
    <w:rsid w:val="00822B02"/>
    <w:rsid w:val="00845B07"/>
    <w:rsid w:val="00871F8E"/>
    <w:rsid w:val="008B4A7D"/>
    <w:rsid w:val="008C4952"/>
    <w:rsid w:val="008C7F2E"/>
    <w:rsid w:val="008D6012"/>
    <w:rsid w:val="008F35D6"/>
    <w:rsid w:val="008F77F6"/>
    <w:rsid w:val="00900DFA"/>
    <w:rsid w:val="0091625F"/>
    <w:rsid w:val="00925EA0"/>
    <w:rsid w:val="00961815"/>
    <w:rsid w:val="009704D2"/>
    <w:rsid w:val="00981B55"/>
    <w:rsid w:val="00981EAD"/>
    <w:rsid w:val="009829F5"/>
    <w:rsid w:val="009870E8"/>
    <w:rsid w:val="00996672"/>
    <w:rsid w:val="009A54B3"/>
    <w:rsid w:val="009B7A9C"/>
    <w:rsid w:val="00A06B5F"/>
    <w:rsid w:val="00A21F6C"/>
    <w:rsid w:val="00A22FB8"/>
    <w:rsid w:val="00A22FDD"/>
    <w:rsid w:val="00A51417"/>
    <w:rsid w:val="00A51D40"/>
    <w:rsid w:val="00A51E55"/>
    <w:rsid w:val="00A53856"/>
    <w:rsid w:val="00A549F1"/>
    <w:rsid w:val="00A54CD4"/>
    <w:rsid w:val="00A95EB9"/>
    <w:rsid w:val="00AA1B8F"/>
    <w:rsid w:val="00AA51BE"/>
    <w:rsid w:val="00AA7217"/>
    <w:rsid w:val="00AB6973"/>
    <w:rsid w:val="00AD1B1D"/>
    <w:rsid w:val="00AD58A8"/>
    <w:rsid w:val="00AE7D40"/>
    <w:rsid w:val="00AF3E25"/>
    <w:rsid w:val="00B06939"/>
    <w:rsid w:val="00B15976"/>
    <w:rsid w:val="00B25016"/>
    <w:rsid w:val="00B31656"/>
    <w:rsid w:val="00B476E7"/>
    <w:rsid w:val="00B61641"/>
    <w:rsid w:val="00B775FE"/>
    <w:rsid w:val="00B83B80"/>
    <w:rsid w:val="00B9579C"/>
    <w:rsid w:val="00B97D65"/>
    <w:rsid w:val="00BA148D"/>
    <w:rsid w:val="00BA54FD"/>
    <w:rsid w:val="00BB0768"/>
    <w:rsid w:val="00BC7F1D"/>
    <w:rsid w:val="00BD0FE7"/>
    <w:rsid w:val="00BF2E8C"/>
    <w:rsid w:val="00C0022A"/>
    <w:rsid w:val="00C06094"/>
    <w:rsid w:val="00C13140"/>
    <w:rsid w:val="00C20639"/>
    <w:rsid w:val="00C27DEB"/>
    <w:rsid w:val="00C40EBB"/>
    <w:rsid w:val="00C447D6"/>
    <w:rsid w:val="00CA2F55"/>
    <w:rsid w:val="00CB72FA"/>
    <w:rsid w:val="00CF1D9F"/>
    <w:rsid w:val="00D10E9A"/>
    <w:rsid w:val="00D2359A"/>
    <w:rsid w:val="00D27C56"/>
    <w:rsid w:val="00D35BDE"/>
    <w:rsid w:val="00D43304"/>
    <w:rsid w:val="00D744C9"/>
    <w:rsid w:val="00D83BD0"/>
    <w:rsid w:val="00D86FFA"/>
    <w:rsid w:val="00D96DE7"/>
    <w:rsid w:val="00DB3C64"/>
    <w:rsid w:val="00DC5FE9"/>
    <w:rsid w:val="00E00452"/>
    <w:rsid w:val="00E101C2"/>
    <w:rsid w:val="00E44D37"/>
    <w:rsid w:val="00E52D50"/>
    <w:rsid w:val="00E60F2F"/>
    <w:rsid w:val="00E64098"/>
    <w:rsid w:val="00E64BE1"/>
    <w:rsid w:val="00E729BD"/>
    <w:rsid w:val="00E76835"/>
    <w:rsid w:val="00E84184"/>
    <w:rsid w:val="00EA20C9"/>
    <w:rsid w:val="00EA63D9"/>
    <w:rsid w:val="00EC4CAB"/>
    <w:rsid w:val="00EC70A1"/>
    <w:rsid w:val="00ED038C"/>
    <w:rsid w:val="00EE3C6F"/>
    <w:rsid w:val="00EE6500"/>
    <w:rsid w:val="00EE6684"/>
    <w:rsid w:val="00EF24DB"/>
    <w:rsid w:val="00EF3114"/>
    <w:rsid w:val="00EF56FF"/>
    <w:rsid w:val="00F047BB"/>
    <w:rsid w:val="00F06927"/>
    <w:rsid w:val="00F177F7"/>
    <w:rsid w:val="00F24D60"/>
    <w:rsid w:val="00F52322"/>
    <w:rsid w:val="00F5508B"/>
    <w:rsid w:val="00F66B51"/>
    <w:rsid w:val="00FB1304"/>
    <w:rsid w:val="00FD0BAB"/>
    <w:rsid w:val="00FD7AD4"/>
    <w:rsid w:val="00FF01ED"/>
    <w:rsid w:val="00FF57D0"/>
    <w:rsid w:val="0314A948"/>
    <w:rsid w:val="03B0B310"/>
    <w:rsid w:val="04ED851C"/>
    <w:rsid w:val="05676EC9"/>
    <w:rsid w:val="056790C5"/>
    <w:rsid w:val="06667EEE"/>
    <w:rsid w:val="0800FAB3"/>
    <w:rsid w:val="08A456F0"/>
    <w:rsid w:val="094B2FCD"/>
    <w:rsid w:val="097D4A6F"/>
    <w:rsid w:val="0992F47A"/>
    <w:rsid w:val="09B05FFE"/>
    <w:rsid w:val="09E57774"/>
    <w:rsid w:val="0B17B05B"/>
    <w:rsid w:val="0B2BF3E2"/>
    <w:rsid w:val="0BBC2B8A"/>
    <w:rsid w:val="0CA62E65"/>
    <w:rsid w:val="0DB12551"/>
    <w:rsid w:val="0E3A62FE"/>
    <w:rsid w:val="0E821709"/>
    <w:rsid w:val="103E3BE6"/>
    <w:rsid w:val="109B3F48"/>
    <w:rsid w:val="11384CA6"/>
    <w:rsid w:val="123C0C0D"/>
    <w:rsid w:val="145A169E"/>
    <w:rsid w:val="14E4621C"/>
    <w:rsid w:val="15462921"/>
    <w:rsid w:val="179EE30A"/>
    <w:rsid w:val="18034023"/>
    <w:rsid w:val="18A41A7A"/>
    <w:rsid w:val="190AE170"/>
    <w:rsid w:val="19AE531D"/>
    <w:rsid w:val="1A16E09E"/>
    <w:rsid w:val="1A3F633D"/>
    <w:rsid w:val="1A51F99F"/>
    <w:rsid w:val="1A5518A7"/>
    <w:rsid w:val="1ADB2EE9"/>
    <w:rsid w:val="1AEF5E31"/>
    <w:rsid w:val="1B1FBDEC"/>
    <w:rsid w:val="1C6B40D0"/>
    <w:rsid w:val="1CD6B146"/>
    <w:rsid w:val="1D10954C"/>
    <w:rsid w:val="1D5F27C4"/>
    <w:rsid w:val="1DAFEFBE"/>
    <w:rsid w:val="1F135BFE"/>
    <w:rsid w:val="1FF944E0"/>
    <w:rsid w:val="20F50419"/>
    <w:rsid w:val="211AD7B6"/>
    <w:rsid w:val="2145E656"/>
    <w:rsid w:val="224ABB3D"/>
    <w:rsid w:val="228CE362"/>
    <w:rsid w:val="22A53A6F"/>
    <w:rsid w:val="22B1C3B6"/>
    <w:rsid w:val="2430A856"/>
    <w:rsid w:val="27CE68D7"/>
    <w:rsid w:val="2A560EA5"/>
    <w:rsid w:val="2B5A1BC6"/>
    <w:rsid w:val="2C20E59B"/>
    <w:rsid w:val="2D115EF2"/>
    <w:rsid w:val="2D26B74B"/>
    <w:rsid w:val="2D514D50"/>
    <w:rsid w:val="2D6DE050"/>
    <w:rsid w:val="2D70F8F0"/>
    <w:rsid w:val="2F6E6E2B"/>
    <w:rsid w:val="321EDC87"/>
    <w:rsid w:val="32E00537"/>
    <w:rsid w:val="332CEFBF"/>
    <w:rsid w:val="34F0B3DE"/>
    <w:rsid w:val="36D5CDC9"/>
    <w:rsid w:val="3750687A"/>
    <w:rsid w:val="37D94BFC"/>
    <w:rsid w:val="385503FD"/>
    <w:rsid w:val="39202988"/>
    <w:rsid w:val="39FA4013"/>
    <w:rsid w:val="3CD69B0A"/>
    <w:rsid w:val="3D569172"/>
    <w:rsid w:val="3E8291B3"/>
    <w:rsid w:val="3F4832C4"/>
    <w:rsid w:val="3F6BB314"/>
    <w:rsid w:val="3FCC6E69"/>
    <w:rsid w:val="404BA886"/>
    <w:rsid w:val="41310012"/>
    <w:rsid w:val="4158FC31"/>
    <w:rsid w:val="421A64CD"/>
    <w:rsid w:val="43FD9AA1"/>
    <w:rsid w:val="442BF204"/>
    <w:rsid w:val="48104B9C"/>
    <w:rsid w:val="48F24BF0"/>
    <w:rsid w:val="4A55220C"/>
    <w:rsid w:val="4B64DE55"/>
    <w:rsid w:val="4C2CE938"/>
    <w:rsid w:val="4CB8DE07"/>
    <w:rsid w:val="4D321700"/>
    <w:rsid w:val="4F0CC401"/>
    <w:rsid w:val="5085EE11"/>
    <w:rsid w:val="5095DE16"/>
    <w:rsid w:val="5171C37E"/>
    <w:rsid w:val="51D41FD9"/>
    <w:rsid w:val="52B1BDED"/>
    <w:rsid w:val="52F7BAE9"/>
    <w:rsid w:val="53782F7A"/>
    <w:rsid w:val="53BD8ED3"/>
    <w:rsid w:val="546C49B8"/>
    <w:rsid w:val="54B8B4DF"/>
    <w:rsid w:val="57DE9450"/>
    <w:rsid w:val="58125379"/>
    <w:rsid w:val="58C274D8"/>
    <w:rsid w:val="5B61D9C2"/>
    <w:rsid w:val="5B71FB6C"/>
    <w:rsid w:val="5D8CC8CD"/>
    <w:rsid w:val="5DC747C6"/>
    <w:rsid w:val="5DCE8E8B"/>
    <w:rsid w:val="5E19506E"/>
    <w:rsid w:val="5F971411"/>
    <w:rsid w:val="6019407B"/>
    <w:rsid w:val="602AACFF"/>
    <w:rsid w:val="60319D70"/>
    <w:rsid w:val="603A99E0"/>
    <w:rsid w:val="60E59704"/>
    <w:rsid w:val="611595F3"/>
    <w:rsid w:val="61D11B46"/>
    <w:rsid w:val="61F0DF42"/>
    <w:rsid w:val="62B2E8F3"/>
    <w:rsid w:val="62C4569B"/>
    <w:rsid w:val="62D0C9B7"/>
    <w:rsid w:val="6446F087"/>
    <w:rsid w:val="6735F301"/>
    <w:rsid w:val="68484A50"/>
    <w:rsid w:val="693E85B1"/>
    <w:rsid w:val="6986A2B7"/>
    <w:rsid w:val="69A179C2"/>
    <w:rsid w:val="6D59DE42"/>
    <w:rsid w:val="6D821392"/>
    <w:rsid w:val="6DC4D3BF"/>
    <w:rsid w:val="6E58BBC3"/>
    <w:rsid w:val="6E95D43D"/>
    <w:rsid w:val="6F120E40"/>
    <w:rsid w:val="72B5D74A"/>
    <w:rsid w:val="764A4B7F"/>
    <w:rsid w:val="7751EB86"/>
    <w:rsid w:val="78F6D92B"/>
    <w:rsid w:val="792A897B"/>
    <w:rsid w:val="798D6F70"/>
    <w:rsid w:val="7D34201B"/>
    <w:rsid w:val="7DAF01D9"/>
    <w:rsid w:val="7DC345D5"/>
    <w:rsid w:val="7DC47FF1"/>
    <w:rsid w:val="7E048C4D"/>
    <w:rsid w:val="7E2CF7D6"/>
    <w:rsid w:val="7EBC4858"/>
    <w:rsid w:val="7FF7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7AE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Standardnpsmoodstavce"/>
    <w:rsid w:val="000048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Standardnpsmoodstavce"/>
    <w:rsid w:val="00004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2" ma:contentTypeDescription="Vytvoří nový dokument" ma:contentTypeScope="" ma:versionID="d577e8f3e16eb7d7bc1aca659c59def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e0a2e3bba45973160ee7ecf84cf07131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7AF0B-FA56-4AE4-B4AC-32911D424F0A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28dfb0ed-f80b-4b35-bcdf-5c531d1c7e31"/>
    <ds:schemaRef ds:uri="http://schemas.microsoft.com/office/infopath/2007/PartnerControls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8215196-0B9D-4DEA-8951-03729E4A2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8620ED-9858-49E1-AF35-F600F738C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</cp:revision>
  <cp:lastPrinted>2018-06-22T10:53:00Z</cp:lastPrinted>
  <dcterms:created xsi:type="dcterms:W3CDTF">2021-06-09T11:34:00Z</dcterms:created>
  <dcterms:modified xsi:type="dcterms:W3CDTF">2021-07-01T06:56:00Z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0fee4a33-86dc-4507-b36e-db868b6d4f79_Enabled">
    <vt:lpwstr>True</vt:lpwstr>
  </property>
  <property fmtid="{D5CDD505-2E9C-101B-9397-08002B2CF9AE}" pid="4" name="MSIP_Label_0fee4a33-86dc-4507-b36e-db868b6d4f79_SiteId">
    <vt:lpwstr>6c6b3a28-d631-4812-a143-ca5f671c55ac</vt:lpwstr>
  </property>
  <property fmtid="{D5CDD505-2E9C-101B-9397-08002B2CF9AE}" pid="5" name="MSIP_Label_0fee4a33-86dc-4507-b36e-db868b6d4f79_ActionId">
    <vt:lpwstr>6984d72e-e5c3-4523-8e4f-187b14b2d360</vt:lpwstr>
  </property>
  <property fmtid="{D5CDD505-2E9C-101B-9397-08002B2CF9AE}" pid="6" name="MSIP_Label_0fee4a33-86dc-4507-b36e-db868b6d4f79_Method">
    <vt:lpwstr>Privileged</vt:lpwstr>
  </property>
  <property fmtid="{D5CDD505-2E9C-101B-9397-08002B2CF9AE}" pid="7" name="MSIP_Label_0fee4a33-86dc-4507-b36e-db868b6d4f79_SetDate">
    <vt:lpwstr>2021-06-09T11:19:06Z</vt:lpwstr>
  </property>
  <property fmtid="{D5CDD505-2E9C-101B-9397-08002B2CF9AE}" pid="8" name="MSIP_Label_0fee4a33-86dc-4507-b36e-db868b6d4f79_Name">
    <vt:lpwstr>Public</vt:lpwstr>
  </property>
  <property fmtid="{D5CDD505-2E9C-101B-9397-08002B2CF9AE}" pid="9" name="MSIP_Label_0fee4a33-86dc-4507-b36e-db868b6d4f79_ContentBits">
    <vt:lpwstr>0</vt:lpwstr>
  </property>
</Properties>
</file>