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90663F" w14:textId="18EDFA5E" w:rsidR="0036143B" w:rsidRDefault="00184E72" w:rsidP="000D4CB1">
      <w:pPr>
        <w:ind w:firstLine="708"/>
        <w:jc w:val="center"/>
        <w:rPr>
          <w:b/>
          <w:bCs/>
          <w:sz w:val="28"/>
          <w:szCs w:val="28"/>
        </w:rPr>
      </w:pPr>
      <w:r>
        <w:rPr>
          <w:b/>
          <w:bCs/>
          <w:sz w:val="28"/>
          <w:szCs w:val="28"/>
        </w:rPr>
        <w:t>ETICKÝ KODEX</w:t>
      </w:r>
    </w:p>
    <w:p w14:paraId="2B1A7B0C" w14:textId="77777777" w:rsidR="0036143B" w:rsidRDefault="00184E72">
      <w:pPr>
        <w:jc w:val="center"/>
        <w:rPr>
          <w:b/>
          <w:bCs/>
          <w:sz w:val="28"/>
          <w:szCs w:val="28"/>
        </w:rPr>
      </w:pPr>
      <w:r>
        <w:rPr>
          <w:b/>
          <w:bCs/>
          <w:sz w:val="28"/>
          <w:szCs w:val="28"/>
        </w:rPr>
        <w:t xml:space="preserve">Výboru Národního plánu obnovy </w:t>
      </w:r>
    </w:p>
    <w:p w14:paraId="672A6659" w14:textId="77777777" w:rsidR="0036143B" w:rsidRDefault="0036143B">
      <w:pPr>
        <w:spacing w:after="0"/>
        <w:jc w:val="center"/>
        <w:rPr>
          <w:b/>
          <w:bCs/>
        </w:rPr>
      </w:pPr>
    </w:p>
    <w:p w14:paraId="0B747F1B" w14:textId="77777777" w:rsidR="0036143B" w:rsidRDefault="00184E72">
      <w:pPr>
        <w:spacing w:after="0"/>
        <w:jc w:val="center"/>
        <w:rPr>
          <w:b/>
          <w:bCs/>
        </w:rPr>
      </w:pPr>
      <w:r>
        <w:rPr>
          <w:b/>
          <w:bCs/>
        </w:rPr>
        <w:t xml:space="preserve">Článek I </w:t>
      </w:r>
    </w:p>
    <w:p w14:paraId="117461EB" w14:textId="77777777" w:rsidR="0036143B" w:rsidRDefault="00184E72">
      <w:pPr>
        <w:jc w:val="center"/>
        <w:rPr>
          <w:b/>
          <w:bCs/>
        </w:rPr>
      </w:pPr>
      <w:r>
        <w:rPr>
          <w:b/>
          <w:bCs/>
        </w:rPr>
        <w:t>Úvodní ustanovení</w:t>
      </w:r>
    </w:p>
    <w:p w14:paraId="3A87E8FD" w14:textId="77777777" w:rsidR="0036143B" w:rsidRDefault="00184E72">
      <w:pPr>
        <w:pStyle w:val="Odstavecseseznamem"/>
        <w:numPr>
          <w:ilvl w:val="0"/>
          <w:numId w:val="5"/>
        </w:numPr>
        <w:jc w:val="both"/>
      </w:pPr>
      <w:r>
        <w:t xml:space="preserve">Etický kodex Výboru Národního plánu obnovy (dále jen “Etický kodex”) je závazný pro všechny členy Výboru Národního plánu obnovy (dále jen “výbor“) a vydán za účelem vytvoření podmínek pro úspěšné a účelné fungování výboru. </w:t>
      </w:r>
    </w:p>
    <w:p w14:paraId="1A37AC07" w14:textId="15C3B24E" w:rsidR="0036143B" w:rsidRPr="00DA711A" w:rsidRDefault="00184E72">
      <w:pPr>
        <w:pStyle w:val="Odstavecseseznamem"/>
        <w:numPr>
          <w:ilvl w:val="0"/>
          <w:numId w:val="5"/>
        </w:numPr>
        <w:jc w:val="both"/>
      </w:pPr>
      <w:r>
        <w:t xml:space="preserve">Etický kodex je nedílnou součástí Statutu Výboru Národního plánu obnovy, který byl schválen </w:t>
      </w:r>
      <w:r w:rsidRPr="00DA711A">
        <w:t xml:space="preserve">čl. I, bodem </w:t>
      </w:r>
      <w:r w:rsidR="00DA711A" w:rsidRPr="00DA711A">
        <w:t>4</w:t>
      </w:r>
      <w:r w:rsidRPr="00DA711A">
        <w:t xml:space="preserve"> usnesením vlády dne</w:t>
      </w:r>
      <w:r w:rsidR="00DA711A" w:rsidRPr="00DA711A">
        <w:t xml:space="preserve"> 17. května 2021 č. 467.</w:t>
      </w:r>
    </w:p>
    <w:p w14:paraId="6BDB3569" w14:textId="77777777" w:rsidR="0036143B" w:rsidRDefault="00184E72">
      <w:pPr>
        <w:spacing w:after="0"/>
        <w:jc w:val="center"/>
        <w:rPr>
          <w:b/>
          <w:bCs/>
        </w:rPr>
      </w:pPr>
      <w:r>
        <w:rPr>
          <w:b/>
          <w:bCs/>
        </w:rPr>
        <w:t xml:space="preserve">Článek II </w:t>
      </w:r>
    </w:p>
    <w:p w14:paraId="1196C215" w14:textId="77777777" w:rsidR="0036143B" w:rsidRDefault="00184E72">
      <w:pPr>
        <w:jc w:val="center"/>
        <w:rPr>
          <w:b/>
          <w:bCs/>
        </w:rPr>
      </w:pPr>
      <w:r>
        <w:rPr>
          <w:b/>
          <w:bCs/>
        </w:rPr>
        <w:t>Obecné zásady</w:t>
      </w:r>
    </w:p>
    <w:p w14:paraId="2E2EA875" w14:textId="77777777" w:rsidR="0036143B" w:rsidRDefault="00184E72">
      <w:pPr>
        <w:pStyle w:val="Odstavecseseznamem"/>
        <w:numPr>
          <w:ilvl w:val="0"/>
          <w:numId w:val="11"/>
        </w:numPr>
        <w:jc w:val="both"/>
      </w:pPr>
      <w:r>
        <w:t>Členové výboru jsou povinni dodržovat právní řád České republiky (dále jen „ČR“), respektovat ústavní pořádek ČR a jednat v souladu s ustanovením tohoto Etického kodexu.</w:t>
      </w:r>
    </w:p>
    <w:p w14:paraId="1B5A8D8B" w14:textId="77777777" w:rsidR="0036143B" w:rsidRDefault="00184E72">
      <w:pPr>
        <w:pStyle w:val="Odstavecseseznamem"/>
        <w:numPr>
          <w:ilvl w:val="0"/>
          <w:numId w:val="11"/>
        </w:numPr>
        <w:jc w:val="both"/>
      </w:pPr>
      <w:r>
        <w:t xml:space="preserve">Členové výboru vykonávají svou práci na vysoké odborné úrovni. Za tímto účelem si průběžně prohlubují dosaženou kvalifikaci. </w:t>
      </w:r>
    </w:p>
    <w:p w14:paraId="43B443F6" w14:textId="77777777" w:rsidR="0036143B" w:rsidRDefault="00184E72">
      <w:pPr>
        <w:pStyle w:val="Odstavecseseznamem"/>
        <w:numPr>
          <w:ilvl w:val="0"/>
          <w:numId w:val="11"/>
        </w:numPr>
        <w:jc w:val="both"/>
      </w:pPr>
      <w:r>
        <w:t>Člen výboru jedná s nejvyšší mírou slušnosti, ochoty a nestrannosti jak vůči veřejnosti, tak vůči ostatním členům výboru. Současně dodržuje zásadu rovného zacházení a zákaz jakékoliv diskriminace.</w:t>
      </w:r>
    </w:p>
    <w:p w14:paraId="44613C8B" w14:textId="77777777" w:rsidR="0036143B" w:rsidRDefault="00184E72">
      <w:pPr>
        <w:spacing w:after="0"/>
        <w:jc w:val="center"/>
        <w:rPr>
          <w:b/>
          <w:bCs/>
        </w:rPr>
      </w:pPr>
      <w:r>
        <w:rPr>
          <w:b/>
          <w:bCs/>
        </w:rPr>
        <w:t xml:space="preserve">Článek III </w:t>
      </w:r>
    </w:p>
    <w:p w14:paraId="0AF6042B" w14:textId="77777777" w:rsidR="0036143B" w:rsidRDefault="00184E72">
      <w:pPr>
        <w:jc w:val="center"/>
        <w:rPr>
          <w:b/>
          <w:bCs/>
        </w:rPr>
      </w:pPr>
      <w:r>
        <w:rPr>
          <w:b/>
          <w:bCs/>
        </w:rPr>
        <w:t>Střet zájmů</w:t>
      </w:r>
    </w:p>
    <w:p w14:paraId="23007ED3" w14:textId="77777777" w:rsidR="0036143B" w:rsidRDefault="00184E72">
      <w:pPr>
        <w:pStyle w:val="Odstavecseseznamem"/>
        <w:numPr>
          <w:ilvl w:val="0"/>
          <w:numId w:val="12"/>
        </w:numPr>
        <w:spacing w:after="0"/>
        <w:jc w:val="both"/>
        <w:rPr>
          <w:b/>
          <w:bCs/>
        </w:rPr>
      </w:pPr>
      <w:r>
        <w:t xml:space="preserve">Člen výboru nepřipustí, aby došlo ke střetu jeho osobního zájmu s jeho postavením jako člena výboru. </w:t>
      </w:r>
    </w:p>
    <w:p w14:paraId="49CE860A" w14:textId="77777777" w:rsidR="0036143B" w:rsidRDefault="00184E72">
      <w:pPr>
        <w:pStyle w:val="Odstavecseseznamem"/>
        <w:numPr>
          <w:ilvl w:val="0"/>
          <w:numId w:val="12"/>
        </w:numPr>
        <w:spacing w:after="0"/>
        <w:jc w:val="both"/>
        <w:rPr>
          <w:b/>
          <w:bCs/>
        </w:rPr>
      </w:pPr>
      <w:r>
        <w:t>Střet zájmu je střetem mezi zájmem výboru, který je ze svého postavení člen výboru či jeho zástupce (nominovaný či písemně pověřený k zastoupení) povinen hájit, a osobním zájmem příslušného člena výboru, kdy by jej jeho osobní zájem mohl nepřijatelně ovlivnit při výkonu jeho funkce. Za osobní zájem je považován jakýkoliv zájem, který přináší nebo by mohl přinést dotčené osobě nebo jiné osobě jí blízké, případně fyzické nebo právnické osobě, kterou člen výboru či jeho zástupce (nominovaný či písemně pověřený k zastupování) zastupuje na základě zákona nebo plné moci, výhodu spočívající v získání majetkového nebo jiného prospěchu, či poškozování třetích osob v její prospěch.</w:t>
      </w:r>
    </w:p>
    <w:p w14:paraId="5FB26F4B" w14:textId="77777777" w:rsidR="0036143B" w:rsidRDefault="00184E72">
      <w:pPr>
        <w:pStyle w:val="Odstavecseseznamem"/>
        <w:numPr>
          <w:ilvl w:val="0"/>
          <w:numId w:val="12"/>
        </w:numPr>
        <w:spacing w:after="0"/>
        <w:jc w:val="both"/>
        <w:rPr>
          <w:b/>
          <w:bCs/>
        </w:rPr>
      </w:pPr>
      <w:r>
        <w:t>Člen výboru či jeho zástupce (nominovaný či písemně pověřený), u něhož skutečnosti nasvědčují, že může být či je ve střetu zájmu dle čl. III bodu 2 v projednávání určité záležitosti, je povinen tuto skutečnost sdělit předsedovi výboru, a to v písemné podobě před zahájením zasedání výboru, nebo ústně v průběhu výboru.</w:t>
      </w:r>
    </w:p>
    <w:p w14:paraId="02EB378F" w14:textId="1A4A6AC5" w:rsidR="0036143B" w:rsidRDefault="0036143B">
      <w:pPr>
        <w:spacing w:after="0"/>
        <w:jc w:val="both"/>
      </w:pPr>
    </w:p>
    <w:p w14:paraId="33EED950" w14:textId="6D13B26B" w:rsidR="004D49DF" w:rsidRDefault="004D49DF">
      <w:pPr>
        <w:spacing w:after="0"/>
        <w:jc w:val="both"/>
      </w:pPr>
    </w:p>
    <w:p w14:paraId="27B0A357" w14:textId="3E770CCF" w:rsidR="004D49DF" w:rsidRDefault="004D49DF">
      <w:pPr>
        <w:spacing w:after="0"/>
        <w:jc w:val="both"/>
      </w:pPr>
    </w:p>
    <w:p w14:paraId="7833309F" w14:textId="77777777" w:rsidR="004D49DF" w:rsidRDefault="004D49DF">
      <w:pPr>
        <w:spacing w:after="0"/>
        <w:jc w:val="both"/>
      </w:pPr>
    </w:p>
    <w:p w14:paraId="040996C0" w14:textId="77777777" w:rsidR="007336C1" w:rsidRDefault="007336C1">
      <w:pPr>
        <w:spacing w:after="0"/>
        <w:jc w:val="both"/>
        <w:rPr>
          <w:b/>
          <w:bCs/>
        </w:rPr>
        <w:sectPr w:rsidR="007336C1" w:rsidSect="00FF6521">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1134" w:footer="708" w:gutter="0"/>
          <w:cols w:space="708"/>
          <w:docGrid w:linePitch="360"/>
        </w:sectPr>
      </w:pPr>
    </w:p>
    <w:p w14:paraId="467C18B9" w14:textId="77777777" w:rsidR="0036143B" w:rsidRDefault="00184E72">
      <w:pPr>
        <w:pStyle w:val="Odstavecseseznamem"/>
        <w:spacing w:after="0"/>
        <w:ind w:left="360"/>
        <w:jc w:val="center"/>
        <w:rPr>
          <w:b/>
          <w:bCs/>
        </w:rPr>
      </w:pPr>
      <w:r>
        <w:rPr>
          <w:b/>
          <w:bCs/>
        </w:rPr>
        <w:lastRenderedPageBreak/>
        <w:t>Článek IV</w:t>
      </w:r>
    </w:p>
    <w:p w14:paraId="022084D9" w14:textId="77777777" w:rsidR="0036143B" w:rsidRDefault="00184E72">
      <w:pPr>
        <w:jc w:val="center"/>
        <w:rPr>
          <w:b/>
          <w:bCs/>
        </w:rPr>
      </w:pPr>
      <w:r>
        <w:rPr>
          <w:b/>
          <w:bCs/>
        </w:rPr>
        <w:t>Dary a jiné nabídky</w:t>
      </w:r>
    </w:p>
    <w:p w14:paraId="0B346835" w14:textId="77777777" w:rsidR="0036143B" w:rsidRDefault="00184E72">
      <w:pPr>
        <w:pStyle w:val="Odstavecseseznamem"/>
        <w:numPr>
          <w:ilvl w:val="0"/>
          <w:numId w:val="14"/>
        </w:numPr>
        <w:jc w:val="both"/>
      </w:pPr>
      <w:r>
        <w:t xml:space="preserve">Člen výboru nevyžaduje ani nepřijímá dary, úsluhy, laskavosti, ani žádná jiná neoprávněná zvýhodnění, která by </w:t>
      </w:r>
      <w:proofErr w:type="gramStart"/>
      <w:r>
        <w:t>mohla - byť</w:t>
      </w:r>
      <w:proofErr w:type="gramEnd"/>
      <w:r>
        <w:t xml:space="preserve"> jen zdánlivě - ovlivnit posuzování či rozhodovací procesy či profesionální a nestranný pohled na věc. </w:t>
      </w:r>
    </w:p>
    <w:p w14:paraId="5FD353AA" w14:textId="77777777" w:rsidR="0036143B" w:rsidRDefault="00184E72">
      <w:pPr>
        <w:pStyle w:val="Odstavecseseznamem"/>
        <w:numPr>
          <w:ilvl w:val="0"/>
          <w:numId w:val="14"/>
        </w:numPr>
        <w:jc w:val="both"/>
      </w:pPr>
      <w:r>
        <w:t xml:space="preserve">V souvislosti s výkonem svého členství ve výboru jeho člen nedovolí, aby se dostal do postavení, v němž by na něj činily nepatřičný vliv jiné osoby. </w:t>
      </w:r>
    </w:p>
    <w:p w14:paraId="5A07F6AB" w14:textId="77777777" w:rsidR="0036143B" w:rsidRDefault="00184E72">
      <w:pPr>
        <w:pStyle w:val="Odstavecseseznamem"/>
        <w:numPr>
          <w:ilvl w:val="0"/>
          <w:numId w:val="14"/>
        </w:numPr>
        <w:jc w:val="both"/>
      </w:pPr>
      <w:r>
        <w:t xml:space="preserve">Jakoukoliv neoprávněnou výhodu, která je členovi výboru v souvislosti se členstvím ve výboru nabídnuta, člen odmítne a o této skutečnosti bez prodlení informuje předsedu výboru. </w:t>
      </w:r>
    </w:p>
    <w:p w14:paraId="4F6762D3" w14:textId="77777777" w:rsidR="0036143B" w:rsidRDefault="00184E72">
      <w:pPr>
        <w:pStyle w:val="Odstavecseseznamem"/>
        <w:numPr>
          <w:ilvl w:val="0"/>
          <w:numId w:val="14"/>
        </w:numPr>
        <w:jc w:val="both"/>
      </w:pPr>
      <w:r>
        <w:t xml:space="preserve">Člen výboru bez prodlení informuje předsedu výboru rovněž v případě, že je požádán nebo je na něj vyvíjen nátlak, aby jednal v rozporu s právními předpisy ČR a EU. </w:t>
      </w:r>
    </w:p>
    <w:p w14:paraId="47E7BEFD" w14:textId="77777777" w:rsidR="0036143B" w:rsidRDefault="00184E72">
      <w:pPr>
        <w:pStyle w:val="Odstavecseseznamem"/>
        <w:numPr>
          <w:ilvl w:val="0"/>
          <w:numId w:val="14"/>
        </w:numPr>
        <w:jc w:val="both"/>
      </w:pPr>
      <w:r>
        <w:t xml:space="preserve">Člen výboru usiluje o maximálně efektivní a ekonomické využívání finančních prostředků, zařízení a služeb, které mu byly při výkonu členství svěřeny. Jakékoliv poškození, zničení nebo ztrátu majetku ve vlastnictví výboru a jakékoliv podezření na korupční jednání člen výboru bezprostředně oznámí předsedovi výboru. </w:t>
      </w:r>
    </w:p>
    <w:p w14:paraId="11CACFB1" w14:textId="77777777" w:rsidR="0036143B" w:rsidRDefault="00184E72">
      <w:pPr>
        <w:pStyle w:val="Odstavecseseznamem"/>
        <w:numPr>
          <w:ilvl w:val="0"/>
          <w:numId w:val="14"/>
        </w:numPr>
        <w:jc w:val="both"/>
      </w:pPr>
      <w:r>
        <w:t>Člen výboru se v soukromém životě vyhýbá jakémukoliv jednání, které by mohlo snížit prestiž či poškodit dobré jméno výboru.</w:t>
      </w:r>
    </w:p>
    <w:p w14:paraId="5A39BBE3" w14:textId="77777777" w:rsidR="0036143B" w:rsidRDefault="0036143B">
      <w:pPr>
        <w:pStyle w:val="Odstavecseseznamem"/>
        <w:ind w:left="360"/>
        <w:jc w:val="both"/>
      </w:pPr>
    </w:p>
    <w:p w14:paraId="138F5EEF" w14:textId="77777777" w:rsidR="0036143B" w:rsidRDefault="00184E72">
      <w:pPr>
        <w:spacing w:after="0"/>
        <w:jc w:val="center"/>
        <w:rPr>
          <w:b/>
          <w:bCs/>
        </w:rPr>
      </w:pPr>
      <w:r>
        <w:rPr>
          <w:b/>
          <w:bCs/>
        </w:rPr>
        <w:t xml:space="preserve">Článek V </w:t>
      </w:r>
    </w:p>
    <w:p w14:paraId="0695EDE0" w14:textId="77777777" w:rsidR="0036143B" w:rsidRDefault="00184E72">
      <w:pPr>
        <w:jc w:val="center"/>
        <w:rPr>
          <w:b/>
          <w:bCs/>
        </w:rPr>
      </w:pPr>
      <w:r>
        <w:rPr>
          <w:b/>
          <w:bCs/>
        </w:rPr>
        <w:t>Zachování mlčenlivosti</w:t>
      </w:r>
    </w:p>
    <w:p w14:paraId="5EE8EA81" w14:textId="77777777" w:rsidR="0036143B" w:rsidRDefault="00184E72">
      <w:pPr>
        <w:pStyle w:val="Odstavecseseznamem"/>
        <w:numPr>
          <w:ilvl w:val="0"/>
          <w:numId w:val="15"/>
        </w:numPr>
        <w:jc w:val="both"/>
      </w:pPr>
      <w:r>
        <w:t xml:space="preserve">Člen výboru zachovává mlčenlivost o všech informacích, o kterých se v souvislosti s členstvím ve výboru dozví. Tyto informace nesmí být zveřejňovány mimo řádné jednání výboru, vyjma informací a dokumentů, které je v souladu s právními předpisy o svobodném přístupu k informacím povinen veřejnosti poskytnout, a které mohou být mimo řádné jednání výboru zveřejňovány komukoli. Předseda výboru může výčet těchto dokumentů členům výboru před jednáním či na jednání výboru upřesnit. </w:t>
      </w:r>
    </w:p>
    <w:p w14:paraId="1A2DCDFD" w14:textId="77777777" w:rsidR="0036143B" w:rsidRDefault="00184E72">
      <w:pPr>
        <w:pStyle w:val="Odstavecseseznamem"/>
        <w:numPr>
          <w:ilvl w:val="0"/>
          <w:numId w:val="15"/>
        </w:numPr>
        <w:jc w:val="both"/>
      </w:pPr>
      <w:r>
        <w:t>Informace získané při výkonu členství člen výboru nevyužívá pro svůj osobní zájem.</w:t>
      </w:r>
    </w:p>
    <w:p w14:paraId="41C8F396" w14:textId="77777777" w:rsidR="0036143B" w:rsidRDefault="0036143B">
      <w:pPr>
        <w:pStyle w:val="Odstavecseseznamem"/>
        <w:ind w:left="360"/>
        <w:jc w:val="both"/>
      </w:pPr>
    </w:p>
    <w:p w14:paraId="72A3D3EC" w14:textId="77777777" w:rsidR="0036143B" w:rsidRDefault="0036143B">
      <w:pPr>
        <w:pStyle w:val="Odstavecseseznamem"/>
        <w:ind w:left="360"/>
        <w:jc w:val="both"/>
      </w:pPr>
    </w:p>
    <w:p w14:paraId="24C962DB" w14:textId="77777777" w:rsidR="0036143B" w:rsidRDefault="00184E72">
      <w:pPr>
        <w:spacing w:after="0"/>
        <w:jc w:val="center"/>
        <w:rPr>
          <w:b/>
          <w:bCs/>
        </w:rPr>
      </w:pPr>
      <w:r>
        <w:rPr>
          <w:b/>
          <w:bCs/>
        </w:rPr>
        <w:t xml:space="preserve">Článek VI </w:t>
      </w:r>
    </w:p>
    <w:p w14:paraId="6B062529" w14:textId="77777777" w:rsidR="0036143B" w:rsidRDefault="00184E72">
      <w:pPr>
        <w:jc w:val="center"/>
        <w:rPr>
          <w:b/>
          <w:bCs/>
        </w:rPr>
      </w:pPr>
      <w:r>
        <w:rPr>
          <w:b/>
          <w:bCs/>
        </w:rPr>
        <w:t>Jednání s veřejností</w:t>
      </w:r>
    </w:p>
    <w:p w14:paraId="2AAF7CFC" w14:textId="77777777" w:rsidR="0036143B" w:rsidRDefault="00184E72">
      <w:pPr>
        <w:pStyle w:val="Odstavecseseznamem"/>
        <w:numPr>
          <w:ilvl w:val="0"/>
          <w:numId w:val="16"/>
        </w:numPr>
        <w:jc w:val="both"/>
      </w:pPr>
      <w:r>
        <w:t xml:space="preserve">Člen výboru svým chováním a vystupováním přispívá k zajištění vážnosti a respektu výboru a přispívá k pozitivnímu vnímání výboru veřejností. </w:t>
      </w:r>
    </w:p>
    <w:p w14:paraId="26CA77D1" w14:textId="77777777" w:rsidR="0036143B" w:rsidRDefault="00184E72">
      <w:pPr>
        <w:pStyle w:val="Odstavecseseznamem"/>
        <w:numPr>
          <w:ilvl w:val="0"/>
          <w:numId w:val="16"/>
        </w:numPr>
        <w:jc w:val="both"/>
      </w:pPr>
      <w:r>
        <w:t xml:space="preserve">Ve vztahu k veřejnosti vystupuje člen výboru vždy slušně a zdvořile, ať jde o telefonické nebo osobní jednání či komunikaci elektronickou poštou. </w:t>
      </w:r>
    </w:p>
    <w:p w14:paraId="4F3915B9" w14:textId="77777777" w:rsidR="0036143B" w:rsidRDefault="00184E72">
      <w:pPr>
        <w:pStyle w:val="Odstavecseseznamem"/>
        <w:numPr>
          <w:ilvl w:val="0"/>
          <w:numId w:val="16"/>
        </w:numPr>
        <w:jc w:val="both"/>
      </w:pPr>
      <w:r>
        <w:t>Pokud člen výboru příslušnou věc nemůže vyřídit nebo požadované informace poskytnout, odkáže žadatele na jiného člena výboru, v jehož kompetenci se daná problematika nachází, eventuálně mu sdělí název instituce, která je ve věci příslušná.</w:t>
      </w:r>
    </w:p>
    <w:p w14:paraId="0D0B940D" w14:textId="77777777" w:rsidR="0036143B" w:rsidRDefault="0036143B">
      <w:pPr>
        <w:pStyle w:val="Odstavecseseznamem"/>
        <w:ind w:left="360"/>
        <w:jc w:val="both"/>
      </w:pPr>
    </w:p>
    <w:p w14:paraId="0E27B00A" w14:textId="77777777" w:rsidR="0036143B" w:rsidRDefault="0036143B">
      <w:pPr>
        <w:pStyle w:val="Odstavecseseznamem"/>
        <w:ind w:left="360"/>
        <w:jc w:val="both"/>
      </w:pPr>
    </w:p>
    <w:p w14:paraId="60061E4C" w14:textId="77777777" w:rsidR="0036143B" w:rsidRDefault="0036143B">
      <w:pPr>
        <w:pStyle w:val="Odstavecseseznamem"/>
        <w:ind w:left="360"/>
        <w:jc w:val="both"/>
      </w:pPr>
    </w:p>
    <w:p w14:paraId="4FFCED8A" w14:textId="77777777" w:rsidR="0036143B" w:rsidRDefault="00184E72">
      <w:pPr>
        <w:spacing w:after="0"/>
        <w:jc w:val="center"/>
        <w:rPr>
          <w:b/>
          <w:bCs/>
        </w:rPr>
      </w:pPr>
      <w:r>
        <w:rPr>
          <w:b/>
          <w:bCs/>
        </w:rPr>
        <w:lastRenderedPageBreak/>
        <w:t xml:space="preserve">Článek VII </w:t>
      </w:r>
    </w:p>
    <w:p w14:paraId="43A86AC9" w14:textId="77777777" w:rsidR="0036143B" w:rsidRDefault="00184E72">
      <w:pPr>
        <w:jc w:val="center"/>
        <w:rPr>
          <w:b/>
          <w:bCs/>
        </w:rPr>
      </w:pPr>
      <w:r>
        <w:rPr>
          <w:b/>
          <w:bCs/>
        </w:rPr>
        <w:t>Závěrečná ustanovení</w:t>
      </w:r>
    </w:p>
    <w:p w14:paraId="70A27D53" w14:textId="77777777" w:rsidR="0036143B" w:rsidRDefault="00184E72">
      <w:pPr>
        <w:pStyle w:val="Odstavecseseznamem"/>
        <w:numPr>
          <w:ilvl w:val="0"/>
          <w:numId w:val="1"/>
        </w:numPr>
        <w:jc w:val="both"/>
      </w:pPr>
      <w:r>
        <w:t xml:space="preserve">Etický kodex je závazný pro všechny členy výboru, jejich nominované zástupce a písemně pověřené zástupce. </w:t>
      </w:r>
    </w:p>
    <w:p w14:paraId="04E4CB04" w14:textId="77777777" w:rsidR="0036143B" w:rsidRDefault="00184E72">
      <w:pPr>
        <w:pStyle w:val="Odstavecseseznamem"/>
        <w:numPr>
          <w:ilvl w:val="0"/>
          <w:numId w:val="1"/>
        </w:numPr>
        <w:jc w:val="both"/>
      </w:pPr>
      <w:r>
        <w:t xml:space="preserve">Předseda výboru je povinen s Etickým kodexem seznámit všechny členy výboru. </w:t>
      </w:r>
    </w:p>
    <w:p w14:paraId="3D515863" w14:textId="77777777" w:rsidR="0036143B" w:rsidRDefault="00184E72">
      <w:pPr>
        <w:pStyle w:val="Odstavecseseznamem"/>
        <w:numPr>
          <w:ilvl w:val="0"/>
          <w:numId w:val="1"/>
        </w:numPr>
        <w:jc w:val="both"/>
      </w:pPr>
      <w:r>
        <w:t xml:space="preserve">Za aktualizaci Etického kodexu odpovídá Sekretariát výboru. </w:t>
      </w:r>
    </w:p>
    <w:p w14:paraId="375BD90C" w14:textId="51DAE6B5" w:rsidR="0036143B" w:rsidRDefault="00184E72">
      <w:pPr>
        <w:pStyle w:val="Odstavecseseznamem"/>
        <w:numPr>
          <w:ilvl w:val="0"/>
          <w:numId w:val="1"/>
        </w:numPr>
        <w:jc w:val="both"/>
      </w:pPr>
      <w:r>
        <w:t xml:space="preserve">Tento Etický kodex byl schválen jako nedílná součást Statutu Výboru Národního plánu obnovy, který byl schválen dne </w:t>
      </w:r>
      <w:r w:rsidR="00DA711A">
        <w:t xml:space="preserve">17. května 2021 </w:t>
      </w:r>
      <w:r>
        <w:t xml:space="preserve">usnesením vlády </w:t>
      </w:r>
      <w:r w:rsidR="00DA711A" w:rsidRPr="00DA711A">
        <w:t xml:space="preserve">č. </w:t>
      </w:r>
      <w:r w:rsidR="00DA711A">
        <w:t>467.</w:t>
      </w:r>
    </w:p>
    <w:p w14:paraId="385FEC55" w14:textId="77777777" w:rsidR="0036143B" w:rsidRDefault="00184E72">
      <w:pPr>
        <w:pStyle w:val="Odstavecseseznamem"/>
        <w:numPr>
          <w:ilvl w:val="0"/>
          <w:numId w:val="1"/>
        </w:numPr>
        <w:jc w:val="both"/>
      </w:pPr>
      <w:r>
        <w:t>Etický kodex je přístupný veřejnosti na internetové stránce Národního plánu obnovy. Na internetové stránce se zveřejňuje vždy úplné znění platného Etického kodexu.</w:t>
      </w:r>
    </w:p>
    <w:p w14:paraId="44EAFD9C" w14:textId="77777777" w:rsidR="0036143B" w:rsidRDefault="0036143B">
      <w:pPr>
        <w:pStyle w:val="Odstavecseseznamem"/>
        <w:ind w:left="360"/>
      </w:pPr>
    </w:p>
    <w:p w14:paraId="4B94D5A5" w14:textId="77777777" w:rsidR="0036143B" w:rsidRDefault="0036143B">
      <w:pPr>
        <w:pStyle w:val="Odstavecseseznamem"/>
        <w:ind w:left="360"/>
      </w:pPr>
    </w:p>
    <w:p w14:paraId="3DEEC669" w14:textId="77777777" w:rsidR="0036143B" w:rsidRDefault="0036143B">
      <w:pPr>
        <w:pStyle w:val="Odstavecseseznamem"/>
        <w:ind w:left="360"/>
      </w:pPr>
    </w:p>
    <w:p w14:paraId="78683021" w14:textId="77777777" w:rsidR="0036143B" w:rsidRDefault="00184E72">
      <w:r>
        <w:t>V ……………………. dne …………….</w:t>
      </w:r>
    </w:p>
    <w:p w14:paraId="0CFDAF9D" w14:textId="77777777" w:rsidR="0036143B" w:rsidRDefault="00184E72">
      <w:pPr>
        <w:jc w:val="both"/>
      </w:pPr>
      <w:r>
        <w:t>Jméno a příjmení …………………</w:t>
      </w:r>
      <w:proofErr w:type="gramStart"/>
      <w:r>
        <w:t>…….</w:t>
      </w:r>
      <w:proofErr w:type="gramEnd"/>
      <w:r>
        <w:t>.</w:t>
      </w:r>
    </w:p>
    <w:p w14:paraId="3656B9AB" w14:textId="77777777" w:rsidR="0036143B" w:rsidRDefault="0036143B">
      <w:pPr>
        <w:jc w:val="both"/>
      </w:pPr>
    </w:p>
    <w:p w14:paraId="6D24002F" w14:textId="77777777" w:rsidR="0036143B" w:rsidRDefault="00184E72">
      <w:pPr>
        <w:jc w:val="right"/>
      </w:pPr>
      <w:r>
        <w:t xml:space="preserve">……………………………………………………………………………… </w:t>
      </w:r>
    </w:p>
    <w:p w14:paraId="5B948BE6" w14:textId="77777777" w:rsidR="0036143B" w:rsidRDefault="00184E72">
      <w:pPr>
        <w:jc w:val="right"/>
      </w:pPr>
      <w:r>
        <w:t xml:space="preserve">Podpis člena /nominovaného zástupce člena / písemně pověřeného zástupce člena výboru </w:t>
      </w:r>
    </w:p>
    <w:p w14:paraId="45FB0818" w14:textId="4AB5BE5D" w:rsidR="0036143B" w:rsidRDefault="0036143B">
      <w:pPr>
        <w:jc w:val="right"/>
      </w:pPr>
    </w:p>
    <w:p w14:paraId="3954DC70" w14:textId="0BE3DC67" w:rsidR="00E43DCC" w:rsidRDefault="00E43DCC">
      <w:pPr>
        <w:jc w:val="right"/>
      </w:pPr>
    </w:p>
    <w:p w14:paraId="3F8B0C6C" w14:textId="4D701762" w:rsidR="00E43DCC" w:rsidRDefault="00E43DCC">
      <w:pPr>
        <w:jc w:val="right"/>
      </w:pPr>
    </w:p>
    <w:p w14:paraId="603DD77A" w14:textId="6C6BC6BA" w:rsidR="00E43DCC" w:rsidRDefault="00E43DCC">
      <w:pPr>
        <w:jc w:val="right"/>
      </w:pPr>
    </w:p>
    <w:p w14:paraId="7DB3BB1D" w14:textId="4CFAA1B4" w:rsidR="00E43DCC" w:rsidRDefault="00E43DCC">
      <w:pPr>
        <w:jc w:val="right"/>
      </w:pPr>
    </w:p>
    <w:p w14:paraId="461A66A2" w14:textId="02219162" w:rsidR="00E43DCC" w:rsidRDefault="00E43DCC">
      <w:pPr>
        <w:jc w:val="right"/>
      </w:pPr>
    </w:p>
    <w:p w14:paraId="5CD31732" w14:textId="781C678C" w:rsidR="00E43DCC" w:rsidRDefault="00E43DCC">
      <w:pPr>
        <w:jc w:val="right"/>
      </w:pPr>
    </w:p>
    <w:p w14:paraId="74BD6383" w14:textId="72F35CC7" w:rsidR="00E43DCC" w:rsidRDefault="00E43DCC">
      <w:pPr>
        <w:jc w:val="right"/>
      </w:pPr>
    </w:p>
    <w:p w14:paraId="7D3B314E" w14:textId="31A7D228" w:rsidR="00E43DCC" w:rsidRDefault="00E43DCC">
      <w:pPr>
        <w:jc w:val="right"/>
      </w:pPr>
    </w:p>
    <w:p w14:paraId="0E361689" w14:textId="27499F6C" w:rsidR="00E43DCC" w:rsidRDefault="00E43DCC">
      <w:pPr>
        <w:jc w:val="right"/>
      </w:pPr>
    </w:p>
    <w:p w14:paraId="4E75AAF4" w14:textId="4BCF9659" w:rsidR="00E43DCC" w:rsidRDefault="00E43DCC">
      <w:pPr>
        <w:jc w:val="right"/>
      </w:pPr>
    </w:p>
    <w:p w14:paraId="41A10718" w14:textId="77777777" w:rsidR="00E43DCC" w:rsidRDefault="00E43DCC">
      <w:pPr>
        <w:jc w:val="right"/>
      </w:pPr>
    </w:p>
    <w:sectPr w:rsidR="00E43DCC" w:rsidSect="00FF6521">
      <w:headerReference w:type="default" r:id="rId17"/>
      <w:pgSz w:w="11906" w:h="16838"/>
      <w:pgMar w:top="1417" w:right="1417" w:bottom="1417" w:left="1417" w:header="113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128261" w14:textId="77777777" w:rsidR="0036143B" w:rsidRDefault="00184E72">
      <w:pPr>
        <w:spacing w:after="0" w:line="240" w:lineRule="auto"/>
      </w:pPr>
      <w:r>
        <w:separator/>
      </w:r>
    </w:p>
  </w:endnote>
  <w:endnote w:type="continuationSeparator" w:id="0">
    <w:p w14:paraId="62486C05" w14:textId="77777777" w:rsidR="0036143B" w:rsidRDefault="00184E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MS Mincho">
    <w:altName w:val="Yu Gothic"/>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364074" w14:textId="77777777" w:rsidR="008B164F" w:rsidRDefault="008B164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17116802"/>
      <w:docPartObj>
        <w:docPartGallery w:val="Page Numbers (Bottom of Page)"/>
        <w:docPartUnique/>
      </w:docPartObj>
    </w:sdtPr>
    <w:sdtEndPr/>
    <w:sdtContent>
      <w:p w14:paraId="6AF3245D" w14:textId="567BFEB8" w:rsidR="0036143B" w:rsidRDefault="00184E72">
        <w:pPr>
          <w:pStyle w:val="Zpat"/>
          <w:jc w:val="center"/>
        </w:pPr>
        <w:r>
          <w:fldChar w:fldCharType="begin"/>
        </w:r>
        <w:r>
          <w:instrText>PAGE   \* MERGEFORMAT</w:instrText>
        </w:r>
        <w:r>
          <w:fldChar w:fldCharType="separate"/>
        </w:r>
        <w:r w:rsidR="00DA711A">
          <w:rPr>
            <w:noProof/>
          </w:rPr>
          <w:t>12</w:t>
        </w:r>
        <w:r>
          <w:fldChar w:fldCharType="end"/>
        </w:r>
        <w:r>
          <w:t>/3</w:t>
        </w:r>
      </w:p>
    </w:sdtContent>
  </w:sdt>
  <w:p w14:paraId="049F31CB" w14:textId="77777777" w:rsidR="0036143B" w:rsidRDefault="0036143B">
    <w:pPr>
      <w:pStyle w:val="Zpat"/>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F2B976" w14:textId="77777777" w:rsidR="008B164F" w:rsidRDefault="008B164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01652C" w14:textId="77777777" w:rsidR="0036143B" w:rsidRDefault="00184E72">
      <w:pPr>
        <w:spacing w:after="0" w:line="240" w:lineRule="auto"/>
      </w:pPr>
      <w:r>
        <w:separator/>
      </w:r>
    </w:p>
  </w:footnote>
  <w:footnote w:type="continuationSeparator" w:id="0">
    <w:p w14:paraId="4B99056E" w14:textId="77777777" w:rsidR="0036143B" w:rsidRDefault="00184E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8EE494" w14:textId="67A46672" w:rsidR="00184E72" w:rsidRDefault="00184E72">
    <w:pPr>
      <w:pStyle w:val="Zhlav"/>
    </w:pPr>
    <w:r>
      <w:rPr>
        <w:noProof/>
      </w:rPr>
      <mc:AlternateContent>
        <mc:Choice Requires="wps">
          <w:drawing>
            <wp:anchor distT="0" distB="0" distL="0" distR="0" simplePos="0" relativeHeight="251659264" behindDoc="0" locked="0" layoutInCell="1" allowOverlap="1" wp14:anchorId="28FB2112" wp14:editId="71D8D333">
              <wp:simplePos x="635" y="635"/>
              <wp:positionH relativeFrom="leftMargin">
                <wp:align>left</wp:align>
              </wp:positionH>
              <wp:positionV relativeFrom="paragraph">
                <wp:posOffset>635</wp:posOffset>
              </wp:positionV>
              <wp:extent cx="443865" cy="443865"/>
              <wp:effectExtent l="0" t="0" r="3175" b="0"/>
              <wp:wrapSquare wrapText="bothSides"/>
              <wp:docPr id="2" name="Textové pole 2" descr="Veřejně přístupné informac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FFB6CB" w14:textId="52145A4B" w:rsidR="00184E72" w:rsidRPr="00184E72" w:rsidRDefault="00184E72">
                          <w:pPr>
                            <w:rPr>
                              <w:rFonts w:ascii="Calibri" w:eastAsia="Calibri" w:hAnsi="Calibri" w:cs="Calibri"/>
                              <w:color w:val="000000"/>
                              <w:sz w:val="20"/>
                              <w:szCs w:val="20"/>
                            </w:rPr>
                          </w:pPr>
                          <w:r w:rsidRPr="00184E72">
                            <w:rPr>
                              <w:rFonts w:ascii="Calibri" w:eastAsia="Calibri" w:hAnsi="Calibri" w:cs="Calibri"/>
                              <w:color w:val="000000"/>
                              <w:sz w:val="20"/>
                              <w:szCs w:val="20"/>
                            </w:rPr>
                            <w:t>Veřejně přístupné informace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28FB2112" id="_x0000_t202" coordsize="21600,21600" o:spt="202" path="m,l,21600r21600,l21600,xe">
              <v:stroke joinstyle="miter"/>
              <v:path gradientshapeok="t" o:connecttype="rect"/>
            </v:shapetype>
            <v:shape id="Textové pole 2" o:spid="_x0000_s1026" type="#_x0000_t202" alt="Veřejně přístupné informace" style="position:absolute;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" filled="f" stroked="f">
              <v:textbox style="mso-fit-shape-to-text:t" inset="5pt,0,0,0">
                <w:txbxContent>
                  <w:p w14:paraId="29FFB6CB" w14:textId="52145A4B" w:rsidR="00184E72" w:rsidRPr="00184E72" w:rsidRDefault="00184E72">
                    <w:pPr>
                      <w:rPr>
                        <w:rFonts w:ascii="Calibri" w:eastAsia="Calibri" w:hAnsi="Calibri" w:cs="Calibri"/>
                        <w:color w:val="000000"/>
                        <w:sz w:val="20"/>
                        <w:szCs w:val="20"/>
                      </w:rPr>
                    </w:pPr>
                    <w:r w:rsidRPr="00184E72">
                      <w:rPr>
                        <w:rFonts w:ascii="Calibri" w:eastAsia="Calibri" w:hAnsi="Calibri" w:cs="Calibri"/>
                        <w:color w:val="000000"/>
                        <w:sz w:val="20"/>
                        <w:szCs w:val="20"/>
                      </w:rPr>
                      <w:t>Veřejně přístupné informace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993590" w14:textId="13300955" w:rsidR="00FF6521" w:rsidRDefault="008B164F">
    <w:pPr>
      <w:pStyle w:val="Zhlav"/>
    </w:pPr>
    <w:bookmarkStart w:id="0" w:name="_GoBack"/>
    <w:r w:rsidRPr="0003360F">
      <w:rPr>
        <w:i/>
        <w:noProof/>
      </w:rPr>
      <w:drawing>
        <wp:anchor distT="0" distB="0" distL="114300" distR="114300" simplePos="0" relativeHeight="251663360" behindDoc="1" locked="0" layoutInCell="1" allowOverlap="1" wp14:anchorId="42B37FC1" wp14:editId="15C13E8C">
          <wp:simplePos x="0" y="0"/>
          <wp:positionH relativeFrom="margin">
            <wp:align>left</wp:align>
          </wp:positionH>
          <wp:positionV relativeFrom="paragraph">
            <wp:posOffset>-673735</wp:posOffset>
          </wp:positionV>
          <wp:extent cx="1581150" cy="845748"/>
          <wp:effectExtent l="0" t="0" r="0" b="0"/>
          <wp:wrapNone/>
          <wp:docPr id="4"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1150" cy="845748"/>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0"/>
    <w:r w:rsidRPr="0003360F">
      <w:rPr>
        <w:i/>
        <w:noProof/>
      </w:rPr>
      <w:drawing>
        <wp:anchor distT="0" distB="0" distL="114300" distR="114300" simplePos="0" relativeHeight="251661312" behindDoc="0" locked="0" layoutInCell="1" allowOverlap="1" wp14:anchorId="4C38EDD4" wp14:editId="72BC815D">
          <wp:simplePos x="0" y="0"/>
          <wp:positionH relativeFrom="margin">
            <wp:align>right</wp:align>
          </wp:positionH>
          <wp:positionV relativeFrom="paragraph">
            <wp:posOffset>-557530</wp:posOffset>
          </wp:positionV>
          <wp:extent cx="1714500" cy="716434"/>
          <wp:effectExtent l="0" t="0" r="0" b="762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tažený soubor (2).png"/>
                  <pic:cNvPicPr/>
                </pic:nvPicPr>
                <pic:blipFill>
                  <a:blip r:embed="rId2">
                    <a:extLst>
                      <a:ext uri="{28A0092B-C50C-407E-A947-70E740481C1C}">
                        <a14:useLocalDpi xmlns:a14="http://schemas.microsoft.com/office/drawing/2010/main" val="0"/>
                      </a:ext>
                    </a:extLst>
                  </a:blip>
                  <a:stretch>
                    <a:fillRect/>
                  </a:stretch>
                </pic:blipFill>
                <pic:spPr>
                  <a:xfrm>
                    <a:off x="0" y="0"/>
                    <a:ext cx="1714500" cy="716434"/>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1B26E8" w14:textId="550556C8" w:rsidR="00184E72" w:rsidRDefault="00184E72">
    <w:pPr>
      <w:pStyle w:val="Zhlav"/>
    </w:pPr>
    <w:r>
      <w:rPr>
        <w:noProof/>
      </w:rPr>
      <mc:AlternateContent>
        <mc:Choice Requires="wps">
          <w:drawing>
            <wp:anchor distT="0" distB="0" distL="0" distR="0" simplePos="0" relativeHeight="251658240" behindDoc="0" locked="0" layoutInCell="1" allowOverlap="1" wp14:anchorId="48DF288D" wp14:editId="5469A9E7">
              <wp:simplePos x="635" y="635"/>
              <wp:positionH relativeFrom="leftMargin">
                <wp:align>left</wp:align>
              </wp:positionH>
              <wp:positionV relativeFrom="paragraph">
                <wp:posOffset>635</wp:posOffset>
              </wp:positionV>
              <wp:extent cx="443865" cy="443865"/>
              <wp:effectExtent l="0" t="0" r="3175" b="0"/>
              <wp:wrapSquare wrapText="bothSides"/>
              <wp:docPr id="1" name="Textové pole 1" descr="Veřejně přístupné informac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53A5399" w14:textId="59A61B14" w:rsidR="00184E72" w:rsidRPr="00184E72" w:rsidRDefault="00184E72">
                          <w:pPr>
                            <w:rPr>
                              <w:rFonts w:ascii="Calibri" w:eastAsia="Calibri" w:hAnsi="Calibri" w:cs="Calibri"/>
                              <w:color w:val="000000"/>
                              <w:sz w:val="20"/>
                              <w:szCs w:val="20"/>
                            </w:rPr>
                          </w:pPr>
                          <w:r w:rsidRPr="00184E72">
                            <w:rPr>
                              <w:rFonts w:ascii="Calibri" w:eastAsia="Calibri" w:hAnsi="Calibri" w:cs="Calibri"/>
                              <w:color w:val="000000"/>
                              <w:sz w:val="20"/>
                              <w:szCs w:val="20"/>
                            </w:rPr>
                            <w:t>Veřejně přístupné informace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8DF288D" id="_x0000_t202" coordsize="21600,21600" o:spt="202" path="m,l,21600r21600,l21600,xe">
              <v:stroke joinstyle="miter"/>
              <v:path gradientshapeok="t" o:connecttype="rect"/>
            </v:shapetype>
            <v:shape id="Textové pole 1" o:spid="_x0000_s1027" type="#_x0000_t202" alt="Veřejně přístupné informace" style="position:absolute;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" filled="f" stroked="f">
              <v:textbox style="mso-fit-shape-to-text:t" inset="5pt,0,0,0">
                <w:txbxContent>
                  <w:p w14:paraId="753A5399" w14:textId="59A61B14" w:rsidR="00184E72" w:rsidRPr="00184E72" w:rsidRDefault="00184E72">
                    <w:pPr>
                      <w:rPr>
                        <w:rFonts w:ascii="Calibri" w:eastAsia="Calibri" w:hAnsi="Calibri" w:cs="Calibri"/>
                        <w:color w:val="000000"/>
                        <w:sz w:val="20"/>
                        <w:szCs w:val="20"/>
                      </w:rPr>
                    </w:pPr>
                    <w:r w:rsidRPr="00184E72">
                      <w:rPr>
                        <w:rFonts w:ascii="Calibri" w:eastAsia="Calibri" w:hAnsi="Calibri" w:cs="Calibri"/>
                        <w:color w:val="000000"/>
                        <w:sz w:val="20"/>
                        <w:szCs w:val="20"/>
                      </w:rPr>
                      <w:t>Veřejně přístupné informace</w:t>
                    </w:r>
                  </w:p>
                </w:txbxContent>
              </v:textbox>
              <w10:wrap type="square" anchorx="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50C82D" w14:textId="141EFEF5" w:rsidR="007336C1" w:rsidRDefault="007336C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23333"/>
    <w:multiLevelType w:val="multilevel"/>
    <w:tmpl w:val="A34AC2BA"/>
    <w:lvl w:ilvl="0">
      <w:start w:val="3"/>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54302EA"/>
    <w:multiLevelType w:val="hybridMultilevel"/>
    <w:tmpl w:val="1A825B32"/>
    <w:lvl w:ilvl="0" w:tplc="2AFA0262">
      <w:start w:val="1"/>
      <w:numFmt w:val="decimal"/>
      <w:lvlText w:val="(%1)"/>
      <w:lvlJc w:val="left"/>
      <w:pPr>
        <w:ind w:left="360" w:hanging="360"/>
      </w:pPr>
    </w:lvl>
    <w:lvl w:ilvl="1" w:tplc="EAB6070C">
      <w:start w:val="1"/>
      <w:numFmt w:val="lowerLetter"/>
      <w:lvlText w:val="%2."/>
      <w:lvlJc w:val="left"/>
      <w:pPr>
        <w:ind w:left="1080" w:hanging="360"/>
      </w:pPr>
    </w:lvl>
    <w:lvl w:ilvl="2" w:tplc="D5AA8502">
      <w:start w:val="1"/>
      <w:numFmt w:val="lowerRoman"/>
      <w:lvlText w:val="%3."/>
      <w:lvlJc w:val="right"/>
      <w:pPr>
        <w:ind w:left="1800" w:hanging="180"/>
      </w:pPr>
    </w:lvl>
    <w:lvl w:ilvl="3" w:tplc="01F6766E">
      <w:start w:val="1"/>
      <w:numFmt w:val="decimal"/>
      <w:lvlText w:val="%4."/>
      <w:lvlJc w:val="left"/>
      <w:pPr>
        <w:ind w:left="2520" w:hanging="360"/>
      </w:pPr>
    </w:lvl>
    <w:lvl w:ilvl="4" w:tplc="B49A1FB2">
      <w:start w:val="1"/>
      <w:numFmt w:val="lowerLetter"/>
      <w:lvlText w:val="%5."/>
      <w:lvlJc w:val="left"/>
      <w:pPr>
        <w:ind w:left="3240" w:hanging="360"/>
      </w:pPr>
    </w:lvl>
    <w:lvl w:ilvl="5" w:tplc="4238EE1C">
      <w:start w:val="1"/>
      <w:numFmt w:val="lowerRoman"/>
      <w:lvlText w:val="%6."/>
      <w:lvlJc w:val="right"/>
      <w:pPr>
        <w:ind w:left="3960" w:hanging="180"/>
      </w:pPr>
    </w:lvl>
    <w:lvl w:ilvl="6" w:tplc="495A811E">
      <w:start w:val="1"/>
      <w:numFmt w:val="decimal"/>
      <w:lvlText w:val="%7."/>
      <w:lvlJc w:val="left"/>
      <w:pPr>
        <w:ind w:left="4680" w:hanging="360"/>
      </w:pPr>
    </w:lvl>
    <w:lvl w:ilvl="7" w:tplc="E62A95DE">
      <w:start w:val="1"/>
      <w:numFmt w:val="lowerLetter"/>
      <w:lvlText w:val="%8."/>
      <w:lvlJc w:val="left"/>
      <w:pPr>
        <w:ind w:left="5400" w:hanging="360"/>
      </w:pPr>
    </w:lvl>
    <w:lvl w:ilvl="8" w:tplc="13C4B226">
      <w:start w:val="1"/>
      <w:numFmt w:val="lowerRoman"/>
      <w:lvlText w:val="%9."/>
      <w:lvlJc w:val="right"/>
      <w:pPr>
        <w:ind w:left="6120" w:hanging="180"/>
      </w:pPr>
    </w:lvl>
  </w:abstractNum>
  <w:abstractNum w:abstractNumId="2" w15:restartNumberingAfterBreak="0">
    <w:nsid w:val="0A69174B"/>
    <w:multiLevelType w:val="multilevel"/>
    <w:tmpl w:val="BFCEDC96"/>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1191617"/>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2D76566"/>
    <w:multiLevelType w:val="multilevel"/>
    <w:tmpl w:val="010CA5A4"/>
    <w:lvl w:ilvl="0">
      <w:start w:val="1"/>
      <w:numFmt w:val="decimal"/>
      <w:lvlText w:val="%1)"/>
      <w:lvlJc w:val="left"/>
      <w:pPr>
        <w:ind w:left="360" w:hanging="360"/>
      </w:pPr>
      <w:rPr>
        <w:b w:val="0"/>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3C05197"/>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6166C7A"/>
    <w:multiLevelType w:val="multilevel"/>
    <w:tmpl w:val="A7DE7B46"/>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A4332BE"/>
    <w:multiLevelType w:val="multilevel"/>
    <w:tmpl w:val="0405001D"/>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1EBC5BB1"/>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44B084C"/>
    <w:multiLevelType w:val="multilevel"/>
    <w:tmpl w:val="D25E21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83D738A"/>
    <w:multiLevelType w:val="hybridMultilevel"/>
    <w:tmpl w:val="AF12D660"/>
    <w:lvl w:ilvl="0" w:tplc="04050011">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2B1E4DC1"/>
    <w:multiLevelType w:val="multilevel"/>
    <w:tmpl w:val="3F66909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8D61F8"/>
    <w:multiLevelType w:val="multilevel"/>
    <w:tmpl w:val="0405001D"/>
    <w:numStyleLink w:val="Styl1"/>
  </w:abstractNum>
  <w:abstractNum w:abstractNumId="13" w15:restartNumberingAfterBreak="0">
    <w:nsid w:val="2D140500"/>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DCD3E0E"/>
    <w:multiLevelType w:val="hybridMultilevel"/>
    <w:tmpl w:val="E294E68A"/>
    <w:lvl w:ilvl="0" w:tplc="C3309748">
      <w:start w:val="1"/>
      <w:numFmt w:val="decimal"/>
      <w:lvlText w:val="(%1)"/>
      <w:lvlJc w:val="left"/>
      <w:pPr>
        <w:ind w:left="360" w:hanging="360"/>
      </w:pPr>
    </w:lvl>
    <w:lvl w:ilvl="1" w:tplc="098C886E">
      <w:start w:val="1"/>
      <w:numFmt w:val="lowerLetter"/>
      <w:lvlText w:val="%2."/>
      <w:lvlJc w:val="left"/>
      <w:pPr>
        <w:ind w:left="1080" w:hanging="360"/>
      </w:pPr>
    </w:lvl>
    <w:lvl w:ilvl="2" w:tplc="44443A4C">
      <w:start w:val="1"/>
      <w:numFmt w:val="lowerRoman"/>
      <w:lvlText w:val="%3."/>
      <w:lvlJc w:val="right"/>
      <w:pPr>
        <w:ind w:left="1800" w:hanging="180"/>
      </w:pPr>
    </w:lvl>
    <w:lvl w:ilvl="3" w:tplc="E19CD35C">
      <w:start w:val="1"/>
      <w:numFmt w:val="decimal"/>
      <w:lvlText w:val="%4."/>
      <w:lvlJc w:val="left"/>
      <w:pPr>
        <w:ind w:left="2520" w:hanging="360"/>
      </w:pPr>
    </w:lvl>
    <w:lvl w:ilvl="4" w:tplc="17C2BD60">
      <w:start w:val="1"/>
      <w:numFmt w:val="lowerLetter"/>
      <w:lvlText w:val="%5."/>
      <w:lvlJc w:val="left"/>
      <w:pPr>
        <w:ind w:left="3240" w:hanging="360"/>
      </w:pPr>
    </w:lvl>
    <w:lvl w:ilvl="5" w:tplc="B1B2A1EC">
      <w:start w:val="1"/>
      <w:numFmt w:val="lowerRoman"/>
      <w:lvlText w:val="%6."/>
      <w:lvlJc w:val="right"/>
      <w:pPr>
        <w:ind w:left="3960" w:hanging="180"/>
      </w:pPr>
    </w:lvl>
    <w:lvl w:ilvl="6" w:tplc="624A2CF2">
      <w:start w:val="1"/>
      <w:numFmt w:val="decimal"/>
      <w:lvlText w:val="%7."/>
      <w:lvlJc w:val="left"/>
      <w:pPr>
        <w:ind w:left="4680" w:hanging="360"/>
      </w:pPr>
    </w:lvl>
    <w:lvl w:ilvl="7" w:tplc="8DF0AC38">
      <w:start w:val="1"/>
      <w:numFmt w:val="lowerLetter"/>
      <w:lvlText w:val="%8."/>
      <w:lvlJc w:val="left"/>
      <w:pPr>
        <w:ind w:left="5400" w:hanging="360"/>
      </w:pPr>
    </w:lvl>
    <w:lvl w:ilvl="8" w:tplc="79900278">
      <w:start w:val="1"/>
      <w:numFmt w:val="lowerRoman"/>
      <w:lvlText w:val="%9."/>
      <w:lvlJc w:val="right"/>
      <w:pPr>
        <w:ind w:left="6120" w:hanging="180"/>
      </w:pPr>
    </w:lvl>
  </w:abstractNum>
  <w:abstractNum w:abstractNumId="15" w15:restartNumberingAfterBreak="0">
    <w:nsid w:val="437A512B"/>
    <w:multiLevelType w:val="multilevel"/>
    <w:tmpl w:val="9F1EEB60"/>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38B6650"/>
    <w:multiLevelType w:val="multilevel"/>
    <w:tmpl w:val="AEAEFA5E"/>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CBC0983"/>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40B00E1"/>
    <w:multiLevelType w:val="multilevel"/>
    <w:tmpl w:val="EB3CE754"/>
    <w:lvl w:ilvl="0">
      <w:start w:val="7"/>
      <w:numFmt w:val="decimal"/>
      <w:lvlText w:val="%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5BC43C5C"/>
    <w:multiLevelType w:val="multilevel"/>
    <w:tmpl w:val="0405001D"/>
    <w:styleLink w:val="Sty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C277EF3"/>
    <w:multiLevelType w:val="multilevel"/>
    <w:tmpl w:val="F386EF00"/>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lvl>
    <w:lvl w:ilvl="3">
      <w:start w:val="1"/>
      <w:numFmt w:val="bullet"/>
      <w:lvlText w:val=""/>
      <w:lvlJc w:val="left"/>
      <w:pPr>
        <w:ind w:left="1440" w:hanging="360"/>
      </w:pPr>
      <w:rPr>
        <w:rFonts w:ascii="Symbol" w:hAnsi="Symbol"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6533F4D"/>
    <w:multiLevelType w:val="multilevel"/>
    <w:tmpl w:val="0405001D"/>
    <w:numStyleLink w:val="Styl1"/>
  </w:abstractNum>
  <w:abstractNum w:abstractNumId="22" w15:restartNumberingAfterBreak="0">
    <w:nsid w:val="67E32C96"/>
    <w:multiLevelType w:val="hybridMultilevel"/>
    <w:tmpl w:val="46B01B80"/>
    <w:lvl w:ilvl="0" w:tplc="04050011">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6D076225"/>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71ED546E"/>
    <w:multiLevelType w:val="multilevel"/>
    <w:tmpl w:val="E1F4D582"/>
    <w:lvl w:ilvl="0">
      <w:start w:val="5"/>
      <w:numFmt w:val="decimal"/>
      <w:lvlText w:val="%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6EF08DC"/>
    <w:multiLevelType w:val="multilevel"/>
    <w:tmpl w:val="010CA5A4"/>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7AC9458C"/>
    <w:multiLevelType w:val="hybridMultilevel"/>
    <w:tmpl w:val="80E8C0DE"/>
    <w:lvl w:ilvl="0" w:tplc="04050011">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7" w15:restartNumberingAfterBreak="0">
    <w:nsid w:val="7D2D6BAD"/>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7"/>
  </w:num>
  <w:num w:numId="2">
    <w:abstractNumId w:val="14"/>
  </w:num>
  <w:num w:numId="3">
    <w:abstractNumId w:val="1"/>
  </w:num>
  <w:num w:numId="4">
    <w:abstractNumId w:val="19"/>
  </w:num>
  <w:num w:numId="5">
    <w:abstractNumId w:val="21"/>
  </w:num>
  <w:num w:numId="6">
    <w:abstractNumId w:val="12"/>
  </w:num>
  <w:num w:numId="7">
    <w:abstractNumId w:val="17"/>
  </w:num>
  <w:num w:numId="8">
    <w:abstractNumId w:val="5"/>
  </w:num>
  <w:num w:numId="9">
    <w:abstractNumId w:val="2"/>
  </w:num>
  <w:num w:numId="10">
    <w:abstractNumId w:val="11"/>
  </w:num>
  <w:num w:numId="11">
    <w:abstractNumId w:val="8"/>
  </w:num>
  <w:num w:numId="12">
    <w:abstractNumId w:val="9"/>
  </w:num>
  <w:num w:numId="13">
    <w:abstractNumId w:val="13"/>
  </w:num>
  <w:num w:numId="14">
    <w:abstractNumId w:val="22"/>
  </w:num>
  <w:num w:numId="15">
    <w:abstractNumId w:val="26"/>
  </w:num>
  <w:num w:numId="16">
    <w:abstractNumId w:val="10"/>
  </w:num>
  <w:num w:numId="17">
    <w:abstractNumId w:val="6"/>
  </w:num>
  <w:num w:numId="18">
    <w:abstractNumId w:val="15"/>
  </w:num>
  <w:num w:numId="19">
    <w:abstractNumId w:val="7"/>
  </w:num>
  <w:num w:numId="20">
    <w:abstractNumId w:val="20"/>
  </w:num>
  <w:num w:numId="21">
    <w:abstractNumId w:val="23"/>
  </w:num>
  <w:num w:numId="22">
    <w:abstractNumId w:val="25"/>
  </w:num>
  <w:num w:numId="23">
    <w:abstractNumId w:val="4"/>
  </w:num>
  <w:num w:numId="24">
    <w:abstractNumId w:val="16"/>
  </w:num>
  <w:num w:numId="25">
    <w:abstractNumId w:val="3"/>
  </w:num>
  <w:num w:numId="26">
    <w:abstractNumId w:val="24"/>
  </w:num>
  <w:num w:numId="27">
    <w:abstractNumId w:val="18"/>
  </w:num>
  <w:num w:numId="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143B"/>
    <w:rsid w:val="000D4CB1"/>
    <w:rsid w:val="00126025"/>
    <w:rsid w:val="00184E72"/>
    <w:rsid w:val="001C030F"/>
    <w:rsid w:val="003324D0"/>
    <w:rsid w:val="0036143B"/>
    <w:rsid w:val="004D49DF"/>
    <w:rsid w:val="007336C1"/>
    <w:rsid w:val="00773E83"/>
    <w:rsid w:val="008B164F"/>
    <w:rsid w:val="00DA711A"/>
    <w:rsid w:val="00E43DCC"/>
    <w:rsid w:val="00EE5481"/>
    <w:rsid w:val="00FF6521"/>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1C52D025"/>
  <w15:docId w15:val="{0ED16E6F-3BB3-4FA3-ABB9-6CB651195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pPr>
      <w:ind w:left="720"/>
      <w:contextualSpacing/>
    </w:pPr>
  </w:style>
  <w:style w:type="numbering" w:customStyle="1" w:styleId="Styl1">
    <w:name w:val="Styl1"/>
    <w:uiPriority w:val="99"/>
    <w:pPr>
      <w:numPr>
        <w:numId w:val="4"/>
      </w:numPr>
    </w:pPr>
  </w:style>
  <w:style w:type="character" w:styleId="Odkaznakoment">
    <w:name w:val="annotation reference"/>
    <w:basedOn w:val="Standardnpsmoodstavce"/>
    <w:uiPriority w:val="99"/>
    <w:semiHidden/>
    <w:unhideWhenUsed/>
    <w:rPr>
      <w:sz w:val="16"/>
      <w:szCs w:val="16"/>
    </w:rPr>
  </w:style>
  <w:style w:type="paragraph" w:styleId="Textkomente">
    <w:name w:val="annotation text"/>
    <w:basedOn w:val="Normln"/>
    <w:link w:val="TextkomenteChar"/>
    <w:uiPriority w:val="99"/>
    <w:semiHidden/>
    <w:unhideWhenUsed/>
    <w:pPr>
      <w:spacing w:line="240" w:lineRule="auto"/>
    </w:pPr>
    <w:rPr>
      <w:sz w:val="20"/>
      <w:szCs w:val="20"/>
    </w:rPr>
  </w:style>
  <w:style w:type="character" w:customStyle="1" w:styleId="TextkomenteChar">
    <w:name w:val="Text komentáře Char"/>
    <w:basedOn w:val="Standardnpsmoodstavce"/>
    <w:link w:val="Textkomente"/>
    <w:uiPriority w:val="99"/>
    <w:semiHidden/>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paragraph" w:styleId="Textbubliny">
    <w:name w:val="Balloon Text"/>
    <w:basedOn w:val="Normln"/>
    <w:link w:val="TextbublinyChar"/>
    <w:uiPriority w:val="99"/>
    <w:semiHidden/>
    <w:unhideWhenUse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Pr>
      <w:rFonts w:ascii="Segoe UI" w:hAnsi="Segoe UI" w:cs="Segoe UI"/>
      <w:sz w:val="18"/>
      <w:szCs w:val="18"/>
    </w:r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character" w:customStyle="1" w:styleId="normaltextrun">
    <w:name w:val="normaltextrun"/>
    <w:basedOn w:val="Standardnpsmoodstavce"/>
    <w:rsid w:val="00E43DCC"/>
  </w:style>
  <w:style w:type="character" w:styleId="Hypertextovodkaz">
    <w:name w:val="Hyperlink"/>
    <w:basedOn w:val="Standardnpsmoodstavce"/>
    <w:uiPriority w:val="99"/>
    <w:unhideWhenUsed/>
    <w:rsid w:val="00E43DCC"/>
    <w:rPr>
      <w:color w:val="0000FF" w:themeColor="hyperlink"/>
      <w:u w:val="single"/>
    </w:rPr>
  </w:style>
  <w:style w:type="paragraph" w:styleId="Textpoznpodarou">
    <w:name w:val="footnote text"/>
    <w:basedOn w:val="Normln"/>
    <w:link w:val="TextpoznpodarouChar"/>
    <w:uiPriority w:val="99"/>
    <w:semiHidden/>
    <w:unhideWhenUsed/>
    <w:rsid w:val="00E43DCC"/>
    <w:pPr>
      <w:spacing w:after="0" w:line="240" w:lineRule="auto"/>
    </w:pPr>
    <w:rPr>
      <w:rFonts w:eastAsiaTheme="minorHAnsi"/>
      <w:color w:val="000000" w:themeColor="text1"/>
      <w:sz w:val="20"/>
      <w:szCs w:val="20"/>
      <w:lang w:eastAsia="en-US"/>
    </w:rPr>
  </w:style>
  <w:style w:type="character" w:customStyle="1" w:styleId="TextpoznpodarouChar">
    <w:name w:val="Text pozn. pod čarou Char"/>
    <w:basedOn w:val="Standardnpsmoodstavce"/>
    <w:link w:val="Textpoznpodarou"/>
    <w:uiPriority w:val="99"/>
    <w:semiHidden/>
    <w:rsid w:val="00E43DCC"/>
    <w:rPr>
      <w:rFonts w:eastAsiaTheme="minorHAnsi"/>
      <w:color w:val="000000" w:themeColor="text1"/>
      <w:sz w:val="20"/>
      <w:szCs w:val="20"/>
      <w:lang w:eastAsia="en-US"/>
    </w:rPr>
  </w:style>
  <w:style w:type="character" w:styleId="Znakapoznpodarou">
    <w:name w:val="footnote reference"/>
    <w:basedOn w:val="Standardnpsmoodstavce"/>
    <w:uiPriority w:val="99"/>
    <w:semiHidden/>
    <w:unhideWhenUsed/>
    <w:rsid w:val="00E43DC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1133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AB9511EA916A2142AC4EA30C67FAFC89" ma:contentTypeVersion="4" ma:contentTypeDescription="Vytvoří nový dokument" ma:contentTypeScope="" ma:versionID="d1ef68a3b507a40bf5281907f5452611">
  <xsd:schema xmlns:xsd="http://www.w3.org/2001/XMLSchema" xmlns:xs="http://www.w3.org/2001/XMLSchema" xmlns:p="http://schemas.microsoft.com/office/2006/metadata/properties" xmlns:ns2="37d5c382-9477-4f8a-b095-53fbacda737d" targetNamespace="http://schemas.microsoft.com/office/2006/metadata/properties" ma:root="true" ma:fieldsID="8725adba0c240e421cfedb5123d59cb2" ns2:_="">
    <xsd:import namespace="37d5c382-9477-4f8a-b095-53fbacda737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d5c382-9477-4f8a-b095-53fbacda73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A9C726-CC7D-45C2-A442-C01C07D96BC1}">
  <ds:schemaRefs>
    <ds:schemaRef ds:uri="http://schemas.microsoft.com/sharepoint/v3/contenttype/forms"/>
  </ds:schemaRefs>
</ds:datastoreItem>
</file>

<file path=customXml/itemProps2.xml><?xml version="1.0" encoding="utf-8"?>
<ds:datastoreItem xmlns:ds="http://schemas.openxmlformats.org/officeDocument/2006/customXml" ds:itemID="{7AE5D623-ABA5-42D4-987E-4A58F14B5B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d5c382-9477-4f8a-b095-53fbacda73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023783D-0325-4C1A-B82E-47166FA11DED}">
  <ds:schemaRefs>
    <ds:schemaRef ds:uri="37d5c382-9477-4f8a-b095-53fbacda737d"/>
    <ds:schemaRef ds:uri="http://www.w3.org/XML/1998/namespace"/>
    <ds:schemaRef ds:uri="http://purl.org/dc/terms/"/>
    <ds:schemaRef ds:uri="http://schemas.microsoft.com/office/2006/documentManagement/types"/>
    <ds:schemaRef ds:uri="http://schemas.microsoft.com/office/2006/metadata/properties"/>
    <ds:schemaRef ds:uri="http://purl.org/dc/elements/1.1/"/>
    <ds:schemaRef ds:uri="http://schemas.microsoft.com/office/infopath/2007/PartnerControls"/>
    <ds:schemaRef ds:uri="http://schemas.openxmlformats.org/package/2006/metadata/core-properties"/>
    <ds:schemaRef ds:uri="http://purl.org/dc/dcmitype/"/>
  </ds:schemaRefs>
</ds:datastoreItem>
</file>

<file path=customXml/itemProps4.xml><?xml version="1.0" encoding="utf-8"?>
<ds:datastoreItem xmlns:ds="http://schemas.openxmlformats.org/officeDocument/2006/customXml" ds:itemID="{D204EBD9-7F35-4552-9768-DBCF1E5EB0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E1A1251.dotm</Template>
  <TotalTime>3</TotalTime>
  <Pages>3</Pages>
  <Words>758</Words>
  <Characters>4475</Characters>
  <Application>Microsoft Office Word</Application>
  <DocSecurity>0</DocSecurity>
  <Lines>37</Lines>
  <Paragraphs>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Matoušek Jiří</cp:lastModifiedBy>
  <cp:revision>9</cp:revision>
  <cp:lastPrinted>2021-05-18T05:52:00Z</cp:lastPrinted>
  <dcterms:created xsi:type="dcterms:W3CDTF">2021-06-16T07:52:00Z</dcterms:created>
  <dcterms:modified xsi:type="dcterms:W3CDTF">2021-06-22T08:06:00Z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0x010100AB9511EA916A2142AC4EA30C67FAFC89</vt:lpwstr>
  </property>
  <property fmtid="{D5CDD505-2E9C-101B-9397-08002B2CF9AE}" pid="3" name="ClassificationContentMarkingHeaderShapeIds">
    <vt:lpwstr>1,2,3</vt:lpwstr>
  </property>
  <property fmtid="{D5CDD505-2E9C-101B-9397-08002B2CF9AE}" pid="4" name="ClassificationContentMarkingHeaderFontProps">
    <vt:lpwstr>#000000,10,Calibri</vt:lpwstr>
  </property>
  <property fmtid="{D5CDD505-2E9C-101B-9397-08002B2CF9AE}" pid="5" name="ClassificationContentMarkingHeaderText">
    <vt:lpwstr>Veřejně přístupné informace</vt:lpwstr>
  </property>
  <property fmtid="{D5CDD505-2E9C-101B-9397-08002B2CF9AE}" pid="6" name="MSIP_Label_8d94c5f0-83f8-4bf2-af20-ac59dfc3b7e2_Enabled">
    <vt:lpwstr>True</vt:lpwstr>
  </property>
  <property fmtid="{D5CDD505-2E9C-101B-9397-08002B2CF9AE}" pid="7" name="MSIP_Label_8d94c5f0-83f8-4bf2-af20-ac59dfc3b7e2_SiteId">
    <vt:lpwstr>1f9775f0-c6d0-40f3-b27c-91cb5bbd294a</vt:lpwstr>
  </property>
  <property fmtid="{D5CDD505-2E9C-101B-9397-08002B2CF9AE}" pid="8" name="MSIP_Label_8d94c5f0-83f8-4bf2-af20-ac59dfc3b7e2_ActionId">
    <vt:lpwstr>f3358ede-3978-4959-9d7d-671f2ac37387</vt:lpwstr>
  </property>
  <property fmtid="{D5CDD505-2E9C-101B-9397-08002B2CF9AE}" pid="9" name="MSIP_Label_8d94c5f0-83f8-4bf2-af20-ac59dfc3b7e2_Method">
    <vt:lpwstr>Privileged</vt:lpwstr>
  </property>
  <property fmtid="{D5CDD505-2E9C-101B-9397-08002B2CF9AE}" pid="10" name="MSIP_Label_8d94c5f0-83f8-4bf2-af20-ac59dfc3b7e2_SetDate">
    <vt:lpwstr>2021-05-13T09:06:16Z</vt:lpwstr>
  </property>
  <property fmtid="{D5CDD505-2E9C-101B-9397-08002B2CF9AE}" pid="11" name="MSIP_Label_8d94c5f0-83f8-4bf2-af20-ac59dfc3b7e2_Name">
    <vt:lpwstr>Veřejné</vt:lpwstr>
  </property>
  <property fmtid="{D5CDD505-2E9C-101B-9397-08002B2CF9AE}" pid="12" name="MSIP_Label_8d94c5f0-83f8-4bf2-af20-ac59dfc3b7e2_ContentBits">
    <vt:lpwstr>1</vt:lpwstr>
  </property>
</Properties>
</file>