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DB3447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BF1C46" w:rsidRDefault="00F70E98" w:rsidP="004D1F1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Velké výzkumné infrastruktury</w:t>
            </w:r>
            <w:r w:rsidR="004D1F1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F84F1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F70E98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371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615E00">
              <w:rPr>
                <w:rFonts w:ascii="Arial" w:hAnsi="Arial" w:cs="Arial"/>
                <w:b/>
                <w:color w:val="0070C0"/>
                <w:sz w:val="28"/>
                <w:szCs w:val="28"/>
              </w:rPr>
              <w:t>A5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4D1F1A" w:rsidP="00F70E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F70E98">
              <w:rPr>
                <w:rFonts w:ascii="Arial" w:hAnsi="Arial" w:cs="Arial"/>
                <w:i/>
                <w:sz w:val="22"/>
                <w:szCs w:val="22"/>
              </w:rPr>
              <w:t>Luboš Novák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F70E98" w:rsidP="00CC463E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Odbor RVVI, 8. 9. 2021</w:t>
            </w:r>
          </w:p>
        </w:tc>
      </w:tr>
      <w:tr w:rsidR="008F77F6" w:rsidRPr="00DE2BC0" w:rsidTr="00DF1C58">
        <w:trPr>
          <w:trHeight w:val="198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903B2" w:rsidRPr="000A7B6B" w:rsidRDefault="008F77F6" w:rsidP="000A7B6B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903B2" w:rsidRPr="00D00636" w:rsidRDefault="00A903B2" w:rsidP="00A903B2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V roce 2021 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Ministerstvo školství, mládeže a tělovýchovy (dále jen „ MŠMT“)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organizuje mezinárodní peer-</w:t>
            </w:r>
            <w:proofErr w:type="spellStart"/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review</w:t>
            </w:r>
            <w:proofErr w:type="spellEnd"/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hodnocení velkých výzkumných infrastruktur ČR. Součástí této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evaluace </w:t>
            </w:r>
            <w:r w:rsidR="00D25890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je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i vyhodnocení socioekonomických přínosů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a dopadů velkých výzkumných infrastruktur, a to v rámci segmentu 5, jak jej stanovuje metodika mezinárodního peer-</w:t>
            </w:r>
            <w:proofErr w:type="spellStart"/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review</w:t>
            </w:r>
            <w:proofErr w:type="spellEnd"/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hodnocení velkých výzkumných infrastruktur ČR.  </w:t>
            </w:r>
          </w:p>
          <w:p w:rsidR="00A903B2" w:rsidRDefault="00A903B2" w:rsidP="00A903B2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MŠMT dále 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plánuje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vypracování specifické metodiky hodnocení socioekonomických přínosů a dopadů velkých výzkumných infrastruktur, která by byla metodologických rámcem pro dlouhodobější a analytické práce v dané oblasti. Tvorba této metodiky je předjímána jako jeden z výstupů realizace projektu sdílených činností s názvem „Strategická inteligence pro výzkum a inovace (STRATIN</w:t>
            </w:r>
            <w:r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>).</w:t>
            </w:r>
            <w:r w:rsidRPr="00D00636">
              <w:rPr>
                <w:rFonts w:ascii="Arial" w:eastAsia="Times New Roman" w:hAnsi="Arial" w:cs="Arial"/>
                <w:sz w:val="22"/>
                <w:szCs w:val="22"/>
                <w:lang w:eastAsia="cs-CZ"/>
              </w:rPr>
              <w:t xml:space="preserve"> </w:t>
            </w:r>
          </w:p>
          <w:p w:rsidR="000A7B6B" w:rsidRPr="00D00636" w:rsidRDefault="000A7B6B" w:rsidP="00A903B2">
            <w:pPr>
              <w:pStyle w:val="Default"/>
              <w:spacing w:before="120"/>
              <w:jc w:val="both"/>
              <w:rPr>
                <w:rFonts w:ascii="Arial" w:eastAsia="Times New Roman" w:hAnsi="Arial" w:cs="Arial"/>
                <w:sz w:val="22"/>
                <w:szCs w:val="22"/>
                <w:lang w:eastAsia="cs-CZ"/>
              </w:rPr>
            </w:pPr>
          </w:p>
          <w:p w:rsidR="00F70E98" w:rsidRDefault="004D1F1A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</w:t>
            </w:r>
            <w:r w:rsidR="00A903B2">
              <w:rPr>
                <w:rFonts w:ascii="Arial" w:hAnsi="Arial" w:cs="Arial"/>
                <w:sz w:val="22"/>
                <w:szCs w:val="22"/>
              </w:rPr>
              <w:t>požádala na svém 368. zasedání dne 28. května 2021 MŠMT</w:t>
            </w:r>
            <w:r w:rsidR="00A903B2" w:rsidRPr="00A903B2">
              <w:rPr>
                <w:rFonts w:ascii="Arial" w:hAnsi="Arial" w:cs="Arial"/>
                <w:sz w:val="22"/>
                <w:szCs w:val="22"/>
              </w:rPr>
              <w:t>, aby</w:t>
            </w:r>
            <w:r w:rsidR="00A903B2">
              <w:rPr>
                <w:rFonts w:ascii="Arial" w:hAnsi="Arial" w:cs="Arial"/>
                <w:sz w:val="22"/>
                <w:szCs w:val="22"/>
              </w:rPr>
              <w:t>:</w:t>
            </w:r>
            <w:r w:rsidR="00A903B2" w:rsidRPr="00A903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903B2" w:rsidRPr="00A903B2" w:rsidRDefault="00A903B2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903B2">
              <w:rPr>
                <w:rFonts w:ascii="Arial" w:hAnsi="Arial" w:cs="Arial"/>
                <w:sz w:val="22"/>
                <w:szCs w:val="22"/>
              </w:rPr>
              <w:t xml:space="preserve">před „započetím prací na přípravě metodického rámce pro analýzu socioekonomických přínosů a dopadů velkých výzkumných infrastruktur ve 2. pololetí roku 2021“ projednalo se zpravodajem Rady, Radou a Odborem Rady pro výzkum, vývoj a inovace problematiku socioekonomických dopadů velkých výzkumných infrastruktur v jejich celé oborové šíři, </w:t>
            </w:r>
            <w:r w:rsidR="00D25890">
              <w:rPr>
                <w:rFonts w:ascii="Arial" w:hAnsi="Arial" w:cs="Arial"/>
                <w:sz w:val="22"/>
                <w:szCs w:val="22"/>
              </w:rPr>
              <w:br/>
            </w:r>
            <w:r w:rsidRPr="00A903B2">
              <w:rPr>
                <w:rFonts w:ascii="Arial" w:hAnsi="Arial" w:cs="Arial"/>
                <w:sz w:val="22"/>
                <w:szCs w:val="22"/>
              </w:rPr>
              <w:t>s přihlédnutím k různému charakteru velkých výzkumných infastruktur, a s využitím konkrétních údajů o jednotlivých velkých výzkumných infastrukturách,</w:t>
            </w:r>
          </w:p>
          <w:p w:rsidR="00A903B2" w:rsidRPr="00A903B2" w:rsidRDefault="00A903B2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903B2">
              <w:rPr>
                <w:rFonts w:ascii="Arial" w:hAnsi="Arial" w:cs="Arial"/>
                <w:sz w:val="22"/>
                <w:szCs w:val="22"/>
              </w:rPr>
              <w:t xml:space="preserve"> kromě informace o „započetí prací na přípravě metodického rámce pro analýzu socioekonomických přínosů a dopadů velkých výzkumných infrastruktur ve 2. pololetí roku 2021“ uvedlo i termín jejího přeložení Radě tak, aby ji měla k dispozici pro vypracování svého stanoviska k návrhu na podporu velkých výzkumných infrastruktur 2023+ před jeho předložením vládě,</w:t>
            </w:r>
          </w:p>
          <w:p w:rsidR="00A903B2" w:rsidRDefault="00A903B2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Pr="00A903B2">
              <w:rPr>
                <w:rFonts w:ascii="Arial" w:hAnsi="Arial" w:cs="Arial"/>
                <w:sz w:val="22"/>
                <w:szCs w:val="22"/>
              </w:rPr>
              <w:t xml:space="preserve"> při hodnocení stávajících i nových velkých výzkumných infrastruktur 2023+, zejména v této oblasti, kladlo i nadále velký důraz na rozsah spolupráce a hodnocení socioekonomických přínosů a dopadů s cílem postupně vyrovnat značné rozdíly v těchto přínosech mezi jednotlivými oblastmi.</w:t>
            </w:r>
          </w:p>
          <w:p w:rsidR="00F70E98" w:rsidRDefault="00A903B2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Zpravodaj Rady pro Velké výzkumné infrastruktury Ing. Luboš Novák předkládá Radě k projednání materiál „Výsledky výzkumných infrastruktur: Pilotní analýza dat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Hodnocení M17+“</w:t>
            </w:r>
            <w:r w:rsidR="00F70E9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:rsidR="00206A41" w:rsidRPr="00AB734E" w:rsidRDefault="00A903B2" w:rsidP="00A903B2">
            <w:pPr>
              <w:keepNext/>
              <w:tabs>
                <w:tab w:val="left" w:pos="-26"/>
                <w:tab w:val="left" w:pos="900"/>
              </w:tabs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03B2">
              <w:rPr>
                <w:rFonts w:ascii="Arial" w:hAnsi="Arial" w:cs="Arial"/>
                <w:bCs/>
                <w:sz w:val="22"/>
                <w:szCs w:val="22"/>
              </w:rPr>
              <w:t>Cílem této pilotní analýzy výsledků velkých výzkumných infrastruktur je zjistit a popsat</w:t>
            </w:r>
            <w:r w:rsidR="00F70E98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Pr="00A903B2">
              <w:rPr>
                <w:rFonts w:ascii="Arial" w:hAnsi="Arial" w:cs="Arial"/>
                <w:bCs/>
                <w:sz w:val="22"/>
                <w:szCs w:val="22"/>
              </w:rPr>
              <w:t xml:space="preserve"> jaké výsledky byly v období mezi lety 2016–2020 vytvořeny za přispění velkých výzkumných infrastruktur. </w:t>
            </w:r>
            <w:r>
              <w:t xml:space="preserve"> </w:t>
            </w:r>
            <w:r w:rsidRPr="00A903B2">
              <w:rPr>
                <w:rFonts w:ascii="Arial" w:hAnsi="Arial" w:cs="Arial"/>
                <w:bCs/>
                <w:sz w:val="22"/>
                <w:szCs w:val="22"/>
              </w:rPr>
              <w:t>Provedená pilotní analýza výsledků velkých výzkumných infrastruktur vychází ze zavedených postupů používaných v dokumentu Analýza stavu výzkumu, vývoje a inovací v ČR a jejich srovnání se zahraničím a dále jsou využity poznatky z předchozích  hodnocení dle Metodiky 17+ – konkrétně z Modulu 1 a Modulu 2</w:t>
            </w:r>
            <w:r w:rsidR="00F70E98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 w:rsidR="00F70E98" w:rsidRPr="00F70E98">
              <w:rPr>
                <w:rFonts w:ascii="Arial" w:hAnsi="Arial" w:cs="Arial"/>
                <w:bCs/>
                <w:sz w:val="22"/>
                <w:szCs w:val="22"/>
              </w:rPr>
              <w:t>Na základě počtu výsledků a na základě odborného posouzení byly vybrány tři skupiny ESFRI (Fyzikální vědy a inženýrství, Energetika a Zdraví a potraviny), u nichž byly dosažené výsledky podrobněji analyzovány</w:t>
            </w:r>
            <w:r w:rsidR="00F70E9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A805E4">
        <w:trPr>
          <w:trHeight w:val="9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2C78F4" w:rsidRDefault="00F70E98" w:rsidP="002A7323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Výsledky výzkumných infrastruktur: Pilotní analýza dat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 Hodnocení M17+</w:t>
            </w:r>
          </w:p>
          <w:p w:rsidR="00615E00" w:rsidRPr="000A7B6B" w:rsidRDefault="00615E00" w:rsidP="000A7B6B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5E00">
              <w:rPr>
                <w:rFonts w:ascii="Arial" w:hAnsi="Arial" w:cs="Arial"/>
                <w:sz w:val="22"/>
                <w:szCs w:val="22"/>
              </w:rPr>
              <w:t xml:space="preserve">Pilotní analýza dat IS </w:t>
            </w:r>
            <w:proofErr w:type="spellStart"/>
            <w:r w:rsidRPr="00615E0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615E00">
              <w:rPr>
                <w:rFonts w:ascii="Arial" w:hAnsi="Arial" w:cs="Arial"/>
                <w:sz w:val="22"/>
                <w:szCs w:val="22"/>
              </w:rPr>
              <w:t xml:space="preserve"> a Hodnocení M17+ - </w:t>
            </w:r>
            <w:r>
              <w:rPr>
                <w:rFonts w:ascii="Arial" w:hAnsi="Arial" w:cs="Arial"/>
                <w:sz w:val="22"/>
                <w:szCs w:val="22"/>
              </w:rPr>
              <w:t xml:space="preserve">Příloha -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Dashboards</w:t>
            </w:r>
            <w:proofErr w:type="spellEnd"/>
          </w:p>
        </w:tc>
      </w:tr>
    </w:tbl>
    <w:p w:rsidR="00F86D54" w:rsidRDefault="00B1088C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D6D" w:rsidRDefault="006F3D6D" w:rsidP="008F77F6">
      <w:r>
        <w:separator/>
      </w:r>
    </w:p>
  </w:endnote>
  <w:endnote w:type="continuationSeparator" w:id="0">
    <w:p w:rsidR="006F3D6D" w:rsidRDefault="006F3D6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D6D" w:rsidRDefault="006F3D6D" w:rsidP="008F77F6">
      <w:r>
        <w:separator/>
      </w:r>
    </w:p>
  </w:footnote>
  <w:footnote w:type="continuationSeparator" w:id="0">
    <w:p w:rsidR="006F3D6D" w:rsidRDefault="006F3D6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3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3"/>
  </w:num>
  <w:num w:numId="4">
    <w:abstractNumId w:val="14"/>
  </w:num>
  <w:num w:numId="5">
    <w:abstractNumId w:val="15"/>
  </w:num>
  <w:num w:numId="6">
    <w:abstractNumId w:val="6"/>
  </w:num>
  <w:num w:numId="7">
    <w:abstractNumId w:val="12"/>
  </w:num>
  <w:num w:numId="8">
    <w:abstractNumId w:val="8"/>
  </w:num>
  <w:num w:numId="9">
    <w:abstractNumId w:val="2"/>
  </w:num>
  <w:num w:numId="10">
    <w:abstractNumId w:val="10"/>
  </w:num>
  <w:num w:numId="11">
    <w:abstractNumId w:val="11"/>
  </w:num>
  <w:num w:numId="12">
    <w:abstractNumId w:val="3"/>
  </w:num>
  <w:num w:numId="13">
    <w:abstractNumId w:val="17"/>
  </w:num>
  <w:num w:numId="14">
    <w:abstractNumId w:val="1"/>
  </w:num>
  <w:num w:numId="15">
    <w:abstractNumId w:val="5"/>
  </w:num>
  <w:num w:numId="16">
    <w:abstractNumId w:val="7"/>
  </w:num>
  <w:num w:numId="17">
    <w:abstractNumId w:val="9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A7B6B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4301C"/>
    <w:rsid w:val="00151B3F"/>
    <w:rsid w:val="001528E0"/>
    <w:rsid w:val="00166727"/>
    <w:rsid w:val="00171C4D"/>
    <w:rsid w:val="001A0E30"/>
    <w:rsid w:val="001D5092"/>
    <w:rsid w:val="001F03C7"/>
    <w:rsid w:val="00206A41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5A0D"/>
    <w:rsid w:val="00332ADC"/>
    <w:rsid w:val="00343AF5"/>
    <w:rsid w:val="00353C02"/>
    <w:rsid w:val="0035786F"/>
    <w:rsid w:val="00360293"/>
    <w:rsid w:val="00375749"/>
    <w:rsid w:val="00387B05"/>
    <w:rsid w:val="003916A7"/>
    <w:rsid w:val="00393625"/>
    <w:rsid w:val="003C6FA0"/>
    <w:rsid w:val="003D2395"/>
    <w:rsid w:val="003E5A9B"/>
    <w:rsid w:val="003F0A5D"/>
    <w:rsid w:val="003F17E1"/>
    <w:rsid w:val="00445353"/>
    <w:rsid w:val="00460F48"/>
    <w:rsid w:val="00492E38"/>
    <w:rsid w:val="00494A1F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257D"/>
    <w:rsid w:val="005D2C64"/>
    <w:rsid w:val="005D4C13"/>
    <w:rsid w:val="005E1E50"/>
    <w:rsid w:val="005F277C"/>
    <w:rsid w:val="005F7293"/>
    <w:rsid w:val="00615E00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E328B"/>
    <w:rsid w:val="006F3D6D"/>
    <w:rsid w:val="006F78C4"/>
    <w:rsid w:val="00702CC3"/>
    <w:rsid w:val="00713180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35D6"/>
    <w:rsid w:val="008F77F6"/>
    <w:rsid w:val="00911F8C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E1C79"/>
    <w:rsid w:val="009F753F"/>
    <w:rsid w:val="00A11B06"/>
    <w:rsid w:val="00A220CF"/>
    <w:rsid w:val="00A3416C"/>
    <w:rsid w:val="00A4672B"/>
    <w:rsid w:val="00A51417"/>
    <w:rsid w:val="00A64E61"/>
    <w:rsid w:val="00A66952"/>
    <w:rsid w:val="00A72F76"/>
    <w:rsid w:val="00A754EB"/>
    <w:rsid w:val="00A805E4"/>
    <w:rsid w:val="00A903B2"/>
    <w:rsid w:val="00AA1B8F"/>
    <w:rsid w:val="00AA51BE"/>
    <w:rsid w:val="00AA7217"/>
    <w:rsid w:val="00AB734E"/>
    <w:rsid w:val="00AD7E5C"/>
    <w:rsid w:val="00AE7D40"/>
    <w:rsid w:val="00B1088C"/>
    <w:rsid w:val="00B16359"/>
    <w:rsid w:val="00B178A3"/>
    <w:rsid w:val="00B40BB1"/>
    <w:rsid w:val="00B476E7"/>
    <w:rsid w:val="00B554E8"/>
    <w:rsid w:val="00B65A4C"/>
    <w:rsid w:val="00B70A52"/>
    <w:rsid w:val="00B70F04"/>
    <w:rsid w:val="00B833E2"/>
    <w:rsid w:val="00BA148D"/>
    <w:rsid w:val="00BA79EA"/>
    <w:rsid w:val="00BC66E7"/>
    <w:rsid w:val="00BF1C46"/>
    <w:rsid w:val="00C20639"/>
    <w:rsid w:val="00C341FB"/>
    <w:rsid w:val="00C720F5"/>
    <w:rsid w:val="00C760D4"/>
    <w:rsid w:val="00C92F11"/>
    <w:rsid w:val="00CC463E"/>
    <w:rsid w:val="00CE7925"/>
    <w:rsid w:val="00D01FEB"/>
    <w:rsid w:val="00D109B0"/>
    <w:rsid w:val="00D25890"/>
    <w:rsid w:val="00D27C56"/>
    <w:rsid w:val="00D32B4C"/>
    <w:rsid w:val="00D4395B"/>
    <w:rsid w:val="00D8534E"/>
    <w:rsid w:val="00D930C1"/>
    <w:rsid w:val="00DA1E2B"/>
    <w:rsid w:val="00DB3447"/>
    <w:rsid w:val="00DB3796"/>
    <w:rsid w:val="00DB7501"/>
    <w:rsid w:val="00DC5FE9"/>
    <w:rsid w:val="00DC7211"/>
    <w:rsid w:val="00DD1785"/>
    <w:rsid w:val="00DD7C8D"/>
    <w:rsid w:val="00DF1C58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C17F8"/>
    <w:rsid w:val="00EC70A1"/>
    <w:rsid w:val="00ED03A3"/>
    <w:rsid w:val="00F01F87"/>
    <w:rsid w:val="00F165C8"/>
    <w:rsid w:val="00F16A3D"/>
    <w:rsid w:val="00F24D60"/>
    <w:rsid w:val="00F460CB"/>
    <w:rsid w:val="00F5110F"/>
    <w:rsid w:val="00F620E6"/>
    <w:rsid w:val="00F70E98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A903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A903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7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Moravcová Lenka</dc:creator>
  <cp:lastModifiedBy>Moravcová Lenka</cp:lastModifiedBy>
  <cp:revision>3</cp:revision>
  <cp:lastPrinted>2019-02-07T12:43:00Z</cp:lastPrinted>
  <dcterms:created xsi:type="dcterms:W3CDTF">2021-09-24T11:28:00Z</dcterms:created>
  <dcterms:modified xsi:type="dcterms:W3CDTF">2021-10-05T06:41:00Z</dcterms:modified>
</cp:coreProperties>
</file>