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37"/>
        <w:gridCol w:w="2249"/>
      </w:tblGrid>
      <w:tr w:rsidR="008F77F6" w:rsidRPr="00DE2BC0" w:rsidTr="00406B71">
        <w:trPr>
          <w:trHeight w:val="1246"/>
        </w:trPr>
        <w:tc>
          <w:tcPr>
            <w:tcW w:w="707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C377FA" w:rsidRPr="00C377FA" w:rsidRDefault="00C377FA" w:rsidP="00C377FA">
            <w:pPr>
              <w:spacing w:line="276" w:lineRule="auto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377FA">
              <w:rPr>
                <w:rFonts w:ascii="Arial" w:hAnsi="Arial" w:cs="Arial"/>
                <w:b/>
                <w:color w:val="0070C0"/>
                <w:sz w:val="28"/>
                <w:szCs w:val="28"/>
              </w:rPr>
              <w:t>A1)</w:t>
            </w:r>
            <w:r w:rsidRPr="00C377FA">
              <w:rPr>
                <w:rFonts w:ascii="Arial" w:hAnsi="Arial" w:cs="Arial"/>
                <w:b/>
                <w:color w:val="0070C0"/>
                <w:sz w:val="28"/>
                <w:szCs w:val="28"/>
              </w:rPr>
              <w:tab/>
              <w:t>Národní plán obnovy</w:t>
            </w:r>
          </w:p>
          <w:p w:rsidR="00C377FA" w:rsidRPr="00C377FA" w:rsidRDefault="00C377FA" w:rsidP="00C377FA">
            <w:pPr>
              <w:pStyle w:val="Odstavecseseznamem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377FA">
              <w:rPr>
                <w:rFonts w:ascii="Arial" w:hAnsi="Arial" w:cs="Arial"/>
                <w:b/>
                <w:color w:val="0070C0"/>
                <w:sz w:val="28"/>
                <w:szCs w:val="28"/>
              </w:rPr>
              <w:t>Informace o jednáních k přesunu chybějících finančních prostředků NPO</w:t>
            </w:r>
          </w:p>
          <w:p w:rsidR="009E4631" w:rsidRPr="00C377FA" w:rsidRDefault="00C377FA" w:rsidP="00C377FA">
            <w:pPr>
              <w:pStyle w:val="Odstavecseseznamem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377FA">
              <w:rPr>
                <w:rFonts w:ascii="Arial" w:hAnsi="Arial" w:cs="Arial"/>
                <w:b/>
                <w:color w:val="0070C0"/>
                <w:sz w:val="28"/>
                <w:szCs w:val="28"/>
              </w:rPr>
              <w:t>Dostupné prováděcí dokumenty pro implementaci NPO</w:t>
            </w:r>
          </w:p>
        </w:tc>
        <w:tc>
          <w:tcPr>
            <w:tcW w:w="224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B437E0" w:rsidP="00406B71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E52A03">
              <w:rPr>
                <w:rFonts w:ascii="Arial" w:hAnsi="Arial" w:cs="Arial"/>
                <w:b/>
                <w:color w:val="0070C0"/>
                <w:sz w:val="28"/>
                <w:szCs w:val="28"/>
              </w:rPr>
              <w:t>7</w:t>
            </w:r>
            <w:r w:rsidR="00406B71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  <w:r w:rsidR="00DD286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F607E2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C377FA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8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607ED" w:rsidRDefault="00FB30C2" w:rsidP="007633F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d</w:t>
            </w:r>
            <w:r w:rsidR="00793BB8">
              <w:rPr>
                <w:rFonts w:ascii="Arial" w:hAnsi="Arial" w:cs="Arial"/>
                <w:bCs/>
                <w:i/>
                <w:sz w:val="22"/>
                <w:szCs w:val="22"/>
              </w:rPr>
              <w:t>r. Baran, doc. Kouřil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83D19" w:rsidP="00406B7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C0F31">
              <w:rPr>
                <w:rFonts w:ascii="Arial" w:hAnsi="Arial" w:cs="Arial"/>
                <w:i/>
                <w:sz w:val="22"/>
                <w:szCs w:val="22"/>
              </w:rPr>
              <w:t>RVV</w:t>
            </w:r>
            <w:r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FD7AD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406B71">
              <w:rPr>
                <w:rFonts w:ascii="Arial" w:hAnsi="Arial" w:cs="Arial"/>
                <w:i/>
                <w:sz w:val="22"/>
                <w:szCs w:val="22"/>
              </w:rPr>
              <w:t>říjen</w:t>
            </w:r>
            <w:r w:rsidR="007633F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17BC0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69459B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3B26EE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</w:tr>
      <w:tr w:rsidR="008F77F6" w:rsidRPr="00DE2BC0" w:rsidTr="00B33A66">
        <w:trPr>
          <w:trHeight w:val="398"/>
        </w:trPr>
        <w:tc>
          <w:tcPr>
            <w:tcW w:w="93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837E5" w:rsidRPr="001146E1" w:rsidRDefault="008F77F6" w:rsidP="001146E1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B4596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6837E5" w:rsidRPr="00072BB0" w:rsidRDefault="006837E5" w:rsidP="006837E5">
            <w:pPr>
              <w:pStyle w:val="xmsolistparagraph"/>
              <w:ind w:left="72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736A6B" w:rsidRPr="007B63F1" w:rsidRDefault="0036483D" w:rsidP="00736A6B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736A6B">
              <w:rPr>
                <w:rFonts w:ascii="Arial" w:hAnsi="Arial" w:cs="Arial"/>
                <w:sz w:val="22"/>
                <w:szCs w:val="22"/>
              </w:rPr>
              <w:t xml:space="preserve">Na základě usnesení 371. zasedání Rady pro výzkum, vývoj a inovace („Rada“) k bodu </w:t>
            </w:r>
            <w:r w:rsidR="00736A6B" w:rsidRPr="00736A6B">
              <w:rPr>
                <w:rFonts w:ascii="Arial" w:hAnsi="Arial" w:cs="Arial"/>
                <w:sz w:val="22"/>
                <w:szCs w:val="22"/>
              </w:rPr>
              <w:t>A6) „</w:t>
            </w:r>
            <w:r w:rsidR="00736A6B" w:rsidRPr="00736A6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Návrh dočasného řešení financování části komponenty </w:t>
            </w:r>
            <w:proofErr w:type="gramStart"/>
            <w:r w:rsidR="00736A6B" w:rsidRPr="00736A6B">
              <w:rPr>
                <w:rFonts w:ascii="Arial" w:eastAsia="Calibri" w:hAnsi="Arial" w:cs="Arial"/>
                <w:color w:val="000000"/>
                <w:sz w:val="22"/>
                <w:szCs w:val="22"/>
              </w:rPr>
              <w:t>5.2. NPO</w:t>
            </w:r>
            <w:proofErr w:type="gramEnd"/>
            <w:r w:rsidR="00736A6B" w:rsidRPr="00736A6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“, kterým Rada </w:t>
            </w:r>
            <w:r w:rsidR="00736A6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vzala na </w:t>
            </w:r>
            <w:r w:rsidR="00736A6B" w:rsidRPr="007B63F1">
              <w:rPr>
                <w:rFonts w:ascii="Arial" w:hAnsi="Arial" w:cs="Arial"/>
                <w:color w:val="000000"/>
                <w:sz w:val="22"/>
                <w:szCs w:val="22"/>
              </w:rPr>
              <w:t>vědomí informaci o chybějících prostředcí</w:t>
            </w:r>
            <w:r w:rsidR="00736A6B">
              <w:rPr>
                <w:rFonts w:ascii="Arial" w:hAnsi="Arial" w:cs="Arial"/>
                <w:color w:val="000000"/>
                <w:sz w:val="22"/>
                <w:szCs w:val="22"/>
              </w:rPr>
              <w:t>ch na rezortní programy administrované Technologickou agenturou ČR („TA ČR“) TREND a </w:t>
            </w:r>
            <w:r w:rsidR="00736A6B" w:rsidRPr="007B63F1">
              <w:rPr>
                <w:rFonts w:ascii="Arial" w:hAnsi="Arial" w:cs="Arial"/>
                <w:color w:val="000000"/>
                <w:sz w:val="22"/>
                <w:szCs w:val="22"/>
              </w:rPr>
              <w:t>Doprava pro rok 2022 v důsledku nezahrnutí těchto výdajů do RRF</w:t>
            </w:r>
            <w:r w:rsidR="00736A6B">
              <w:rPr>
                <w:rFonts w:ascii="Arial" w:hAnsi="Arial" w:cs="Arial"/>
                <w:color w:val="000000"/>
                <w:sz w:val="22"/>
                <w:szCs w:val="22"/>
              </w:rPr>
              <w:t xml:space="preserve"> v rámci Národního plánu obnovy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 xml:space="preserve"> („NPO“)</w:t>
            </w:r>
            <w:r w:rsidR="00736A6B" w:rsidRPr="007B63F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736A6B">
              <w:rPr>
                <w:rFonts w:ascii="Arial" w:hAnsi="Arial" w:cs="Arial"/>
                <w:color w:val="000000"/>
                <w:sz w:val="22"/>
                <w:szCs w:val="22"/>
              </w:rPr>
              <w:t xml:space="preserve"> a</w:t>
            </w:r>
          </w:p>
          <w:p w:rsidR="00736A6B" w:rsidRDefault="00736A6B" w:rsidP="00736A6B">
            <w:pPr>
              <w:numPr>
                <w:ilvl w:val="0"/>
                <w:numId w:val="36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>doporuč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ila</w:t>
            </w: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 xml:space="preserve"> Ministerstvu průmyslu a obchodu</w:t>
            </w:r>
            <w:r w:rsidR="00CD64B1">
              <w:rPr>
                <w:rFonts w:ascii="Arial" w:hAnsi="Arial" w:cs="Arial"/>
                <w:color w:val="000000"/>
                <w:sz w:val="22"/>
                <w:szCs w:val="22"/>
              </w:rPr>
              <w:t xml:space="preserve"> („MPO“)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Ministerstvu dopravy</w:t>
            </w: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D64B1">
              <w:rPr>
                <w:rFonts w:ascii="Arial" w:hAnsi="Arial" w:cs="Arial"/>
                <w:color w:val="000000"/>
                <w:sz w:val="22"/>
                <w:szCs w:val="22"/>
              </w:rPr>
              <w:t xml:space="preserve">(„MD“) </w:t>
            </w: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552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 xml:space="preserve"> ČR, aby společně s poskytovateli a s podporou předsednictva Rady projednali zatímní financování chybějících prostředků v uvedených rezortních programech a</w:t>
            </w:r>
            <w:r w:rsidR="003552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 xml:space="preserve">předložili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 rok 2022 </w:t>
            </w:r>
            <w:r w:rsidRPr="007B63F1">
              <w:rPr>
                <w:rFonts w:ascii="Arial" w:hAnsi="Arial" w:cs="Arial"/>
                <w:color w:val="000000"/>
                <w:sz w:val="22"/>
                <w:szCs w:val="22"/>
              </w:rPr>
              <w:t>návrh rozpočtových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opatření na 373. zasedání Rady,</w:t>
            </w:r>
          </w:p>
          <w:p w:rsidR="00736A6B" w:rsidRPr="00021D1C" w:rsidRDefault="00736A6B" w:rsidP="00736A6B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Pr="00021D1C">
              <w:rPr>
                <w:rFonts w:ascii="Arial" w:hAnsi="Arial" w:cs="Arial"/>
                <w:sz w:val="22"/>
                <w:szCs w:val="22"/>
              </w:rPr>
              <w:t>žád</w:t>
            </w:r>
            <w:r>
              <w:rPr>
                <w:rFonts w:ascii="Arial" w:hAnsi="Arial" w:cs="Arial"/>
                <w:sz w:val="22"/>
                <w:szCs w:val="22"/>
              </w:rPr>
              <w:t>ala</w:t>
            </w:r>
            <w:r w:rsidRPr="00021D1C">
              <w:rPr>
                <w:rFonts w:ascii="Arial" w:hAnsi="Arial" w:cs="Arial"/>
                <w:sz w:val="22"/>
                <w:szCs w:val="22"/>
              </w:rPr>
              <w:t xml:space="preserve"> předsednictvo Rady o svolání jednání M</w:t>
            </w:r>
            <w:r w:rsidR="00CD64B1">
              <w:rPr>
                <w:rFonts w:ascii="Arial" w:hAnsi="Arial" w:cs="Arial"/>
                <w:sz w:val="22"/>
                <w:szCs w:val="22"/>
              </w:rPr>
              <w:t>PO</w:t>
            </w:r>
            <w:r w:rsidRPr="00021D1C">
              <w:rPr>
                <w:rFonts w:ascii="Arial" w:hAnsi="Arial" w:cs="Arial"/>
                <w:sz w:val="22"/>
                <w:szCs w:val="22"/>
              </w:rPr>
              <w:t>, 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D64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D1C">
              <w:rPr>
                <w:rFonts w:ascii="Arial" w:hAnsi="Arial" w:cs="Arial"/>
                <w:sz w:val="22"/>
                <w:szCs w:val="22"/>
              </w:rPr>
              <w:t>ČR a dalších poskytovatelů za účelem přípravy návrhu přesunu chybějících prostředků dle předchozího bodu, zohledněním dočasně volných nároků z nespotřebovaných výdajů (NNV), a to v</w:t>
            </w:r>
            <w:r w:rsidR="00355243">
              <w:rPr>
                <w:rFonts w:ascii="Arial" w:hAnsi="Arial" w:cs="Arial"/>
                <w:sz w:val="22"/>
                <w:szCs w:val="22"/>
              </w:rPr>
              <w:t> </w:t>
            </w:r>
            <w:r w:rsidRPr="00021D1C">
              <w:rPr>
                <w:rFonts w:ascii="Arial" w:hAnsi="Arial" w:cs="Arial"/>
                <w:sz w:val="22"/>
                <w:szCs w:val="22"/>
              </w:rPr>
              <w:t>rozpočtu roku 2021 a návrh předložit na příští jednání Rady,</w:t>
            </w:r>
          </w:p>
          <w:p w:rsidR="00736A6B" w:rsidRDefault="00CD64B1" w:rsidP="00B33A6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proběhlo dne 12. 10. 2021 pracovní jednání předsednictva Rady se zástupci MPO, </w:t>
            </w:r>
            <w:r w:rsidR="003C152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TA ČR,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Ministerstva školství, mládeže a tělovýchovy („MŠMT“), Ministerstva vnitra („MV“), Ministerstva zdravotnictví („</w:t>
            </w:r>
            <w:proofErr w:type="spellStart"/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MZd</w:t>
            </w:r>
            <w:proofErr w:type="spellEnd"/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“) a Grantové agentury ČR („GA ČR“). Dne 18. 10. 2021 proběh</w:t>
            </w:r>
            <w:r w:rsidR="00E97BE2">
              <w:rPr>
                <w:rFonts w:ascii="Arial" w:eastAsia="Calibri" w:hAnsi="Arial" w:cs="Arial"/>
                <w:color w:val="000000"/>
                <w:sz w:val="22"/>
                <w:szCs w:val="22"/>
              </w:rPr>
              <w:t>lo dále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jednání s</w:t>
            </w:r>
            <w:r w:rsidR="00E97BE2">
              <w:rPr>
                <w:rFonts w:ascii="Arial" w:eastAsia="Calibri" w:hAnsi="Arial" w:cs="Arial"/>
                <w:color w:val="000000"/>
                <w:sz w:val="22"/>
                <w:szCs w:val="22"/>
              </w:rPr>
              <w:t>e zástupci Ministerstva obrany.</w:t>
            </w:r>
            <w:r w:rsidR="005F34B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Na jednání byli pozváni poskytovatelé, kteří mají, nebo budou mít </w:t>
            </w:r>
            <w:r w:rsidR="0082738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dočasně </w:t>
            </w:r>
            <w:r w:rsidR="005F34B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volné NNV </w:t>
            </w:r>
            <w:r w:rsidR="0082738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 ve výši  přiměřené  realizaci příslušného rozpočtového opatřeni. </w:t>
            </w:r>
          </w:p>
          <w:p w:rsidR="00E97BE2" w:rsidRDefault="00E97BE2" w:rsidP="00B33A6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 ČR informovala, že na přelomu listopadu a prosince 2021 plánuje vyhlásit veřejnou soutěž v programu TREND, na kterou v současné době nemá k dispozici dostatečné prostředky. Chybějící částka pro rok 2022 je 450 mil. Kč.  Dle vyjádření zástupců TA ČR je možné 100 mil. z této částky hradit z NNV TA ČR a dalších 100 mil. Kč může poskytnout MPO. K financování veřejné soutěže tedy chybí 250 mil. Kč.</w:t>
            </w:r>
          </w:p>
          <w:p w:rsidR="00E97BE2" w:rsidRDefault="00E97BE2" w:rsidP="00B33A6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Zástupci předsednictva Rady požádali zástupce ostatních poskytovatelů o vstřícnost při jednání o možných rozpočtových opatřeních, která by pomohla řešit výše uveden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>ý výpadek ve financování TREND.</w:t>
            </w:r>
          </w:p>
          <w:p w:rsidR="00B33A66" w:rsidRPr="00F96038" w:rsidRDefault="00B33A66" w:rsidP="00B33A6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Zástupci MPO uvedli, že pokud aktivity, které mají být hrazeny z NPO nezapočnou v průběhu příštích měsíců, nebude tyto aktivity možné refinancovat z prostředků EU.</w:t>
            </w:r>
          </w:p>
          <w:p w:rsidR="00E97BE2" w:rsidRDefault="00E97BE2" w:rsidP="003C1523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Zástupci 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 xml:space="preserve">všech přítomných rezortů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uvedli, že by případně mohli 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 xml:space="preserve">dočasně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převést 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 xml:space="preserve">určité zdroje ze svých rozpočtů, nicméně pouze za předpokladu, že získají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garanci navrácení 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finančních prostředků do 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>jejich rozpočtů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 </w:t>
            </w:r>
            <w:r w:rsidR="00B33A66">
              <w:rPr>
                <w:rFonts w:ascii="Arial" w:hAnsi="Arial" w:cs="Arial"/>
                <w:color w:val="000000"/>
                <w:sz w:val="22"/>
                <w:szCs w:val="22"/>
              </w:rPr>
              <w:t>příštím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roce.</w:t>
            </w:r>
          </w:p>
          <w:p w:rsidR="00C14C3D" w:rsidRPr="00030FA2" w:rsidRDefault="00B33A66" w:rsidP="00D159F7">
            <w:pPr>
              <w:spacing w:before="120" w:after="12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Zástupci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>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 xml:space="preserve">ČR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informovali, že nejsou schopni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 xml:space="preserve"> garantovat 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rácení prostředků.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 xml:space="preserve">MPO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tak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>projedn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á s Ministerstvem financí (nám.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Tyllem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 za úča</w:t>
            </w:r>
            <w:r w:rsidR="003C1523">
              <w:rPr>
                <w:rFonts w:ascii="Arial" w:hAnsi="Arial" w:cs="Arial"/>
                <w:color w:val="000000"/>
                <w:sz w:val="22"/>
                <w:szCs w:val="22"/>
              </w:rPr>
              <w:t xml:space="preserve">sti zástupců předsednictva Rady techniku provedení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vrácení prostředků</w:t>
            </w:r>
            <w:r w:rsidR="003C1523">
              <w:rPr>
                <w:rFonts w:ascii="Arial" w:hAnsi="Arial" w:cs="Arial"/>
                <w:color w:val="000000"/>
                <w:sz w:val="22"/>
                <w:szCs w:val="22"/>
              </w:rPr>
              <w:t xml:space="preserve"> poskytovatelům.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 xml:space="preserve">Rada může pouze garantovat příslib zohlednění při přípravě rozpočtu </w:t>
            </w:r>
            <w:r w:rsidR="003C1523">
              <w:rPr>
                <w:rFonts w:ascii="Arial" w:hAnsi="Arial" w:cs="Arial"/>
                <w:color w:val="000000"/>
                <w:sz w:val="22"/>
                <w:szCs w:val="22"/>
              </w:rPr>
              <w:t xml:space="preserve">na </w:t>
            </w:r>
            <w:proofErr w:type="spellStart"/>
            <w:r w:rsidR="003C1523">
              <w:rPr>
                <w:rFonts w:ascii="Arial" w:hAnsi="Arial" w:cs="Arial"/>
                <w:color w:val="000000"/>
                <w:sz w:val="22"/>
                <w:szCs w:val="22"/>
              </w:rPr>
              <w:t>VaVaI</w:t>
            </w:r>
            <w:proofErr w:type="spellEnd"/>
            <w:r w:rsidR="003C1523">
              <w:rPr>
                <w:rFonts w:ascii="Arial" w:hAnsi="Arial" w:cs="Arial"/>
                <w:color w:val="000000"/>
                <w:sz w:val="22"/>
                <w:szCs w:val="22"/>
              </w:rPr>
              <w:t xml:space="preserve"> na období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  <w:r w:rsidR="003C1523">
              <w:rPr>
                <w:rFonts w:ascii="Arial" w:hAnsi="Arial" w:cs="Arial"/>
                <w:color w:val="000000"/>
                <w:sz w:val="22"/>
                <w:szCs w:val="22"/>
              </w:rPr>
              <w:t>+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 xml:space="preserve">Další jednání </w:t>
            </w:r>
            <w:r w:rsidR="003C1523">
              <w:rPr>
                <w:rFonts w:ascii="Arial" w:hAnsi="Arial" w:cs="Arial"/>
                <w:color w:val="000000"/>
                <w:sz w:val="22"/>
                <w:szCs w:val="22"/>
              </w:rPr>
              <w:t xml:space="preserve">zástupců předsednictva Rady a dotyčných poskytovatelů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t xml:space="preserve">proběhne po vyjasnění </w:t>
            </w:r>
            <w:r w:rsidR="00D159F7">
              <w:rPr>
                <w:rFonts w:ascii="Arial" w:hAnsi="Arial" w:cs="Arial"/>
                <w:color w:val="000000"/>
                <w:sz w:val="22"/>
                <w:szCs w:val="22"/>
              </w:rPr>
              <w:t xml:space="preserve">uvedených </w:t>
            </w:r>
            <w:r w:rsidRPr="00F9603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technických otázek</w:t>
            </w:r>
            <w:r w:rsidR="00D159F7">
              <w:rPr>
                <w:rFonts w:ascii="Arial" w:hAnsi="Arial" w:cs="Arial"/>
                <w:color w:val="000000"/>
                <w:sz w:val="22"/>
                <w:szCs w:val="22"/>
              </w:rPr>
              <w:t xml:space="preserve"> mezi MPO a MF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</w:tbl>
    <w:p w:rsidR="00F86D54" w:rsidRPr="00FB709A" w:rsidRDefault="000275C6" w:rsidP="008F77F6">
      <w:pPr>
        <w:rPr>
          <w:sz w:val="6"/>
          <w:szCs w:val="6"/>
        </w:rPr>
      </w:pPr>
      <w:bookmarkStart w:id="0" w:name="_GoBack"/>
      <w:bookmarkEnd w:id="0"/>
    </w:p>
    <w:sectPr w:rsidR="00F86D54" w:rsidRPr="00FB70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8E" w:rsidRDefault="003D778E" w:rsidP="008F77F6">
      <w:r>
        <w:separator/>
      </w:r>
    </w:p>
  </w:endnote>
  <w:endnote w:type="continuationSeparator" w:id="0">
    <w:p w:rsidR="003D778E" w:rsidRDefault="003D778E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8E" w:rsidRDefault="003D778E" w:rsidP="008F77F6">
      <w:r>
        <w:separator/>
      </w:r>
    </w:p>
  </w:footnote>
  <w:footnote w:type="continuationSeparator" w:id="0">
    <w:p w:rsidR="003D778E" w:rsidRDefault="003D778E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5E2"/>
    <w:multiLevelType w:val="hybridMultilevel"/>
    <w:tmpl w:val="D700D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E0139"/>
    <w:multiLevelType w:val="multilevel"/>
    <w:tmpl w:val="3858C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804A8"/>
    <w:multiLevelType w:val="hybridMultilevel"/>
    <w:tmpl w:val="71FE8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2805"/>
    <w:multiLevelType w:val="hybridMultilevel"/>
    <w:tmpl w:val="F0046C0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1D4D4209"/>
    <w:multiLevelType w:val="hybridMultilevel"/>
    <w:tmpl w:val="164E0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E22016"/>
    <w:multiLevelType w:val="hybridMultilevel"/>
    <w:tmpl w:val="297E1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17E4F"/>
    <w:multiLevelType w:val="hybridMultilevel"/>
    <w:tmpl w:val="E6A62AA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817B79"/>
    <w:multiLevelType w:val="hybridMultilevel"/>
    <w:tmpl w:val="2DE8A440"/>
    <w:lvl w:ilvl="0" w:tplc="A72CB57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311C47F2"/>
    <w:multiLevelType w:val="hybridMultilevel"/>
    <w:tmpl w:val="F046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E418B"/>
    <w:multiLevelType w:val="hybridMultilevel"/>
    <w:tmpl w:val="9F786404"/>
    <w:lvl w:ilvl="0" w:tplc="792C13FC">
      <w:start w:val="1"/>
      <w:numFmt w:val="upperRoman"/>
      <w:pStyle w:val="Usneseni-I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56DA450E">
      <w:start w:val="1"/>
      <w:numFmt w:val="decimal"/>
      <w:pStyle w:val="Usneseni-1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2" w:tplc="98240BD8">
      <w:start w:val="4"/>
      <w:numFmt w:val="lowerLetter"/>
      <w:pStyle w:val="Usneseni-a"/>
      <w:lvlText w:val="%3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107DC"/>
    <w:multiLevelType w:val="hybridMultilevel"/>
    <w:tmpl w:val="6E04F432"/>
    <w:lvl w:ilvl="0" w:tplc="BBD2019A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A9945FC"/>
    <w:multiLevelType w:val="hybridMultilevel"/>
    <w:tmpl w:val="35C2E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9439F"/>
    <w:multiLevelType w:val="hybridMultilevel"/>
    <w:tmpl w:val="ED5A1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43059"/>
    <w:multiLevelType w:val="hybridMultilevel"/>
    <w:tmpl w:val="81EA97A2"/>
    <w:lvl w:ilvl="0" w:tplc="6D2C9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8A90C55"/>
    <w:multiLevelType w:val="hybridMultilevel"/>
    <w:tmpl w:val="92400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E7C4E"/>
    <w:multiLevelType w:val="hybridMultilevel"/>
    <w:tmpl w:val="9642F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50DB6"/>
    <w:multiLevelType w:val="hybridMultilevel"/>
    <w:tmpl w:val="70388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45E12"/>
    <w:multiLevelType w:val="hybridMultilevel"/>
    <w:tmpl w:val="020AB632"/>
    <w:lvl w:ilvl="0" w:tplc="AD2CDB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34348F2"/>
    <w:multiLevelType w:val="hybridMultilevel"/>
    <w:tmpl w:val="6D18D2C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6666161F"/>
    <w:multiLevelType w:val="hybridMultilevel"/>
    <w:tmpl w:val="CDF61148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>
    <w:nsid w:val="6B46323E"/>
    <w:multiLevelType w:val="hybridMultilevel"/>
    <w:tmpl w:val="D5280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25BF9"/>
    <w:multiLevelType w:val="hybridMultilevel"/>
    <w:tmpl w:val="610EA96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>
    <w:nsid w:val="72823B95"/>
    <w:multiLevelType w:val="hybridMultilevel"/>
    <w:tmpl w:val="FEA0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456D4"/>
    <w:multiLevelType w:val="hybridMultilevel"/>
    <w:tmpl w:val="B388F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B1B5C"/>
    <w:multiLevelType w:val="hybridMultilevel"/>
    <w:tmpl w:val="F548626C"/>
    <w:lvl w:ilvl="0" w:tplc="D48A2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D7CEC"/>
    <w:multiLevelType w:val="hybridMultilevel"/>
    <w:tmpl w:val="55E22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54892"/>
    <w:multiLevelType w:val="hybridMultilevel"/>
    <w:tmpl w:val="5BB0D3DE"/>
    <w:lvl w:ilvl="0" w:tplc="724C6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4"/>
  </w:num>
  <w:num w:numId="5">
    <w:abstractNumId w:val="19"/>
  </w:num>
  <w:num w:numId="6">
    <w:abstractNumId w:val="7"/>
  </w:num>
  <w:num w:numId="7">
    <w:abstractNumId w:val="21"/>
  </w:num>
  <w:num w:numId="8">
    <w:abstractNumId w:val="15"/>
  </w:num>
  <w:num w:numId="9">
    <w:abstractNumId w:val="22"/>
  </w:num>
  <w:num w:numId="10">
    <w:abstractNumId w:val="11"/>
  </w:num>
  <w:num w:numId="11">
    <w:abstractNumId w:val="27"/>
  </w:num>
  <w:num w:numId="12">
    <w:abstractNumId w:val="29"/>
  </w:num>
  <w:num w:numId="13">
    <w:abstractNumId w:val="26"/>
  </w:num>
  <w:num w:numId="14">
    <w:abstractNumId w:val="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0"/>
  </w:num>
  <w:num w:numId="19">
    <w:abstractNumId w:val="33"/>
  </w:num>
  <w:num w:numId="20">
    <w:abstractNumId w:val="24"/>
  </w:num>
  <w:num w:numId="21">
    <w:abstractNumId w:val="9"/>
  </w:num>
  <w:num w:numId="22">
    <w:abstractNumId w:val="23"/>
  </w:num>
  <w:num w:numId="23">
    <w:abstractNumId w:val="25"/>
  </w:num>
  <w:num w:numId="24">
    <w:abstractNumId w:val="18"/>
  </w:num>
  <w:num w:numId="25">
    <w:abstractNumId w:val="28"/>
  </w:num>
  <w:num w:numId="26">
    <w:abstractNumId w:val="12"/>
  </w:num>
  <w:num w:numId="27">
    <w:abstractNumId w:val="1"/>
  </w:num>
  <w:num w:numId="28">
    <w:abstractNumId w:val="2"/>
  </w:num>
  <w:num w:numId="29">
    <w:abstractNumId w:val="4"/>
  </w:num>
  <w:num w:numId="30">
    <w:abstractNumId w:val="13"/>
  </w:num>
  <w:num w:numId="31">
    <w:abstractNumId w:val="31"/>
  </w:num>
  <w:num w:numId="32">
    <w:abstractNumId w:val="30"/>
  </w:num>
  <w:num w:numId="33">
    <w:abstractNumId w:val="32"/>
  </w:num>
  <w:num w:numId="34">
    <w:abstractNumId w:val="3"/>
  </w:num>
  <w:num w:numId="35">
    <w:abstractNumId w:val="16"/>
  </w:num>
  <w:num w:numId="36">
    <w:abstractNumId w:val="34"/>
  </w:num>
  <w:num w:numId="37">
    <w:abstractNumId w:val="1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1349"/>
    <w:rsid w:val="0000263D"/>
    <w:rsid w:val="00005A91"/>
    <w:rsid w:val="00007EA6"/>
    <w:rsid w:val="0002146C"/>
    <w:rsid w:val="00022B78"/>
    <w:rsid w:val="00024376"/>
    <w:rsid w:val="00024674"/>
    <w:rsid w:val="000275C6"/>
    <w:rsid w:val="00030FA2"/>
    <w:rsid w:val="00036120"/>
    <w:rsid w:val="00043668"/>
    <w:rsid w:val="00045FD9"/>
    <w:rsid w:val="00051906"/>
    <w:rsid w:val="00053FBC"/>
    <w:rsid w:val="00055653"/>
    <w:rsid w:val="000607ED"/>
    <w:rsid w:val="0006656B"/>
    <w:rsid w:val="00072BB0"/>
    <w:rsid w:val="000849D5"/>
    <w:rsid w:val="00095B2C"/>
    <w:rsid w:val="000968AA"/>
    <w:rsid w:val="000A16CB"/>
    <w:rsid w:val="000A46F4"/>
    <w:rsid w:val="000B5FAA"/>
    <w:rsid w:val="000B7D0E"/>
    <w:rsid w:val="000C4A33"/>
    <w:rsid w:val="000D4A37"/>
    <w:rsid w:val="000D6C28"/>
    <w:rsid w:val="000F6149"/>
    <w:rsid w:val="001037FB"/>
    <w:rsid w:val="00113915"/>
    <w:rsid w:val="00113F12"/>
    <w:rsid w:val="001146E1"/>
    <w:rsid w:val="00115DD5"/>
    <w:rsid w:val="0012078C"/>
    <w:rsid w:val="00121AF3"/>
    <w:rsid w:val="00127410"/>
    <w:rsid w:val="00141492"/>
    <w:rsid w:val="001522BB"/>
    <w:rsid w:val="00154AA2"/>
    <w:rsid w:val="001609A7"/>
    <w:rsid w:val="0017287D"/>
    <w:rsid w:val="0017784E"/>
    <w:rsid w:val="001803A0"/>
    <w:rsid w:val="001829AF"/>
    <w:rsid w:val="00186B38"/>
    <w:rsid w:val="001A1063"/>
    <w:rsid w:val="001A588B"/>
    <w:rsid w:val="001C7882"/>
    <w:rsid w:val="001D15F9"/>
    <w:rsid w:val="001D6DAE"/>
    <w:rsid w:val="001D7437"/>
    <w:rsid w:val="001E6E69"/>
    <w:rsid w:val="001E7EAC"/>
    <w:rsid w:val="001F34CA"/>
    <w:rsid w:val="00201EA8"/>
    <w:rsid w:val="00206877"/>
    <w:rsid w:val="0021423F"/>
    <w:rsid w:val="0021692E"/>
    <w:rsid w:val="00223EB3"/>
    <w:rsid w:val="00232405"/>
    <w:rsid w:val="00236850"/>
    <w:rsid w:val="00237006"/>
    <w:rsid w:val="00246F78"/>
    <w:rsid w:val="00251913"/>
    <w:rsid w:val="00254A52"/>
    <w:rsid w:val="00260C0F"/>
    <w:rsid w:val="00263B25"/>
    <w:rsid w:val="00265D7D"/>
    <w:rsid w:val="002722AF"/>
    <w:rsid w:val="002728BB"/>
    <w:rsid w:val="0027442F"/>
    <w:rsid w:val="00275958"/>
    <w:rsid w:val="00283341"/>
    <w:rsid w:val="002951E1"/>
    <w:rsid w:val="002A0B0E"/>
    <w:rsid w:val="002A18DA"/>
    <w:rsid w:val="002A238D"/>
    <w:rsid w:val="002A77A5"/>
    <w:rsid w:val="002B4C9D"/>
    <w:rsid w:val="002D743C"/>
    <w:rsid w:val="002E4B82"/>
    <w:rsid w:val="002F01DD"/>
    <w:rsid w:val="002F0A5C"/>
    <w:rsid w:val="002F2693"/>
    <w:rsid w:val="002F611A"/>
    <w:rsid w:val="00300D1C"/>
    <w:rsid w:val="0031020D"/>
    <w:rsid w:val="00310B16"/>
    <w:rsid w:val="00313BD4"/>
    <w:rsid w:val="0031750C"/>
    <w:rsid w:val="0033077D"/>
    <w:rsid w:val="003330D9"/>
    <w:rsid w:val="00336C8B"/>
    <w:rsid w:val="00340B79"/>
    <w:rsid w:val="00342085"/>
    <w:rsid w:val="003427B4"/>
    <w:rsid w:val="00353803"/>
    <w:rsid w:val="00353AAC"/>
    <w:rsid w:val="00355243"/>
    <w:rsid w:val="00360293"/>
    <w:rsid w:val="00361212"/>
    <w:rsid w:val="0036483D"/>
    <w:rsid w:val="00376D0F"/>
    <w:rsid w:val="00377A01"/>
    <w:rsid w:val="00380040"/>
    <w:rsid w:val="00386CBE"/>
    <w:rsid w:val="00387B05"/>
    <w:rsid w:val="003948B8"/>
    <w:rsid w:val="003B1822"/>
    <w:rsid w:val="003B26EE"/>
    <w:rsid w:val="003B3F69"/>
    <w:rsid w:val="003B7E32"/>
    <w:rsid w:val="003C0F31"/>
    <w:rsid w:val="003C1523"/>
    <w:rsid w:val="003C1580"/>
    <w:rsid w:val="003C6480"/>
    <w:rsid w:val="003D19B3"/>
    <w:rsid w:val="003D40C2"/>
    <w:rsid w:val="003D60DF"/>
    <w:rsid w:val="003D778E"/>
    <w:rsid w:val="003E51D9"/>
    <w:rsid w:val="003E7039"/>
    <w:rsid w:val="003E7754"/>
    <w:rsid w:val="003F5C53"/>
    <w:rsid w:val="003F7F10"/>
    <w:rsid w:val="00404D23"/>
    <w:rsid w:val="004061F6"/>
    <w:rsid w:val="004064D0"/>
    <w:rsid w:val="00406B71"/>
    <w:rsid w:val="00410727"/>
    <w:rsid w:val="004177BB"/>
    <w:rsid w:val="00417BC0"/>
    <w:rsid w:val="00432005"/>
    <w:rsid w:val="00457D6D"/>
    <w:rsid w:val="00461A40"/>
    <w:rsid w:val="00461FED"/>
    <w:rsid w:val="00466F54"/>
    <w:rsid w:val="00472BCC"/>
    <w:rsid w:val="004778EE"/>
    <w:rsid w:val="00477C47"/>
    <w:rsid w:val="00494A1F"/>
    <w:rsid w:val="00495E87"/>
    <w:rsid w:val="004A757F"/>
    <w:rsid w:val="004B1900"/>
    <w:rsid w:val="004B2F16"/>
    <w:rsid w:val="004C3552"/>
    <w:rsid w:val="004C7F4F"/>
    <w:rsid w:val="004E013D"/>
    <w:rsid w:val="004E6CB2"/>
    <w:rsid w:val="005011E5"/>
    <w:rsid w:val="00503F3A"/>
    <w:rsid w:val="005075A4"/>
    <w:rsid w:val="00512FD6"/>
    <w:rsid w:val="00515757"/>
    <w:rsid w:val="00516F19"/>
    <w:rsid w:val="00533D24"/>
    <w:rsid w:val="00544384"/>
    <w:rsid w:val="00547320"/>
    <w:rsid w:val="00550EDE"/>
    <w:rsid w:val="00553E0C"/>
    <w:rsid w:val="0055683A"/>
    <w:rsid w:val="00560239"/>
    <w:rsid w:val="005655FC"/>
    <w:rsid w:val="00566A92"/>
    <w:rsid w:val="00571A58"/>
    <w:rsid w:val="0057301A"/>
    <w:rsid w:val="00573C42"/>
    <w:rsid w:val="005742E8"/>
    <w:rsid w:val="00576DB9"/>
    <w:rsid w:val="00582717"/>
    <w:rsid w:val="00582B31"/>
    <w:rsid w:val="00585368"/>
    <w:rsid w:val="005934EE"/>
    <w:rsid w:val="00597D2A"/>
    <w:rsid w:val="005D3DB2"/>
    <w:rsid w:val="005E4326"/>
    <w:rsid w:val="005E68D4"/>
    <w:rsid w:val="005E69C3"/>
    <w:rsid w:val="005F34BF"/>
    <w:rsid w:val="005F3CA4"/>
    <w:rsid w:val="005F4CC0"/>
    <w:rsid w:val="005F5FEE"/>
    <w:rsid w:val="006006CA"/>
    <w:rsid w:val="00605DD3"/>
    <w:rsid w:val="00623ECD"/>
    <w:rsid w:val="00624054"/>
    <w:rsid w:val="00624B53"/>
    <w:rsid w:val="00627E35"/>
    <w:rsid w:val="00630101"/>
    <w:rsid w:val="00634307"/>
    <w:rsid w:val="00646D8B"/>
    <w:rsid w:val="00660AAF"/>
    <w:rsid w:val="0066164C"/>
    <w:rsid w:val="00662B79"/>
    <w:rsid w:val="006656CF"/>
    <w:rsid w:val="006661CB"/>
    <w:rsid w:val="00667CA5"/>
    <w:rsid w:val="00681D93"/>
    <w:rsid w:val="006837E5"/>
    <w:rsid w:val="006847AB"/>
    <w:rsid w:val="00686B5D"/>
    <w:rsid w:val="0069459B"/>
    <w:rsid w:val="006A2327"/>
    <w:rsid w:val="006A2848"/>
    <w:rsid w:val="006A3417"/>
    <w:rsid w:val="006B056D"/>
    <w:rsid w:val="006B61E3"/>
    <w:rsid w:val="006C4FEA"/>
    <w:rsid w:val="006D098A"/>
    <w:rsid w:val="006F26DD"/>
    <w:rsid w:val="006F4B0B"/>
    <w:rsid w:val="007039F9"/>
    <w:rsid w:val="00711929"/>
    <w:rsid w:val="00713180"/>
    <w:rsid w:val="0071524F"/>
    <w:rsid w:val="007274D1"/>
    <w:rsid w:val="00731B10"/>
    <w:rsid w:val="00731BC8"/>
    <w:rsid w:val="00736A6B"/>
    <w:rsid w:val="00745A67"/>
    <w:rsid w:val="00746D9F"/>
    <w:rsid w:val="00754FD6"/>
    <w:rsid w:val="007621DC"/>
    <w:rsid w:val="00762A4B"/>
    <w:rsid w:val="00763159"/>
    <w:rsid w:val="007633F1"/>
    <w:rsid w:val="00763A51"/>
    <w:rsid w:val="00763D84"/>
    <w:rsid w:val="007701AF"/>
    <w:rsid w:val="00774961"/>
    <w:rsid w:val="00793BB8"/>
    <w:rsid w:val="00796D9C"/>
    <w:rsid w:val="007A51A1"/>
    <w:rsid w:val="007A6307"/>
    <w:rsid w:val="007B4EA4"/>
    <w:rsid w:val="007B56E5"/>
    <w:rsid w:val="007B7DF3"/>
    <w:rsid w:val="007C1B83"/>
    <w:rsid w:val="007C208A"/>
    <w:rsid w:val="007C5B71"/>
    <w:rsid w:val="007D20FF"/>
    <w:rsid w:val="007D7868"/>
    <w:rsid w:val="007F1F37"/>
    <w:rsid w:val="008031FA"/>
    <w:rsid w:val="00810AA0"/>
    <w:rsid w:val="00816061"/>
    <w:rsid w:val="00816D69"/>
    <w:rsid w:val="0081779E"/>
    <w:rsid w:val="00821E36"/>
    <w:rsid w:val="00824C5F"/>
    <w:rsid w:val="00826800"/>
    <w:rsid w:val="00826CB9"/>
    <w:rsid w:val="0082738B"/>
    <w:rsid w:val="00830CE4"/>
    <w:rsid w:val="00837D04"/>
    <w:rsid w:val="008642EB"/>
    <w:rsid w:val="00871D16"/>
    <w:rsid w:val="008770A0"/>
    <w:rsid w:val="00883CF4"/>
    <w:rsid w:val="008A3625"/>
    <w:rsid w:val="008A6A8F"/>
    <w:rsid w:val="008B7337"/>
    <w:rsid w:val="008C4325"/>
    <w:rsid w:val="008C64C4"/>
    <w:rsid w:val="008C676F"/>
    <w:rsid w:val="008C7A62"/>
    <w:rsid w:val="008C7F2E"/>
    <w:rsid w:val="008D390D"/>
    <w:rsid w:val="008F03D5"/>
    <w:rsid w:val="008F2AFF"/>
    <w:rsid w:val="008F3497"/>
    <w:rsid w:val="008F35D6"/>
    <w:rsid w:val="008F5980"/>
    <w:rsid w:val="008F77F6"/>
    <w:rsid w:val="00900D95"/>
    <w:rsid w:val="00910C7B"/>
    <w:rsid w:val="009227E4"/>
    <w:rsid w:val="00925EA0"/>
    <w:rsid w:val="0093478D"/>
    <w:rsid w:val="00934817"/>
    <w:rsid w:val="00942A5D"/>
    <w:rsid w:val="00947A49"/>
    <w:rsid w:val="009623C1"/>
    <w:rsid w:val="00967B71"/>
    <w:rsid w:val="009704D2"/>
    <w:rsid w:val="009870E8"/>
    <w:rsid w:val="00996128"/>
    <w:rsid w:val="00996672"/>
    <w:rsid w:val="00997AA0"/>
    <w:rsid w:val="009A0091"/>
    <w:rsid w:val="009A20E2"/>
    <w:rsid w:val="009B25FF"/>
    <w:rsid w:val="009B2D7F"/>
    <w:rsid w:val="009B3AB0"/>
    <w:rsid w:val="009B4596"/>
    <w:rsid w:val="009B6060"/>
    <w:rsid w:val="009C1281"/>
    <w:rsid w:val="009C1C1F"/>
    <w:rsid w:val="009C1F93"/>
    <w:rsid w:val="009D1ACA"/>
    <w:rsid w:val="009D64DE"/>
    <w:rsid w:val="009E4631"/>
    <w:rsid w:val="00A15DE9"/>
    <w:rsid w:val="00A21F6C"/>
    <w:rsid w:val="00A259DA"/>
    <w:rsid w:val="00A2639F"/>
    <w:rsid w:val="00A268AC"/>
    <w:rsid w:val="00A346DA"/>
    <w:rsid w:val="00A4086D"/>
    <w:rsid w:val="00A41366"/>
    <w:rsid w:val="00A46FD4"/>
    <w:rsid w:val="00A510E8"/>
    <w:rsid w:val="00A512E5"/>
    <w:rsid w:val="00A51417"/>
    <w:rsid w:val="00A51D40"/>
    <w:rsid w:val="00A524E7"/>
    <w:rsid w:val="00A549F1"/>
    <w:rsid w:val="00A60A40"/>
    <w:rsid w:val="00A83D19"/>
    <w:rsid w:val="00A928A7"/>
    <w:rsid w:val="00A96B82"/>
    <w:rsid w:val="00AA1B8F"/>
    <w:rsid w:val="00AA277C"/>
    <w:rsid w:val="00AA51BE"/>
    <w:rsid w:val="00AA7217"/>
    <w:rsid w:val="00AB6973"/>
    <w:rsid w:val="00AD58A8"/>
    <w:rsid w:val="00AD65CB"/>
    <w:rsid w:val="00AE060E"/>
    <w:rsid w:val="00AE7D40"/>
    <w:rsid w:val="00AE7F44"/>
    <w:rsid w:val="00AF4FCB"/>
    <w:rsid w:val="00B04C03"/>
    <w:rsid w:val="00B1333B"/>
    <w:rsid w:val="00B1666D"/>
    <w:rsid w:val="00B2119B"/>
    <w:rsid w:val="00B21855"/>
    <w:rsid w:val="00B25016"/>
    <w:rsid w:val="00B326DE"/>
    <w:rsid w:val="00B32EB6"/>
    <w:rsid w:val="00B33A66"/>
    <w:rsid w:val="00B437E0"/>
    <w:rsid w:val="00B476E7"/>
    <w:rsid w:val="00B52606"/>
    <w:rsid w:val="00B5671B"/>
    <w:rsid w:val="00B72578"/>
    <w:rsid w:val="00B72932"/>
    <w:rsid w:val="00B75D5B"/>
    <w:rsid w:val="00B80B94"/>
    <w:rsid w:val="00B87930"/>
    <w:rsid w:val="00B920FC"/>
    <w:rsid w:val="00B92CFA"/>
    <w:rsid w:val="00B95C6E"/>
    <w:rsid w:val="00B97FD3"/>
    <w:rsid w:val="00BA148D"/>
    <w:rsid w:val="00BA54FD"/>
    <w:rsid w:val="00BB0768"/>
    <w:rsid w:val="00BB420B"/>
    <w:rsid w:val="00BB551D"/>
    <w:rsid w:val="00BE4D1F"/>
    <w:rsid w:val="00BF1633"/>
    <w:rsid w:val="00C035F6"/>
    <w:rsid w:val="00C036ED"/>
    <w:rsid w:val="00C14C3D"/>
    <w:rsid w:val="00C16B45"/>
    <w:rsid w:val="00C20639"/>
    <w:rsid w:val="00C21DC2"/>
    <w:rsid w:val="00C231EF"/>
    <w:rsid w:val="00C377FA"/>
    <w:rsid w:val="00C4228E"/>
    <w:rsid w:val="00C51585"/>
    <w:rsid w:val="00C51BF6"/>
    <w:rsid w:val="00C53CD7"/>
    <w:rsid w:val="00C573DA"/>
    <w:rsid w:val="00C577F5"/>
    <w:rsid w:val="00C656C4"/>
    <w:rsid w:val="00C66EAC"/>
    <w:rsid w:val="00C70BB9"/>
    <w:rsid w:val="00C76EEC"/>
    <w:rsid w:val="00C81447"/>
    <w:rsid w:val="00CA3D08"/>
    <w:rsid w:val="00CB692D"/>
    <w:rsid w:val="00CC13FC"/>
    <w:rsid w:val="00CC3195"/>
    <w:rsid w:val="00CD54DB"/>
    <w:rsid w:val="00CD59A9"/>
    <w:rsid w:val="00CD64B1"/>
    <w:rsid w:val="00CE20A7"/>
    <w:rsid w:val="00CE2280"/>
    <w:rsid w:val="00CE22B7"/>
    <w:rsid w:val="00CE6262"/>
    <w:rsid w:val="00CE7143"/>
    <w:rsid w:val="00CF17FA"/>
    <w:rsid w:val="00CF1D9F"/>
    <w:rsid w:val="00D10E9A"/>
    <w:rsid w:val="00D10F33"/>
    <w:rsid w:val="00D11E57"/>
    <w:rsid w:val="00D13C18"/>
    <w:rsid w:val="00D159F7"/>
    <w:rsid w:val="00D25457"/>
    <w:rsid w:val="00D27C56"/>
    <w:rsid w:val="00D35DDA"/>
    <w:rsid w:val="00D50564"/>
    <w:rsid w:val="00D85836"/>
    <w:rsid w:val="00D96DE7"/>
    <w:rsid w:val="00DA042B"/>
    <w:rsid w:val="00DB1A95"/>
    <w:rsid w:val="00DB2A06"/>
    <w:rsid w:val="00DB3C64"/>
    <w:rsid w:val="00DC5FE9"/>
    <w:rsid w:val="00DC6CCE"/>
    <w:rsid w:val="00DD2861"/>
    <w:rsid w:val="00DD4323"/>
    <w:rsid w:val="00DD4FF7"/>
    <w:rsid w:val="00DD6DD6"/>
    <w:rsid w:val="00DE0553"/>
    <w:rsid w:val="00DE3AA3"/>
    <w:rsid w:val="00DE47AF"/>
    <w:rsid w:val="00DE6BDF"/>
    <w:rsid w:val="00E0075D"/>
    <w:rsid w:val="00E02339"/>
    <w:rsid w:val="00E06C5E"/>
    <w:rsid w:val="00E1659B"/>
    <w:rsid w:val="00E20B63"/>
    <w:rsid w:val="00E245B6"/>
    <w:rsid w:val="00E262AD"/>
    <w:rsid w:val="00E3443B"/>
    <w:rsid w:val="00E345E6"/>
    <w:rsid w:val="00E37300"/>
    <w:rsid w:val="00E41678"/>
    <w:rsid w:val="00E42060"/>
    <w:rsid w:val="00E52A03"/>
    <w:rsid w:val="00E52D50"/>
    <w:rsid w:val="00E55460"/>
    <w:rsid w:val="00E643DC"/>
    <w:rsid w:val="00E64CA1"/>
    <w:rsid w:val="00E84184"/>
    <w:rsid w:val="00E914AC"/>
    <w:rsid w:val="00E97BE2"/>
    <w:rsid w:val="00EA63D9"/>
    <w:rsid w:val="00EC047C"/>
    <w:rsid w:val="00EC5543"/>
    <w:rsid w:val="00EC70A1"/>
    <w:rsid w:val="00ED1CDD"/>
    <w:rsid w:val="00ED682F"/>
    <w:rsid w:val="00ED7158"/>
    <w:rsid w:val="00EE24FC"/>
    <w:rsid w:val="00EE3E85"/>
    <w:rsid w:val="00EF3114"/>
    <w:rsid w:val="00F06F9B"/>
    <w:rsid w:val="00F156EE"/>
    <w:rsid w:val="00F200FE"/>
    <w:rsid w:val="00F24D60"/>
    <w:rsid w:val="00F25066"/>
    <w:rsid w:val="00F3227C"/>
    <w:rsid w:val="00F351CD"/>
    <w:rsid w:val="00F36FE0"/>
    <w:rsid w:val="00F43A4C"/>
    <w:rsid w:val="00F52322"/>
    <w:rsid w:val="00F5508B"/>
    <w:rsid w:val="00F607E2"/>
    <w:rsid w:val="00F76232"/>
    <w:rsid w:val="00F768DE"/>
    <w:rsid w:val="00F81A4E"/>
    <w:rsid w:val="00F81B53"/>
    <w:rsid w:val="00F81EBC"/>
    <w:rsid w:val="00F848B5"/>
    <w:rsid w:val="00F92BF0"/>
    <w:rsid w:val="00F946B2"/>
    <w:rsid w:val="00FA489B"/>
    <w:rsid w:val="00FB0BA2"/>
    <w:rsid w:val="00FB30C2"/>
    <w:rsid w:val="00FB709A"/>
    <w:rsid w:val="00FC6BCF"/>
    <w:rsid w:val="00FD0BAB"/>
    <w:rsid w:val="00FD2572"/>
    <w:rsid w:val="00FD797F"/>
    <w:rsid w:val="00FD7ADB"/>
    <w:rsid w:val="00FE13A8"/>
    <w:rsid w:val="00FE5D1A"/>
    <w:rsid w:val="00FF01ED"/>
    <w:rsid w:val="00FF0B2D"/>
    <w:rsid w:val="00FF3B8D"/>
    <w:rsid w:val="00FF6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31750C"/>
    <w:rPr>
      <w:color w:val="0000FF" w:themeColor="hyperlink"/>
      <w:u w:val="single"/>
    </w:rPr>
  </w:style>
  <w:style w:type="character" w:customStyle="1" w:styleId="domino-section-title">
    <w:name w:val="domino-section-title"/>
    <w:basedOn w:val="Standardnpsmoodstavce"/>
    <w:rsid w:val="00DE6BDF"/>
  </w:style>
  <w:style w:type="character" w:customStyle="1" w:styleId="jmeno">
    <w:name w:val="jmeno"/>
    <w:basedOn w:val="Standardnpsmoodstavce"/>
    <w:rsid w:val="009A20E2"/>
  </w:style>
  <w:style w:type="paragraph" w:customStyle="1" w:styleId="Nadpisdokumentu">
    <w:name w:val="Nadpis dokumentu"/>
    <w:basedOn w:val="Normln"/>
    <w:next w:val="Normln"/>
    <w:link w:val="NadpisdokumentuChar"/>
    <w:qFormat/>
    <w:rsid w:val="00432005"/>
    <w:pPr>
      <w:autoSpaceDE w:val="0"/>
      <w:autoSpaceDN w:val="0"/>
      <w:adjustRightInd w:val="0"/>
      <w:spacing w:before="120" w:line="276" w:lineRule="auto"/>
      <w:jc w:val="right"/>
      <w:textAlignment w:val="center"/>
    </w:pPr>
    <w:rPr>
      <w:rFonts w:asciiTheme="majorHAnsi" w:eastAsiaTheme="minorHAnsi" w:hAnsiTheme="majorHAnsi" w:cs="Cambria"/>
      <w:b/>
      <w:noProof/>
      <w:color w:val="000000"/>
      <w:sz w:val="36"/>
      <w:szCs w:val="22"/>
    </w:rPr>
  </w:style>
  <w:style w:type="character" w:customStyle="1" w:styleId="NadpisdokumentuChar">
    <w:name w:val="Nadpis dokumentu Char"/>
    <w:basedOn w:val="Standardnpsmoodstavce"/>
    <w:link w:val="Nadpisdokumentu"/>
    <w:rsid w:val="00432005"/>
    <w:rPr>
      <w:rFonts w:asciiTheme="majorHAnsi" w:hAnsiTheme="majorHAnsi" w:cs="Cambria"/>
      <w:b/>
      <w:noProof/>
      <w:color w:val="000000"/>
      <w:sz w:val="36"/>
      <w:lang w:eastAsia="cs-CZ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E554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i-I">
    <w:name w:val="Usneseni - I"/>
    <w:basedOn w:val="Normln"/>
    <w:rsid w:val="00201EA8"/>
    <w:pPr>
      <w:numPr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1">
    <w:name w:val="Usneseni - 1."/>
    <w:basedOn w:val="Normln"/>
    <w:rsid w:val="00201EA8"/>
    <w:pPr>
      <w:numPr>
        <w:ilvl w:val="1"/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a">
    <w:name w:val="Usneseni - a)"/>
    <w:basedOn w:val="Normln"/>
    <w:rsid w:val="00201EA8"/>
    <w:pPr>
      <w:numPr>
        <w:ilvl w:val="2"/>
        <w:numId w:val="30"/>
      </w:numPr>
      <w:spacing w:before="120" w:after="240"/>
      <w:jc w:val="both"/>
    </w:pPr>
    <w:rPr>
      <w:rFonts w:ascii="Arial" w:hAnsi="Arial"/>
      <w:sz w:val="22"/>
      <w:szCs w:val="22"/>
    </w:rPr>
  </w:style>
  <w:style w:type="paragraph" w:customStyle="1" w:styleId="xmsolistparagraph">
    <w:name w:val="x_msolistparagraph"/>
    <w:basedOn w:val="Normln"/>
    <w:rsid w:val="00353AAC"/>
  </w:style>
  <w:style w:type="paragraph" w:customStyle="1" w:styleId="xmsonormal">
    <w:name w:val="x_msonormal"/>
    <w:basedOn w:val="Normln"/>
    <w:rsid w:val="0035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31750C"/>
    <w:rPr>
      <w:color w:val="0000FF" w:themeColor="hyperlink"/>
      <w:u w:val="single"/>
    </w:rPr>
  </w:style>
  <w:style w:type="character" w:customStyle="1" w:styleId="domino-section-title">
    <w:name w:val="domino-section-title"/>
    <w:basedOn w:val="Standardnpsmoodstavce"/>
    <w:rsid w:val="00DE6BDF"/>
  </w:style>
  <w:style w:type="character" w:customStyle="1" w:styleId="jmeno">
    <w:name w:val="jmeno"/>
    <w:basedOn w:val="Standardnpsmoodstavce"/>
    <w:rsid w:val="009A20E2"/>
  </w:style>
  <w:style w:type="paragraph" w:customStyle="1" w:styleId="Nadpisdokumentu">
    <w:name w:val="Nadpis dokumentu"/>
    <w:basedOn w:val="Normln"/>
    <w:next w:val="Normln"/>
    <w:link w:val="NadpisdokumentuChar"/>
    <w:qFormat/>
    <w:rsid w:val="00432005"/>
    <w:pPr>
      <w:autoSpaceDE w:val="0"/>
      <w:autoSpaceDN w:val="0"/>
      <w:adjustRightInd w:val="0"/>
      <w:spacing w:before="120" w:line="276" w:lineRule="auto"/>
      <w:jc w:val="right"/>
      <w:textAlignment w:val="center"/>
    </w:pPr>
    <w:rPr>
      <w:rFonts w:asciiTheme="majorHAnsi" w:eastAsiaTheme="minorHAnsi" w:hAnsiTheme="majorHAnsi" w:cs="Cambria"/>
      <w:b/>
      <w:noProof/>
      <w:color w:val="000000"/>
      <w:sz w:val="36"/>
      <w:szCs w:val="22"/>
    </w:rPr>
  </w:style>
  <w:style w:type="character" w:customStyle="1" w:styleId="NadpisdokumentuChar">
    <w:name w:val="Nadpis dokumentu Char"/>
    <w:basedOn w:val="Standardnpsmoodstavce"/>
    <w:link w:val="Nadpisdokumentu"/>
    <w:rsid w:val="00432005"/>
    <w:rPr>
      <w:rFonts w:asciiTheme="majorHAnsi" w:hAnsiTheme="majorHAnsi" w:cs="Cambria"/>
      <w:b/>
      <w:noProof/>
      <w:color w:val="000000"/>
      <w:sz w:val="36"/>
      <w:lang w:eastAsia="cs-CZ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E554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i-I">
    <w:name w:val="Usneseni - I"/>
    <w:basedOn w:val="Normln"/>
    <w:rsid w:val="00201EA8"/>
    <w:pPr>
      <w:numPr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1">
    <w:name w:val="Usneseni - 1."/>
    <w:basedOn w:val="Normln"/>
    <w:rsid w:val="00201EA8"/>
    <w:pPr>
      <w:numPr>
        <w:ilvl w:val="1"/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a">
    <w:name w:val="Usneseni - a)"/>
    <w:basedOn w:val="Normln"/>
    <w:rsid w:val="00201EA8"/>
    <w:pPr>
      <w:numPr>
        <w:ilvl w:val="2"/>
        <w:numId w:val="30"/>
      </w:numPr>
      <w:spacing w:before="120" w:after="240"/>
      <w:jc w:val="both"/>
    </w:pPr>
    <w:rPr>
      <w:rFonts w:ascii="Arial" w:hAnsi="Arial"/>
      <w:sz w:val="22"/>
      <w:szCs w:val="22"/>
    </w:rPr>
  </w:style>
  <w:style w:type="paragraph" w:customStyle="1" w:styleId="xmsolistparagraph">
    <w:name w:val="x_msolistparagraph"/>
    <w:basedOn w:val="Normln"/>
    <w:rsid w:val="00353AAC"/>
  </w:style>
  <w:style w:type="paragraph" w:customStyle="1" w:styleId="xmsonormal">
    <w:name w:val="x_msonormal"/>
    <w:basedOn w:val="Normln"/>
    <w:rsid w:val="0035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6350-8EC8-40EC-AFB9-C23DCF7D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13</cp:revision>
  <cp:lastPrinted>2021-09-17T10:00:00Z</cp:lastPrinted>
  <dcterms:created xsi:type="dcterms:W3CDTF">2021-10-14T07:46:00Z</dcterms:created>
  <dcterms:modified xsi:type="dcterms:W3CDTF">2021-11-09T11:17:00Z</dcterms:modified>
</cp:coreProperties>
</file>