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E26B2" w:rsidRPr="000E26B2" w:rsidRDefault="000E26B2" w:rsidP="000E26B2">
            <w:pPr>
              <w:tabs>
                <w:tab w:val="left" w:pos="-26"/>
                <w:tab w:val="left" w:pos="900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Metodika 2017+</w:t>
            </w:r>
          </w:p>
          <w:p w:rsidR="000E26B2" w:rsidRPr="000E26B2" w:rsidRDefault="000E26B2" w:rsidP="000E26B2">
            <w:pPr>
              <w:numPr>
                <w:ilvl w:val="1"/>
                <w:numId w:val="19"/>
              </w:numPr>
              <w:tabs>
                <w:tab w:val="left" w:pos="-26"/>
                <w:tab w:val="num" w:pos="177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změnu Statutu Komise pro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 výzkumných organizací a ukončených programů a návrh na změnu Statutu Odborných panelů</w:t>
            </w:r>
          </w:p>
          <w:p w:rsidR="000E26B2" w:rsidRPr="000E26B2" w:rsidRDefault="000E26B2" w:rsidP="000E26B2">
            <w:pPr>
              <w:numPr>
                <w:ilvl w:val="1"/>
                <w:numId w:val="19"/>
              </w:numPr>
              <w:tabs>
                <w:tab w:val="left" w:pos="-26"/>
                <w:tab w:val="num" w:pos="177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obsazení pozice hlavního koordinátora hodnocení</w:t>
            </w:r>
          </w:p>
          <w:p w:rsidR="000E26B2" w:rsidRPr="000E26B2" w:rsidRDefault="000E26B2" w:rsidP="000E26B2">
            <w:pPr>
              <w:numPr>
                <w:ilvl w:val="1"/>
                <w:numId w:val="19"/>
              </w:numPr>
              <w:tabs>
                <w:tab w:val="left" w:pos="-26"/>
                <w:tab w:val="num" w:pos="1779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Aktualizace personálního složení Odborných panelů</w:t>
            </w:r>
          </w:p>
          <w:p w:rsidR="000E26B2" w:rsidRPr="000E26B2" w:rsidRDefault="000E26B2" w:rsidP="000E26B2">
            <w:pPr>
              <w:numPr>
                <w:ilvl w:val="1"/>
                <w:numId w:val="19"/>
              </w:num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 smluvního výzkumu</w:t>
            </w:r>
          </w:p>
          <w:p w:rsidR="008F77F6" w:rsidRDefault="000E26B2" w:rsidP="000E26B2">
            <w:pPr>
              <w:pStyle w:val="Odstavecseseznamem"/>
              <w:numPr>
                <w:ilvl w:val="1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Interaktivní web (informační a datová podpora M17+)</w:t>
            </w:r>
          </w:p>
          <w:p w:rsidR="00FF434E" w:rsidRPr="00E972DC" w:rsidRDefault="00FF434E" w:rsidP="000E26B2">
            <w:pPr>
              <w:pStyle w:val="Odstavecseseznamem"/>
              <w:numPr>
                <w:ilvl w:val="1"/>
                <w:numId w:val="19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0148E">
              <w:rPr>
                <w:rFonts w:ascii="Arial" w:hAnsi="Arial" w:cs="Arial"/>
                <w:b/>
                <w:color w:val="0070C0"/>
                <w:sz w:val="28"/>
                <w:szCs w:val="28"/>
              </w:rPr>
              <w:t>Konference Metodika 2017+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0E26B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72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22010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0E26B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E972DC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41901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741901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prof. Ulrichová, prof.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65012" w:rsidP="00FE22A2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Miholová, Odbor RVVI, </w:t>
            </w:r>
            <w:r w:rsidR="000E26B2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="00E972DC"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22010">
              <w:rPr>
                <w:rFonts w:ascii="Arial" w:hAnsi="Arial" w:cs="Arial"/>
                <w:i/>
                <w:sz w:val="22"/>
                <w:szCs w:val="22"/>
              </w:rPr>
              <w:t>ří</w:t>
            </w:r>
            <w:r w:rsidR="000E26B2">
              <w:rPr>
                <w:rFonts w:ascii="Arial" w:hAnsi="Arial" w:cs="Arial"/>
                <w:i/>
                <w:sz w:val="22"/>
                <w:szCs w:val="22"/>
              </w:rPr>
              <w:t>jna</w:t>
            </w:r>
            <w:r w:rsidR="00E972DC">
              <w:rPr>
                <w:rFonts w:ascii="Arial" w:hAnsi="Arial" w:cs="Arial"/>
                <w:i/>
                <w:sz w:val="22"/>
                <w:szCs w:val="22"/>
              </w:rPr>
              <w:t xml:space="preserve"> 2021</w:t>
            </w:r>
          </w:p>
        </w:tc>
      </w:tr>
      <w:tr w:rsidR="008F77F6" w:rsidRPr="00DE2BC0" w:rsidTr="00E972DC">
        <w:trPr>
          <w:trHeight w:val="153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82213" w:rsidRDefault="008F77F6" w:rsidP="00E972D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="00193330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</w:t>
            </w:r>
          </w:p>
          <w:p w:rsidR="0020148E" w:rsidRDefault="00F52B58" w:rsidP="0020148E">
            <w:p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F52B5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a) 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V návaznosti</w:t>
            </w:r>
            <w:proofErr w:type="gramEnd"/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 schválení  „M17+ Uživatelské příručky pro výzkumné organizace, členy Odborných panelů, externí hodnotitele a poskytovatele institucionální podpory </w:t>
            </w:r>
            <w:proofErr w:type="spellStart"/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verze 19“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na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367. zasedání Rady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dne 30. dubna 2021,</w:t>
            </w:r>
            <w:r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se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předkládá </w:t>
            </w:r>
            <w:r w:rsidR="00291C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návrh na změnu Statutu Komise pro hodnocení výzkumných organizací a ukončených programů</w:t>
            </w:r>
            <w:r w:rsidRPr="00F52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Odborných panelů.</w:t>
            </w:r>
            <w:r w:rsidR="00AE1D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ABC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Rada ve svém usnesení </w:t>
            </w:r>
            <w:proofErr w:type="gramStart"/>
            <w:r w:rsidR="006D2ABC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ze</w:t>
            </w:r>
            <w:proofErr w:type="gramEnd"/>
            <w:r w:rsidR="006D2ABC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371. zasedání ze dne 1. října 2021 uložila KHV, aby projednala návrh Statutu Komise pro hodnocení výzkumných organizací a ukončených programů a návrh Statutu Odborných panelů tak, aby mohly být předloženy Radě ke schválení na 372. zasedání na konci října 2021. KHV oba dokumenty řádně projednala na 136. jednání Komise. </w:t>
            </w:r>
            <w:r w:rsidR="00D0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Doporučené</w:t>
            </w:r>
            <w:r w:rsidR="00D04AE9" w:rsidRPr="007C17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AE1DC7" w:rsidRPr="007C17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změny jsou vy</w:t>
            </w:r>
            <w:r w:rsid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značeny přímo v textu dokumentů.</w:t>
            </w:r>
          </w:p>
          <w:p w:rsidR="000E26B2" w:rsidRPr="0020148E" w:rsidRDefault="00F52B58" w:rsidP="0020148E">
            <w:p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b)   </w:t>
            </w:r>
            <w:r w:rsidR="00465012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Rada</w:t>
            </w:r>
            <w:proofErr w:type="gramEnd"/>
            <w:r w:rsidR="00465012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ve svém usnesení z 371. zasedání ze dne 1. října 2021 uložila prof. </w:t>
            </w:r>
            <w:proofErr w:type="spellStart"/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Jurajdovi</w:t>
            </w:r>
            <w:proofErr w:type="spellEnd"/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předsedovi KHV, aby na 372. zasedání Rady předložil návrh na obsazení pozice hlavního koordinátora hodnocení a to v souladu s návrhem nového Statutu Odborných panelů. Navržený</w:t>
            </w:r>
            <w:r w:rsidR="00B6630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kandidát</w:t>
            </w:r>
            <w:r w:rsidR="00B6630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</w:t>
            </w:r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6630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je </w:t>
            </w:r>
            <w:r w:rsidR="00B40603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prof. RNDr. Tomáš Polívka, Ph.D.</w:t>
            </w:r>
            <w:r w:rsidR="00B6630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Přírodovědecké fakulty Jihočeské univerzity v Českých Budějovicích</w:t>
            </w:r>
          </w:p>
          <w:p w:rsidR="00E972DC" w:rsidRPr="0020148E" w:rsidRDefault="00F52B58" w:rsidP="0020148E">
            <w:pPr>
              <w:keepNext/>
              <w:tabs>
                <w:tab w:val="left" w:pos="-26"/>
                <w:tab w:val="left" w:pos="900"/>
              </w:tabs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c</w:t>
            </w:r>
            <w:r w:rsidR="00E972DC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)  </w:t>
            </w:r>
            <w:r w:rsidR="00D2201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Rada</w:t>
            </w:r>
            <w:proofErr w:type="gramEnd"/>
            <w:r w:rsidR="00D22010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pro výzkum, vývoj a inovace dle § 35 odst. 2 písm. d) zákona zabezpečuje hodnocení výsledků výzkumných organizací a výsledků ukončených programů podle Metodiky 2017+ schválené vládou. Odborné panely (dále jen „OP“) byly ustaveny poradním orgánem Rady za účelem </w:t>
            </w:r>
            <w:r w:rsidR="00D22010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hodnocení </w:t>
            </w:r>
            <w:r w:rsidR="00465012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 Metodiky 2017+</w:t>
            </w:r>
            <w:r w:rsidR="00D22010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Na svém 368. zasedání konaném dne 28. května 2021 Rada schválila „Výzvu 2021 k podávání návrhů kandidátů na</w:t>
            </w:r>
            <w:r w:rsidR="003341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členy Odborných panelů“.  Následně Rada na svém 371. zasedání dne 1. října 2021 v tajné volbě schválila doplnění </w:t>
            </w:r>
            <w:r w:rsidR="005965F1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 doporučila svému předsedovi jmenovat nové členy </w:t>
            </w:r>
            <w:r w:rsidR="005965F1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Členům Rady se předkládá návrh</w:t>
            </w:r>
            <w:r w:rsidR="00D0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aktualizovaného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0148E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personálního </w:t>
            </w:r>
            <w:r w:rsidR="00F641BC" w:rsidRPr="00FA1DC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složení </w:t>
            </w:r>
            <w:r w:rsidR="00D0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OP, který respektuje požadavek na zahájení pravidelné obměny jejich členů</w:t>
            </w:r>
            <w:r w:rsidR="003341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0148E">
              <w:t xml:space="preserve"> </w:t>
            </w:r>
          </w:p>
          <w:p w:rsidR="000E26B2" w:rsidRDefault="000E26B2" w:rsidP="0020148E">
            <w:pPr>
              <w:keepNext/>
              <w:tabs>
                <w:tab w:val="left" w:pos="-26"/>
                <w:tab w:val="left" w:pos="900"/>
              </w:tabs>
              <w:spacing w:after="24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d)   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Z</w:t>
            </w:r>
            <w:r w:rsidR="0089194E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e</w:t>
            </w:r>
            <w:proofErr w:type="gramEnd"/>
            <w:r w:rsidR="0089194E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závěrečné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diskuze na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orkshop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u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Hodnocení aplikovaného výzkumu podle Metodiky 2017+ 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(25. srpna 2021, České vysoké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uče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ní technické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v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 </w:t>
            </w:r>
            <w:r w:rsidR="00E62125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Praze</w:t>
            </w:r>
            <w:r w:rsidR="004B50E8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) vyplynul</w:t>
            </w:r>
            <w:r w:rsidR="00D04AE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požadavek </w:t>
            </w:r>
            <w:r w:rsidR="0089194E" w:rsidRPr="0020148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odborné veřejnosti, aby se Rada formálně vyjádřila k otázkám</w:t>
            </w:r>
            <w:r w:rsidR="008919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hodnocení </w:t>
            </w:r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smluvního </w:t>
            </w:r>
            <w:r w:rsidR="0089194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>výzkumu.</w:t>
            </w:r>
            <w:r w:rsidR="004B50E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 Hodnocení smluvního výzkumu vznikl ve spolupráci Odboru a KHV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která  problematiku</w:t>
            </w:r>
            <w:proofErr w:type="gramEnd"/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projednala na svém 136. jednání dne 6. září 2021</w:t>
            </w:r>
            <w:r w:rsidR="001C0EDD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</w:t>
            </w:r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 schválen 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následně KHV </w:t>
            </w:r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per </w:t>
            </w:r>
            <w:proofErr w:type="spellStart"/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rollam</w:t>
            </w:r>
            <w:proofErr w:type="spellEnd"/>
            <w:r w:rsidR="00D04AE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dne 24. září 2021.</w:t>
            </w:r>
          </w:p>
          <w:p w:rsidR="000E26B2" w:rsidRPr="000E26B2" w:rsidRDefault="000E26B2" w:rsidP="000E26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E972DC">
              <w:rPr>
                <w:rFonts w:ascii="Arial" w:hAnsi="Arial" w:cs="Arial"/>
                <w:bCs/>
                <w:sz w:val="22"/>
                <w:szCs w:val="22"/>
              </w:rPr>
              <w:t xml:space="preserve">)  </w:t>
            </w:r>
            <w:r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</w:t>
            </w:r>
            <w:proofErr w:type="gramEnd"/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základě požadavku 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odborné veřejnosti a členů </w:t>
            </w:r>
            <w:r w:rsidR="005965F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B4060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bylo 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vyvinuto </w:t>
            </w:r>
            <w:r w:rsidR="00B4060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interaktivní webové rozhraní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uzpůsobené přímo specifickým potřebám</w:t>
            </w:r>
            <w:r w:rsidR="002B141B"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M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etodiky 20</w:t>
            </w:r>
            <w:r w:rsidR="002B141B"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17</w:t>
            </w:r>
            <w:r w:rsidR="002B141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+</w:t>
            </w:r>
            <w:r w:rsidR="00B4060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683C0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Uživatelsky přívětivý w</w:t>
            </w: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eb </w:t>
            </w:r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rozšiřuje informační a datovou podporu M17+ ve vztahu k</w:t>
            </w:r>
            <w:r w:rsidR="00683C02"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veřejnosti a k práci </w:t>
            </w:r>
            <w:proofErr w:type="spellStart"/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panelistů</w:t>
            </w:r>
            <w:proofErr w:type="spellEnd"/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Stávající web R</w:t>
            </w:r>
            <w:r w:rsidR="00B40603"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ady </w:t>
            </w:r>
            <w:r w:rsidR="007C436E"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nem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ohl</w:t>
            </w:r>
            <w:r w:rsidR="007C436E"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tuto úlohu splnit, není to jeho účelem.</w:t>
            </w:r>
            <w:r w:rsidR="002B141B"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201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Vývoj probíhá v těchto krocích:</w:t>
            </w:r>
          </w:p>
          <w:p w:rsidR="000E26B2" w:rsidRPr="007B248E" w:rsidRDefault="000E26B2" w:rsidP="007B248E">
            <w:pPr>
              <w:pStyle w:val="Odstavecseseznamem"/>
              <w:keepNext/>
              <w:numPr>
                <w:ilvl w:val="0"/>
                <w:numId w:val="3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Vytvoření </w:t>
            </w:r>
            <w:r w:rsidR="00B40603"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podpůrného prostředí pro práci </w:t>
            </w:r>
            <w:r w:rsidR="005965F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OP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</w:t>
            </w:r>
            <w:r w:rsidR="002B141B"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Modulu</w:t>
            </w:r>
            <w:r w:rsidR="002B141B"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2, tzv.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neveřejná část (zprovozněno jaro 2021).</w:t>
            </w:r>
          </w:p>
          <w:p w:rsidR="000E26B2" w:rsidRPr="007B248E" w:rsidRDefault="000E26B2" w:rsidP="007B248E">
            <w:pPr>
              <w:pStyle w:val="Odstavecseseznamem"/>
              <w:keepNext/>
              <w:numPr>
                <w:ilvl w:val="0"/>
                <w:numId w:val="3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Vytvoření veřejné části webu pro Modul 2 (finalizováno v srpnu 2021, zatím veřejnosti nezpřístupněno).</w:t>
            </w:r>
          </w:p>
          <w:p w:rsidR="000E26B2" w:rsidRPr="007B248E" w:rsidRDefault="000E26B2" w:rsidP="007B248E">
            <w:pPr>
              <w:pStyle w:val="Odstavecseseznamem"/>
              <w:keepNext/>
              <w:numPr>
                <w:ilvl w:val="0"/>
                <w:numId w:val="3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Implementace nové sekce webu, která je dedikována prezentaci výstupů z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Modulu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(zahájeno v říjnu 2021, očekávané dokončení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 </w:t>
            </w:r>
            <w:r w:rsidR="007C436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jaře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2022)</w:t>
            </w: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E26B2" w:rsidRPr="007B248E" w:rsidRDefault="000E26B2" w:rsidP="007B248E">
            <w:pPr>
              <w:pStyle w:val="Odstavecseseznamem"/>
              <w:keepNext/>
              <w:numPr>
                <w:ilvl w:val="0"/>
                <w:numId w:val="31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Optimalizace webového rozhraní pro mobilní zařízení (začátek roku 2022). </w:t>
            </w:r>
          </w:p>
          <w:p w:rsidR="000E26B2" w:rsidRPr="000E26B2" w:rsidRDefault="000E26B2" w:rsidP="000E26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Web má nyní dvě části: veřejnou a neveřejnou (pro členy OP). </w:t>
            </w:r>
            <w:r w:rsidR="007B248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Obě části jsou</w:t>
            </w: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členěny do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těchto podstránek:</w:t>
            </w:r>
          </w:p>
          <w:p w:rsidR="000E26B2" w:rsidRPr="000E26B2" w:rsidRDefault="007B248E" w:rsidP="000E26B2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Aplikace M2 (umožňuje uživatelsky přívětivé interaktivní filtrování</w:t>
            </w:r>
            <w:r w:rsidR="000E26B2"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 porovnání výstupů,</w:t>
            </w:r>
            <w:r w:rsidR="000E26B2"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stahování obrázků a dat v nich obsažených).</w:t>
            </w:r>
          </w:p>
          <w:p w:rsidR="000E26B2" w:rsidRPr="000E26B2" w:rsidRDefault="000E26B2" w:rsidP="000E26B2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Bibliometrické zprávy (přehledně členěné statistické výstupy dovolující zvolit stažení jednotlivých zpráv nebo jejich hromadné stahování)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E26B2" w:rsidRPr="000E26B2" w:rsidRDefault="000E26B2" w:rsidP="000E26B2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Podpůrná data a dokumenty (návazné statistiky, převodníky apod.)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E26B2" w:rsidRPr="000E26B2" w:rsidRDefault="000E26B2" w:rsidP="000E26B2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Postup výpočtů a konstrukce výstupů (popisy výpočtů)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E26B2" w:rsidRPr="000E26B2" w:rsidRDefault="000E26B2" w:rsidP="000E26B2">
            <w:pPr>
              <w:pStyle w:val="Odstavecseseznamem"/>
              <w:keepNext/>
              <w:numPr>
                <w:ilvl w:val="0"/>
                <w:numId w:val="28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0E26B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Často kladené otázky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0E26B2" w:rsidRPr="00AB734E" w:rsidRDefault="00D4021A" w:rsidP="007C436E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f</w:t>
            </w:r>
            <w:r w:rsidR="00823D04" w:rsidRPr="00E972DC">
              <w:rPr>
                <w:rFonts w:ascii="Arial" w:hAnsi="Arial" w:cs="Arial"/>
                <w:bCs/>
                <w:sz w:val="22"/>
                <w:szCs w:val="22"/>
              </w:rPr>
              <w:t xml:space="preserve">)  </w:t>
            </w:r>
            <w:r w:rsidR="00823D04" w:rsidRPr="00266C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823D04">
              <w:t xml:space="preserve"> 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965F1">
              <w:rPr>
                <w:rFonts w:ascii="Arial" w:hAnsi="Arial" w:cs="Arial"/>
                <w:color w:val="000000"/>
                <w:sz w:val="22"/>
                <w:szCs w:val="22"/>
              </w:rPr>
              <w:t>Navrhuje</w:t>
            </w:r>
            <w:proofErr w:type="gramEnd"/>
            <w:r w:rsidR="005965F1">
              <w:rPr>
                <w:rFonts w:ascii="Arial" w:hAnsi="Arial" w:cs="Arial"/>
                <w:color w:val="000000"/>
                <w:sz w:val="22"/>
                <w:szCs w:val="22"/>
              </w:rPr>
              <w:t xml:space="preserve"> se 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>uspořáda</w:t>
            </w:r>
            <w:r w:rsidR="005965F1">
              <w:rPr>
                <w:rFonts w:ascii="Arial" w:hAnsi="Arial" w:cs="Arial"/>
                <w:color w:val="000000"/>
                <w:sz w:val="22"/>
                <w:szCs w:val="22"/>
              </w:rPr>
              <w:t>t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 xml:space="preserve"> další z cyklu konferencí k Metodice 2017+, která se</w:t>
            </w:r>
            <w:r w:rsidR="005965F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 xml:space="preserve">bude zabývat </w:t>
            </w:r>
            <w:r w:rsidR="007C436E">
              <w:rPr>
                <w:rFonts w:ascii="Arial" w:hAnsi="Arial" w:cs="Arial"/>
                <w:color w:val="000000"/>
                <w:sz w:val="22"/>
                <w:szCs w:val="22"/>
              </w:rPr>
              <w:t>výstupy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na národní úrovni. Představí závěry a podněty vzešlé z Hodnocení 20 a bude podrobně informovat o krocích sp</w:t>
            </w:r>
            <w:r w:rsidR="003E4637">
              <w:rPr>
                <w:rFonts w:ascii="Arial" w:hAnsi="Arial" w:cs="Arial"/>
                <w:color w:val="000000"/>
                <w:sz w:val="22"/>
                <w:szCs w:val="22"/>
              </w:rPr>
              <w:t>ojených s realizací Hodnocení 21</w:t>
            </w:r>
            <w:r w:rsidR="00D9489C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="005965F1">
              <w:rPr>
                <w:rFonts w:ascii="Arial" w:hAnsi="Arial" w:cs="Arial"/>
                <w:color w:val="000000"/>
                <w:sz w:val="22"/>
                <w:szCs w:val="22"/>
              </w:rPr>
              <w:t>Navrhuje se uspořádat konferenci ve spolupráci s mimopražskou výzkumnou organizací</w:t>
            </w:r>
            <w:r w:rsidR="003E4637">
              <w:rPr>
                <w:rFonts w:ascii="Arial" w:hAnsi="Arial" w:cs="Arial"/>
                <w:color w:val="000000"/>
                <w:sz w:val="22"/>
                <w:szCs w:val="22"/>
              </w:rPr>
              <w:t>, termín bude upřesněn.</w:t>
            </w:r>
          </w:p>
        </w:tc>
      </w:tr>
    </w:tbl>
    <w:p w:rsidR="00182019" w:rsidRDefault="00182019" w:rsidP="008F77F6">
      <w:bookmarkStart w:id="0" w:name="_GoBack"/>
      <w:bookmarkEnd w:id="0"/>
    </w:p>
    <w:sectPr w:rsidR="0018201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019" w:rsidRDefault="00182019" w:rsidP="008F77F6">
      <w:r>
        <w:separator/>
      </w:r>
    </w:p>
  </w:endnote>
  <w:endnote w:type="continuationSeparator" w:id="0">
    <w:p w:rsidR="00182019" w:rsidRDefault="0018201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019" w:rsidRDefault="00182019" w:rsidP="008F77F6">
      <w:r>
        <w:separator/>
      </w:r>
    </w:p>
  </w:footnote>
  <w:footnote w:type="continuationSeparator" w:id="0">
    <w:p w:rsidR="00182019" w:rsidRDefault="0018201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B114CE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A128E3B0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72654AE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/>
        <w:b/>
        <w:i w:val="0"/>
        <w:sz w:val="28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B6E1DE8"/>
    <w:multiLevelType w:val="hybridMultilevel"/>
    <w:tmpl w:val="9EA25A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C57D34"/>
    <w:multiLevelType w:val="hybridMultilevel"/>
    <w:tmpl w:val="0A74466C"/>
    <w:lvl w:ilvl="0" w:tplc="6F604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E6C17"/>
    <w:multiLevelType w:val="hybridMultilevel"/>
    <w:tmpl w:val="F1FA8B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5149E"/>
    <w:multiLevelType w:val="hybridMultilevel"/>
    <w:tmpl w:val="6D8279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3E602081"/>
    <w:multiLevelType w:val="hybridMultilevel"/>
    <w:tmpl w:val="65D40E6C"/>
    <w:lvl w:ilvl="0" w:tplc="BCFE0BAC">
      <w:start w:val="1"/>
      <w:numFmt w:val="decimal"/>
      <w:lvlText w:val="A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7E8C4932">
      <w:start w:val="1"/>
      <w:numFmt w:val="decimal"/>
      <w:lvlText w:val="B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D5534"/>
    <w:multiLevelType w:val="hybridMultilevel"/>
    <w:tmpl w:val="1250DA0E"/>
    <w:lvl w:ilvl="0" w:tplc="EA5EC16E">
      <w:start w:val="1"/>
      <w:numFmt w:val="decimal"/>
      <w:lvlText w:val="%1)"/>
      <w:lvlJc w:val="left"/>
      <w:pPr>
        <w:ind w:left="435" w:hanging="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6603F"/>
    <w:multiLevelType w:val="hybridMultilevel"/>
    <w:tmpl w:val="40FE9F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3">
    <w:nsid w:val="57801080"/>
    <w:multiLevelType w:val="hybridMultilevel"/>
    <w:tmpl w:val="74C4DC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83C5A"/>
    <w:multiLevelType w:val="hybridMultilevel"/>
    <w:tmpl w:val="19FC53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943625"/>
    <w:multiLevelType w:val="hybridMultilevel"/>
    <w:tmpl w:val="B5E258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A748D0"/>
    <w:multiLevelType w:val="hybridMultilevel"/>
    <w:tmpl w:val="3BC443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6831C1"/>
    <w:multiLevelType w:val="hybridMultilevel"/>
    <w:tmpl w:val="5D3C47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4"/>
  </w:num>
  <w:num w:numId="4">
    <w:abstractNumId w:val="25"/>
  </w:num>
  <w:num w:numId="5">
    <w:abstractNumId w:val="27"/>
  </w:num>
  <w:num w:numId="6">
    <w:abstractNumId w:val="11"/>
  </w:num>
  <w:num w:numId="7">
    <w:abstractNumId w:val="22"/>
  </w:num>
  <w:num w:numId="8">
    <w:abstractNumId w:val="15"/>
  </w:num>
  <w:num w:numId="9">
    <w:abstractNumId w:val="4"/>
  </w:num>
  <w:num w:numId="10">
    <w:abstractNumId w:val="19"/>
  </w:num>
  <w:num w:numId="11">
    <w:abstractNumId w:val="20"/>
  </w:num>
  <w:num w:numId="12">
    <w:abstractNumId w:val="8"/>
  </w:num>
  <w:num w:numId="13">
    <w:abstractNumId w:val="32"/>
  </w:num>
  <w:num w:numId="14">
    <w:abstractNumId w:val="1"/>
  </w:num>
  <w:num w:numId="15">
    <w:abstractNumId w:val="10"/>
  </w:num>
  <w:num w:numId="16">
    <w:abstractNumId w:val="14"/>
  </w:num>
  <w:num w:numId="17">
    <w:abstractNumId w:val="18"/>
  </w:num>
  <w:num w:numId="18">
    <w:abstractNumId w:val="28"/>
  </w:num>
  <w:num w:numId="19">
    <w:abstractNumId w:val="2"/>
  </w:num>
  <w:num w:numId="20">
    <w:abstractNumId w:val="6"/>
  </w:num>
  <w:num w:numId="21">
    <w:abstractNumId w:val="31"/>
  </w:num>
  <w:num w:numId="22">
    <w:abstractNumId w:val="12"/>
  </w:num>
  <w:num w:numId="23">
    <w:abstractNumId w:val="21"/>
  </w:num>
  <w:num w:numId="24">
    <w:abstractNumId w:val="13"/>
  </w:num>
  <w:num w:numId="25">
    <w:abstractNumId w:val="7"/>
  </w:num>
  <w:num w:numId="26">
    <w:abstractNumId w:val="26"/>
  </w:num>
  <w:num w:numId="27">
    <w:abstractNumId w:val="17"/>
  </w:num>
  <w:num w:numId="28">
    <w:abstractNumId w:val="5"/>
  </w:num>
  <w:num w:numId="29">
    <w:abstractNumId w:val="23"/>
  </w:num>
  <w:num w:numId="30">
    <w:abstractNumId w:val="3"/>
  </w:num>
  <w:num w:numId="31">
    <w:abstractNumId w:val="30"/>
  </w:num>
  <w:num w:numId="32">
    <w:abstractNumId w:val="16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5F5F"/>
    <w:rsid w:val="0001738C"/>
    <w:rsid w:val="00044620"/>
    <w:rsid w:val="000573A7"/>
    <w:rsid w:val="00086584"/>
    <w:rsid w:val="00095B2C"/>
    <w:rsid w:val="000A463E"/>
    <w:rsid w:val="000A5521"/>
    <w:rsid w:val="000A6E5F"/>
    <w:rsid w:val="000A7002"/>
    <w:rsid w:val="000B374F"/>
    <w:rsid w:val="000C4A33"/>
    <w:rsid w:val="000D0C8C"/>
    <w:rsid w:val="000D6C28"/>
    <w:rsid w:val="000E26B2"/>
    <w:rsid w:val="000E553E"/>
    <w:rsid w:val="000F499B"/>
    <w:rsid w:val="00102FC4"/>
    <w:rsid w:val="001047D1"/>
    <w:rsid w:val="00115DD5"/>
    <w:rsid w:val="00123745"/>
    <w:rsid w:val="0014301C"/>
    <w:rsid w:val="00151B3F"/>
    <w:rsid w:val="001528E0"/>
    <w:rsid w:val="00166727"/>
    <w:rsid w:val="00171C4D"/>
    <w:rsid w:val="00182019"/>
    <w:rsid w:val="00193330"/>
    <w:rsid w:val="001A0E30"/>
    <w:rsid w:val="001C0EDD"/>
    <w:rsid w:val="001D5092"/>
    <w:rsid w:val="001F03C7"/>
    <w:rsid w:val="0020148E"/>
    <w:rsid w:val="00206A41"/>
    <w:rsid w:val="00237006"/>
    <w:rsid w:val="002405C0"/>
    <w:rsid w:val="00242103"/>
    <w:rsid w:val="00246E9F"/>
    <w:rsid w:val="00255C92"/>
    <w:rsid w:val="0026386E"/>
    <w:rsid w:val="002778BB"/>
    <w:rsid w:val="00280A09"/>
    <w:rsid w:val="0028547D"/>
    <w:rsid w:val="00291599"/>
    <w:rsid w:val="002917C8"/>
    <w:rsid w:val="00291CCC"/>
    <w:rsid w:val="002A18DA"/>
    <w:rsid w:val="002A6EF1"/>
    <w:rsid w:val="002A7323"/>
    <w:rsid w:val="002B141B"/>
    <w:rsid w:val="002C78F4"/>
    <w:rsid w:val="002C7FA8"/>
    <w:rsid w:val="002D514A"/>
    <w:rsid w:val="002F01DD"/>
    <w:rsid w:val="002F1937"/>
    <w:rsid w:val="00303A94"/>
    <w:rsid w:val="0031020D"/>
    <w:rsid w:val="003119BB"/>
    <w:rsid w:val="00315DB5"/>
    <w:rsid w:val="00316707"/>
    <w:rsid w:val="00322074"/>
    <w:rsid w:val="00325A0D"/>
    <w:rsid w:val="00332ADC"/>
    <w:rsid w:val="003341F3"/>
    <w:rsid w:val="00343AF5"/>
    <w:rsid w:val="00351831"/>
    <w:rsid w:val="00353C02"/>
    <w:rsid w:val="00360293"/>
    <w:rsid w:val="0037483B"/>
    <w:rsid w:val="00375749"/>
    <w:rsid w:val="00387B05"/>
    <w:rsid w:val="003916A7"/>
    <w:rsid w:val="00393625"/>
    <w:rsid w:val="003A178C"/>
    <w:rsid w:val="003C6FA0"/>
    <w:rsid w:val="003D2395"/>
    <w:rsid w:val="003D5F46"/>
    <w:rsid w:val="003E23AD"/>
    <w:rsid w:val="003E4637"/>
    <w:rsid w:val="003E5A9B"/>
    <w:rsid w:val="003E7264"/>
    <w:rsid w:val="003F0A5D"/>
    <w:rsid w:val="003F17E1"/>
    <w:rsid w:val="00412458"/>
    <w:rsid w:val="00445353"/>
    <w:rsid w:val="00457DB7"/>
    <w:rsid w:val="00460F48"/>
    <w:rsid w:val="00465012"/>
    <w:rsid w:val="00482213"/>
    <w:rsid w:val="004914C2"/>
    <w:rsid w:val="00492E38"/>
    <w:rsid w:val="00494A1F"/>
    <w:rsid w:val="004A1EB6"/>
    <w:rsid w:val="004B50E8"/>
    <w:rsid w:val="004C0401"/>
    <w:rsid w:val="004C16E8"/>
    <w:rsid w:val="004C5843"/>
    <w:rsid w:val="004D1F1A"/>
    <w:rsid w:val="005333AC"/>
    <w:rsid w:val="00543506"/>
    <w:rsid w:val="00553297"/>
    <w:rsid w:val="00573995"/>
    <w:rsid w:val="0058471A"/>
    <w:rsid w:val="00586BBE"/>
    <w:rsid w:val="00591F7A"/>
    <w:rsid w:val="005926F9"/>
    <w:rsid w:val="005965F1"/>
    <w:rsid w:val="005A36C1"/>
    <w:rsid w:val="005B67F5"/>
    <w:rsid w:val="005C67D1"/>
    <w:rsid w:val="005D257D"/>
    <w:rsid w:val="005D4C13"/>
    <w:rsid w:val="005E1E50"/>
    <w:rsid w:val="005F277C"/>
    <w:rsid w:val="005F7293"/>
    <w:rsid w:val="006024BC"/>
    <w:rsid w:val="00624BF4"/>
    <w:rsid w:val="00630E9D"/>
    <w:rsid w:val="00631222"/>
    <w:rsid w:val="00640513"/>
    <w:rsid w:val="006435BA"/>
    <w:rsid w:val="00646D8B"/>
    <w:rsid w:val="00655313"/>
    <w:rsid w:val="00660AAF"/>
    <w:rsid w:val="00670A2D"/>
    <w:rsid w:val="00671A6D"/>
    <w:rsid w:val="00681D93"/>
    <w:rsid w:val="00683C02"/>
    <w:rsid w:val="006949BA"/>
    <w:rsid w:val="006B16D3"/>
    <w:rsid w:val="006B2EDA"/>
    <w:rsid w:val="006C13C6"/>
    <w:rsid w:val="006D2ABC"/>
    <w:rsid w:val="006E328B"/>
    <w:rsid w:val="006F78C4"/>
    <w:rsid w:val="00702CC3"/>
    <w:rsid w:val="00704A0D"/>
    <w:rsid w:val="00713180"/>
    <w:rsid w:val="00715ED4"/>
    <w:rsid w:val="00734526"/>
    <w:rsid w:val="007358CA"/>
    <w:rsid w:val="00742394"/>
    <w:rsid w:val="00757A2B"/>
    <w:rsid w:val="00766139"/>
    <w:rsid w:val="00783AA1"/>
    <w:rsid w:val="00784126"/>
    <w:rsid w:val="0078472B"/>
    <w:rsid w:val="00792501"/>
    <w:rsid w:val="00795ADD"/>
    <w:rsid w:val="00796678"/>
    <w:rsid w:val="007A09F2"/>
    <w:rsid w:val="007A76BD"/>
    <w:rsid w:val="007B1248"/>
    <w:rsid w:val="007B248E"/>
    <w:rsid w:val="007C1756"/>
    <w:rsid w:val="007C436E"/>
    <w:rsid w:val="007C57FF"/>
    <w:rsid w:val="007D1B2D"/>
    <w:rsid w:val="007E1E31"/>
    <w:rsid w:val="007E26A2"/>
    <w:rsid w:val="007E2E6C"/>
    <w:rsid w:val="007F66DC"/>
    <w:rsid w:val="008051EB"/>
    <w:rsid w:val="00806025"/>
    <w:rsid w:val="00810AA0"/>
    <w:rsid w:val="00811A10"/>
    <w:rsid w:val="00813099"/>
    <w:rsid w:val="00813243"/>
    <w:rsid w:val="00823D04"/>
    <w:rsid w:val="00826B2F"/>
    <w:rsid w:val="00832C6E"/>
    <w:rsid w:val="00834E8A"/>
    <w:rsid w:val="008451B2"/>
    <w:rsid w:val="00855086"/>
    <w:rsid w:val="00856344"/>
    <w:rsid w:val="00863126"/>
    <w:rsid w:val="00867227"/>
    <w:rsid w:val="008762B1"/>
    <w:rsid w:val="0087645F"/>
    <w:rsid w:val="00890541"/>
    <w:rsid w:val="0089194E"/>
    <w:rsid w:val="008D0AAA"/>
    <w:rsid w:val="008D475C"/>
    <w:rsid w:val="008D4E2D"/>
    <w:rsid w:val="008D53D1"/>
    <w:rsid w:val="008F1999"/>
    <w:rsid w:val="008F35D6"/>
    <w:rsid w:val="008F77F6"/>
    <w:rsid w:val="00911F8C"/>
    <w:rsid w:val="0092325B"/>
    <w:rsid w:val="00925EA0"/>
    <w:rsid w:val="00926DD1"/>
    <w:rsid w:val="009271CD"/>
    <w:rsid w:val="00932DF2"/>
    <w:rsid w:val="00940EF6"/>
    <w:rsid w:val="009434A3"/>
    <w:rsid w:val="009434DB"/>
    <w:rsid w:val="00955994"/>
    <w:rsid w:val="00965855"/>
    <w:rsid w:val="009704D2"/>
    <w:rsid w:val="00982B84"/>
    <w:rsid w:val="009830E4"/>
    <w:rsid w:val="009870E8"/>
    <w:rsid w:val="009926F2"/>
    <w:rsid w:val="009A2EBC"/>
    <w:rsid w:val="009B4DB8"/>
    <w:rsid w:val="009B577B"/>
    <w:rsid w:val="009C0869"/>
    <w:rsid w:val="009C5364"/>
    <w:rsid w:val="009D6D4B"/>
    <w:rsid w:val="009E1C79"/>
    <w:rsid w:val="009F753F"/>
    <w:rsid w:val="00A11B06"/>
    <w:rsid w:val="00A220CF"/>
    <w:rsid w:val="00A3416C"/>
    <w:rsid w:val="00A51417"/>
    <w:rsid w:val="00A6475B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D7F7B"/>
    <w:rsid w:val="00AE1DC7"/>
    <w:rsid w:val="00AE7D40"/>
    <w:rsid w:val="00B16359"/>
    <w:rsid w:val="00B178A3"/>
    <w:rsid w:val="00B32F07"/>
    <w:rsid w:val="00B40603"/>
    <w:rsid w:val="00B40BB1"/>
    <w:rsid w:val="00B476E7"/>
    <w:rsid w:val="00B554E8"/>
    <w:rsid w:val="00B65A4C"/>
    <w:rsid w:val="00B65EA4"/>
    <w:rsid w:val="00B66300"/>
    <w:rsid w:val="00B70A52"/>
    <w:rsid w:val="00B70F04"/>
    <w:rsid w:val="00B74457"/>
    <w:rsid w:val="00B833E2"/>
    <w:rsid w:val="00BA148D"/>
    <w:rsid w:val="00BA79EA"/>
    <w:rsid w:val="00BB5A34"/>
    <w:rsid w:val="00BC66E7"/>
    <w:rsid w:val="00BF1C46"/>
    <w:rsid w:val="00C20639"/>
    <w:rsid w:val="00C23D90"/>
    <w:rsid w:val="00C341FB"/>
    <w:rsid w:val="00C51775"/>
    <w:rsid w:val="00C720F5"/>
    <w:rsid w:val="00C760D4"/>
    <w:rsid w:val="00C804AB"/>
    <w:rsid w:val="00C92F11"/>
    <w:rsid w:val="00CC463E"/>
    <w:rsid w:val="00CD2C7A"/>
    <w:rsid w:val="00CE7925"/>
    <w:rsid w:val="00D01FEB"/>
    <w:rsid w:val="00D04AE9"/>
    <w:rsid w:val="00D109B0"/>
    <w:rsid w:val="00D22010"/>
    <w:rsid w:val="00D27C56"/>
    <w:rsid w:val="00D31197"/>
    <w:rsid w:val="00D32B4C"/>
    <w:rsid w:val="00D4021A"/>
    <w:rsid w:val="00D4395B"/>
    <w:rsid w:val="00D8534E"/>
    <w:rsid w:val="00D87792"/>
    <w:rsid w:val="00D930C1"/>
    <w:rsid w:val="00D9489C"/>
    <w:rsid w:val="00DA1E2B"/>
    <w:rsid w:val="00DA3063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62125"/>
    <w:rsid w:val="00E64303"/>
    <w:rsid w:val="00E73533"/>
    <w:rsid w:val="00E877A2"/>
    <w:rsid w:val="00E972DC"/>
    <w:rsid w:val="00EA095A"/>
    <w:rsid w:val="00EB41B7"/>
    <w:rsid w:val="00EC17F8"/>
    <w:rsid w:val="00EC70A1"/>
    <w:rsid w:val="00ED03A3"/>
    <w:rsid w:val="00EE03FF"/>
    <w:rsid w:val="00F01F87"/>
    <w:rsid w:val="00F1299E"/>
    <w:rsid w:val="00F165C8"/>
    <w:rsid w:val="00F16A3D"/>
    <w:rsid w:val="00F24D60"/>
    <w:rsid w:val="00F460CB"/>
    <w:rsid w:val="00F5110F"/>
    <w:rsid w:val="00F52B58"/>
    <w:rsid w:val="00F620E6"/>
    <w:rsid w:val="00F641BC"/>
    <w:rsid w:val="00F72FCA"/>
    <w:rsid w:val="00F829B9"/>
    <w:rsid w:val="00F84F17"/>
    <w:rsid w:val="00F92E8B"/>
    <w:rsid w:val="00F930CE"/>
    <w:rsid w:val="00F95F2A"/>
    <w:rsid w:val="00F975DD"/>
    <w:rsid w:val="00FA1DC5"/>
    <w:rsid w:val="00FA671F"/>
    <w:rsid w:val="00FA72D5"/>
    <w:rsid w:val="00FC0439"/>
    <w:rsid w:val="00FD18EE"/>
    <w:rsid w:val="00FD58EC"/>
    <w:rsid w:val="00FE22A2"/>
    <w:rsid w:val="00FF314E"/>
    <w:rsid w:val="00FF365F"/>
    <w:rsid w:val="00FF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ln"/>
    <w:rsid w:val="00AE1DC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7B248E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E26A2"/>
    <w:rPr>
      <w:color w:val="800080" w:themeColor="followedHyperlink"/>
      <w:u w:val="single"/>
    </w:rPr>
  </w:style>
  <w:style w:type="paragraph" w:customStyle="1" w:styleId="Char4">
    <w:name w:val="Char4"/>
    <w:basedOn w:val="Normln"/>
    <w:rsid w:val="00D948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67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67F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iln">
    <w:name w:val="Strong"/>
    <w:uiPriority w:val="22"/>
    <w:qFormat/>
    <w:rsid w:val="009C5364"/>
    <w:rPr>
      <w:b/>
      <w:bCs/>
    </w:rPr>
  </w:style>
  <w:style w:type="paragraph" w:customStyle="1" w:styleId="CharCharCharCharCharCharCharCharCharCharCharChar">
    <w:name w:val="Char Char Char Char Char Char Char Char Char Char Char Char"/>
    <w:basedOn w:val="Normln"/>
    <w:rsid w:val="00AE1DC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7B248E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E26A2"/>
    <w:rPr>
      <w:color w:val="800080" w:themeColor="followedHyperlink"/>
      <w:u w:val="single"/>
    </w:rPr>
  </w:style>
  <w:style w:type="paragraph" w:customStyle="1" w:styleId="Char4">
    <w:name w:val="Char4"/>
    <w:basedOn w:val="Normln"/>
    <w:rsid w:val="00D948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67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67F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E6D9D4-2717-4448-9EDF-9D153A7D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2</Pages>
  <Words>648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Moravcová Lenka</dc:creator>
  <cp:keywords/>
  <dc:description/>
  <cp:lastModifiedBy>Moravcová Lenka</cp:lastModifiedBy>
  <cp:revision>25</cp:revision>
  <cp:lastPrinted>2021-09-17T08:35:00Z</cp:lastPrinted>
  <dcterms:created xsi:type="dcterms:W3CDTF">2021-09-22T11:58:00Z</dcterms:created>
  <dcterms:modified xsi:type="dcterms:W3CDTF">2021-11-09T11:19:00Z</dcterms:modified>
</cp:coreProperties>
</file>