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21016D" w:rsidRDefault="009E3266" w:rsidP="005258F2">
      <w:pPr>
        <w:jc w:val="both"/>
        <w:rPr>
          <w:rFonts w:ascii="Arial" w:hAnsi="Arial" w:cs="Arial"/>
          <w:b/>
          <w:sz w:val="22"/>
          <w:szCs w:val="22"/>
        </w:rPr>
      </w:pPr>
    </w:p>
    <w:p w:rsidR="00533F4E" w:rsidRPr="0021016D" w:rsidRDefault="00533F4E" w:rsidP="00533F4E">
      <w:pPr>
        <w:jc w:val="center"/>
        <w:rPr>
          <w:rFonts w:ascii="Arial" w:hAnsi="Arial" w:cs="Arial"/>
          <w:b/>
          <w:color w:val="0070C0"/>
          <w:sz w:val="28"/>
          <w:szCs w:val="28"/>
          <w:u w:val="single"/>
        </w:rPr>
      </w:pPr>
      <w:r w:rsidRPr="0021016D">
        <w:rPr>
          <w:rFonts w:ascii="Arial" w:hAnsi="Arial" w:cs="Arial"/>
          <w:b/>
          <w:color w:val="0070C0"/>
          <w:sz w:val="28"/>
          <w:szCs w:val="28"/>
          <w:u w:val="single"/>
        </w:rPr>
        <w:t>Náměty pro činnost RVVI v následujícím období</w:t>
      </w:r>
    </w:p>
    <w:p w:rsidR="00533F4E" w:rsidRPr="0021016D" w:rsidRDefault="00533F4E" w:rsidP="00533F4E">
      <w:pPr>
        <w:spacing w:after="120"/>
        <w:jc w:val="both"/>
        <w:rPr>
          <w:rFonts w:ascii="Arial" w:hAnsi="Arial" w:cs="Arial"/>
          <w:sz w:val="22"/>
          <w:szCs w:val="22"/>
        </w:rPr>
      </w:pP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V návaznosti na plán činnosti RVVI na rok 2021 předložila ing. Bízková, členka Rady, náměty pro činnost Rady náměty pro činnost Rady k naplnění jejího poslání dle zákona č. 130/2002 Sb. Rada se jimi zabývala v bodě 365 / A7 Podněty pro předsednictvo RVVI k programu 2021, jednotlivé body byly projednány předsednictvem RVVI za účasti Ing. </w:t>
      </w:r>
      <w:proofErr w:type="spellStart"/>
      <w:r w:rsidRPr="0021016D">
        <w:rPr>
          <w:rFonts w:ascii="Arial" w:hAnsi="Arial" w:cs="Arial"/>
          <w:sz w:val="22"/>
          <w:szCs w:val="22"/>
        </w:rPr>
        <w:t>Bízkové</w:t>
      </w:r>
      <w:proofErr w:type="spellEnd"/>
      <w:r w:rsidRPr="0021016D">
        <w:rPr>
          <w:rFonts w:ascii="Arial" w:hAnsi="Arial" w:cs="Arial"/>
          <w:sz w:val="22"/>
          <w:szCs w:val="22"/>
        </w:rPr>
        <w:t xml:space="preserve"> a bylo navrženo předložit návrhy na řešení tematických okruhů tak, jak je uvedeno dále. Navrhuje se zařadit náměty do plánu činnosti na rok 2022.</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Níže je uveden vždy původní námět R. </w:t>
      </w:r>
      <w:proofErr w:type="spellStart"/>
      <w:r w:rsidRPr="0021016D">
        <w:rPr>
          <w:rFonts w:ascii="Arial" w:hAnsi="Arial" w:cs="Arial"/>
          <w:sz w:val="22"/>
          <w:szCs w:val="22"/>
        </w:rPr>
        <w:t>Bízkové</w:t>
      </w:r>
      <w:proofErr w:type="spellEnd"/>
      <w:r w:rsidRPr="0021016D">
        <w:rPr>
          <w:rFonts w:ascii="Arial" w:hAnsi="Arial" w:cs="Arial"/>
          <w:sz w:val="22"/>
          <w:szCs w:val="22"/>
        </w:rPr>
        <w:t xml:space="preserve"> a návrh řešení vzešlý z diskuse.</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Česká hlava – oceňování osobností za výsledky výzkumu</w:t>
      </w:r>
    </w:p>
    <w:p w:rsidR="00533F4E" w:rsidRPr="0021016D" w:rsidRDefault="00533F4E" w:rsidP="00533F4E">
      <w:pPr>
        <w:spacing w:after="120"/>
        <w:jc w:val="both"/>
        <w:rPr>
          <w:rFonts w:ascii="Arial" w:hAnsi="Arial" w:cs="Arial"/>
          <w:sz w:val="22"/>
          <w:szCs w:val="22"/>
          <w:u w:val="single"/>
        </w:rPr>
      </w:pPr>
      <w:r w:rsidRPr="0021016D">
        <w:rPr>
          <w:rFonts w:ascii="Arial" w:hAnsi="Arial" w:cs="Arial"/>
          <w:sz w:val="22"/>
          <w:szCs w:val="22"/>
          <w:u w:val="single"/>
        </w:rPr>
        <w:t xml:space="preserve">Původní námět: </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V loňském roce se uskutečnil 19. ročník oceňování nejlepších českých výzkumníků Česká hlava. V roce 2021 by měl proběhnout 20. ročník, zároveň od 1. 1. 2021 je platné a účinné nařízení vlády, které umožňuje ocenit také Českou hlavičku – studenta / studentku se zájmem o výzkum. Je velmi potřebné vyhodnotit dosavadní spolupráci s organizátory České hlavy, také loňský ročník a rozhodnout se, jak dál v této věci pokračovat. Najít dlouhodobější řešení je akutní, vzhledem k volbám může být vyhlašování buď urychleno nebo naopak posunuto na konec roku. Zároveň je nezbytné nějakým způsobem </w:t>
      </w:r>
      <w:proofErr w:type="spellStart"/>
      <w:r w:rsidRPr="0021016D">
        <w:rPr>
          <w:rFonts w:ascii="Arial" w:hAnsi="Arial" w:cs="Arial"/>
          <w:sz w:val="22"/>
          <w:szCs w:val="22"/>
        </w:rPr>
        <w:t>ingerovat</w:t>
      </w:r>
      <w:proofErr w:type="spellEnd"/>
      <w:r w:rsidRPr="0021016D">
        <w:rPr>
          <w:rFonts w:ascii="Arial" w:hAnsi="Arial" w:cs="Arial"/>
          <w:sz w:val="22"/>
          <w:szCs w:val="22"/>
        </w:rPr>
        <w:t xml:space="preserve"> do vyhlašování výzev na návrhy na národní cenu, kdy a jak má toto proběhnout. Řešení není možné bez důkladného projednání buď předsednictvem RVVI nebo celou RVVI.</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Plněno částečně. RVVI sama vyhlásila výzvu k podávání návrhů na ocenění v roce 2021. Zbývá vyřešit pokračování této aktivity v roce 2022 a následujících letech. Navrhuje se zařadit do plánu práce Rady na rok 2022.</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Doporučuje se navrhnout způsob řešení novému předsedovi Rady / nové předsedkyni Rady v této věci, a to na základě dosavadních poznatků ze spolupráce s pořadatelem České hlavy a licenčními ujednáními, rovněž s ohledem na zařazení nové kategorie ocenění pro studentky/studenty.</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„PR strategie“ RVVI – informování veřejnosti o činnosti RVVI a dění ve výzkumu</w:t>
      </w:r>
    </w:p>
    <w:p w:rsidR="00533F4E" w:rsidRPr="0021016D" w:rsidRDefault="00533F4E" w:rsidP="00533F4E">
      <w:pPr>
        <w:spacing w:after="120"/>
        <w:jc w:val="both"/>
        <w:rPr>
          <w:rFonts w:ascii="Arial" w:hAnsi="Arial" w:cs="Arial"/>
          <w:sz w:val="22"/>
          <w:szCs w:val="22"/>
          <w:u w:val="single"/>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Je potřebné mít zpracovanou ucelenou představu o informování zainteresované veřejnosti o výsledcích činnosti RVVI, obecně o dění ve výzkumu. Hlavním komunikačním nástrojem je web </w:t>
      </w:r>
      <w:hyperlink r:id="rId9" w:history="1">
        <w:r w:rsidRPr="0021016D">
          <w:rPr>
            <w:rStyle w:val="Hypertextovodkaz"/>
            <w:rFonts w:ascii="Arial" w:hAnsi="Arial" w:cs="Arial"/>
            <w:sz w:val="22"/>
            <w:szCs w:val="22"/>
          </w:rPr>
          <w:t>www.vyzkum.cz</w:t>
        </w:r>
      </w:hyperlink>
      <w:r w:rsidRPr="0021016D">
        <w:rPr>
          <w:rFonts w:ascii="Arial" w:hAnsi="Arial" w:cs="Arial"/>
          <w:sz w:val="22"/>
          <w:szCs w:val="22"/>
        </w:rPr>
        <w:t>, který je technologicky již zcela nedostatečný, také PR práce je velmi omezená, nejsou využívány sociální sítě. Toto považuji za mimořádnou slabinu činnosti RVVI – flexibilita, včasné poskytování informací, komunikace s odbornou veřejností je nezbytná. Je třeba zpracovat koncepci a k tomu vytvořit „vnitřní projekt“ (viz níže), kterým by bylo v průběhu příštích měsíců dosaženo změny (včetně postavení zcela nového webu – technologicky i obsahově).</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 xml:space="preserve">Zatím neplněno. Navrhuje se zařadit koncepce i nového webu </w:t>
      </w:r>
      <w:hyperlink r:id="rId10" w:history="1">
        <w:r w:rsidRPr="0021016D">
          <w:rPr>
            <w:rStyle w:val="Hypertextovodkaz"/>
            <w:rFonts w:ascii="Arial" w:hAnsi="Arial" w:cs="Arial"/>
            <w:i/>
            <w:sz w:val="22"/>
            <w:szCs w:val="22"/>
          </w:rPr>
          <w:t>www.vyzkum.cz</w:t>
        </w:r>
      </w:hyperlink>
      <w:r w:rsidRPr="0021016D">
        <w:rPr>
          <w:rFonts w:ascii="Arial" w:hAnsi="Arial" w:cs="Arial"/>
          <w:i/>
          <w:sz w:val="22"/>
          <w:szCs w:val="22"/>
        </w:rPr>
        <w:t xml:space="preserve"> do plánu práce Rady na rok 2022.</w:t>
      </w:r>
    </w:p>
    <w:p w:rsidR="00533F4E" w:rsidRPr="0021016D" w:rsidRDefault="00533F4E" w:rsidP="00533F4E">
      <w:pPr>
        <w:pStyle w:val="Odstavecseseznamem"/>
        <w:keepNext/>
        <w:numPr>
          <w:ilvl w:val="0"/>
          <w:numId w:val="25"/>
        </w:numPr>
        <w:spacing w:after="120"/>
        <w:ind w:left="714" w:hanging="357"/>
        <w:jc w:val="both"/>
        <w:rPr>
          <w:rFonts w:ascii="Arial" w:hAnsi="Arial" w:cs="Arial"/>
          <w:b/>
          <w:bCs/>
          <w:sz w:val="22"/>
          <w:szCs w:val="22"/>
        </w:rPr>
      </w:pPr>
      <w:r w:rsidRPr="0021016D">
        <w:rPr>
          <w:rFonts w:ascii="Arial" w:hAnsi="Arial" w:cs="Arial"/>
          <w:b/>
          <w:bCs/>
          <w:sz w:val="22"/>
          <w:szCs w:val="22"/>
        </w:rPr>
        <w:lastRenderedPageBreak/>
        <w:t>Řízení inovační strategie, spolupráce na RIS3, NPO a EU fondech</w:t>
      </w:r>
    </w:p>
    <w:p w:rsidR="00533F4E" w:rsidRPr="0021016D" w:rsidRDefault="00533F4E" w:rsidP="00533F4E">
      <w:pPr>
        <w:keepNext/>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Jedná se o zásadní oblasti zájmu všech zainteresovaných na podpoře, realizaci a výsledcích výzkumu. Je třeba si udělat „jasno“ jak k řízení IS 2030, jak a kým je kontrolováno plnění opatření z IS, jak na svých úkolech pracuje RVVI, kdo na nich pracuje, v jakém intervalu je toto diskutováno RVVI. Podobně je tomu s RIS3, která je pro podporu </w:t>
      </w:r>
      <w:proofErr w:type="spellStart"/>
      <w:r w:rsidRPr="0021016D">
        <w:rPr>
          <w:rFonts w:ascii="Arial" w:hAnsi="Arial" w:cs="Arial"/>
          <w:sz w:val="22"/>
          <w:szCs w:val="22"/>
        </w:rPr>
        <w:t>VaVaI</w:t>
      </w:r>
      <w:proofErr w:type="spellEnd"/>
      <w:r w:rsidRPr="0021016D">
        <w:rPr>
          <w:rFonts w:ascii="Arial" w:hAnsi="Arial" w:cs="Arial"/>
          <w:sz w:val="22"/>
          <w:szCs w:val="22"/>
        </w:rPr>
        <w:t xml:space="preserve"> v dalších letech zásadní. Jak se bude projevovat v činnosti RVVI? Jak často bude diskutována a co bude diskutováno? Kdo je za toto v RVVI zodpovědný?</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 xml:space="preserve">Vládě se předkládá informace o plnění Inovační strategie za období 2020-6/2021. Byla připravena úprava memoranda o spolupráci mezi MŠMT, MPO a RVVI při koordinaci EU fondů pro využití ve </w:t>
      </w:r>
      <w:proofErr w:type="spellStart"/>
      <w:r w:rsidRPr="0021016D">
        <w:rPr>
          <w:rFonts w:ascii="Arial" w:hAnsi="Arial" w:cs="Arial"/>
          <w:i/>
          <w:sz w:val="22"/>
          <w:szCs w:val="22"/>
        </w:rPr>
        <w:t>VaVaI</w:t>
      </w:r>
      <w:proofErr w:type="spellEnd"/>
      <w:r w:rsidRPr="0021016D">
        <w:rPr>
          <w:rFonts w:ascii="Arial" w:hAnsi="Arial" w:cs="Arial"/>
          <w:i/>
          <w:sz w:val="22"/>
          <w:szCs w:val="22"/>
        </w:rPr>
        <w:t>. Upravené memorandum zatím nebylo podepsáno, je potřebné zpracovat samostatný materiál k bodu 3 a zařadit tento bod do plánu práce Rady na rok 2022, pokud možno v lednu 2022.</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Reprezentace ochrany duševního vlastnictví v IS2030 a v RVVI</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Ochrana duševního vlastnictví a předložení odpovídající strategie vládě je úlohou ÚPV plynoucí z IS2030. Přes předběžný příslib zařazení této problematiky do diskusí RVVI a stanovení člena RVVI odpovědného za tuto problematiku, toto dosud nebylo do činnosti Rady zařazeno. Obecně by bylo potřebné zásadně rozšířit okruh témat, za která by měli být jmenovitě odpovědni jednotliví členové RVVI.</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Plněno.</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eastAsia="Calibri" w:hAnsi="Arial" w:cs="Arial"/>
          <w:i/>
          <w:sz w:val="22"/>
          <w:szCs w:val="22"/>
        </w:rPr>
      </w:pPr>
      <w:r w:rsidRPr="0021016D">
        <w:rPr>
          <w:rFonts w:ascii="Arial" w:hAnsi="Arial" w:cs="Arial"/>
          <w:i/>
          <w:sz w:val="22"/>
          <w:szCs w:val="22"/>
        </w:rPr>
        <w:t xml:space="preserve">Na 370. zasedání Rady byla projednána Koncepce ochrany duševního vlastnictví (370/A8), kterou předložil Úřad průmyslového vlastnictví. Koncepce, doplněná podle připomínek Rady, byla předložena předsednictvu Rady k dalšímu projednání. Usnesením Rady k bodu 370/A8 byla členka Rady Ing. Bízková jmenována </w:t>
      </w:r>
      <w:r w:rsidRPr="0021016D">
        <w:rPr>
          <w:rFonts w:ascii="Arial" w:eastAsia="Calibri" w:hAnsi="Arial" w:cs="Arial"/>
          <w:i/>
          <w:sz w:val="22"/>
          <w:szCs w:val="22"/>
        </w:rPr>
        <w:t>zpravodajkou Rady ke „Koncepci podpory ochrany průmyslového vlastnictví 2021 – 2030“. Bylo doporučeno předložení koncepce vládě ČR.</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Open data, zveřejňování dat pro vědecké a další účely – vznik pracovní skupiny/komise</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V návaznosti na seminář k open science, který byl pod záštitou RVVI pořádán v říjnu 2020 a na základě diskuse vedené v rámci Národního plánu obnovy a rovněž ke „</w:t>
      </w:r>
      <w:proofErr w:type="spellStart"/>
      <w:r w:rsidRPr="0021016D">
        <w:rPr>
          <w:rFonts w:ascii="Arial" w:hAnsi="Arial" w:cs="Arial"/>
          <w:sz w:val="22"/>
          <w:szCs w:val="22"/>
        </w:rPr>
        <w:t>kovidové</w:t>
      </w:r>
      <w:proofErr w:type="spellEnd"/>
      <w:r w:rsidRPr="0021016D">
        <w:rPr>
          <w:rFonts w:ascii="Arial" w:hAnsi="Arial" w:cs="Arial"/>
          <w:sz w:val="22"/>
          <w:szCs w:val="22"/>
        </w:rPr>
        <w:t xml:space="preserve">“ situaci na RVVI se navrhuje vznik pracovní skupiny RVVI k open data/open science a k systému zveřejňování dat pro vědecké účely. Diskuse byla vedena 11. 1. 2021 za účasti NM Očka z MPO, ŘO Kubáně z MV, zmocněnce pro digitalizaci p. </w:t>
      </w:r>
      <w:proofErr w:type="spellStart"/>
      <w:r w:rsidRPr="0021016D">
        <w:rPr>
          <w:rFonts w:ascii="Arial" w:hAnsi="Arial" w:cs="Arial"/>
          <w:sz w:val="22"/>
          <w:szCs w:val="22"/>
        </w:rPr>
        <w:t>Dzurilly</w:t>
      </w:r>
      <w:proofErr w:type="spellEnd"/>
      <w:r w:rsidRPr="0021016D">
        <w:rPr>
          <w:rFonts w:ascii="Arial" w:hAnsi="Arial" w:cs="Arial"/>
          <w:sz w:val="22"/>
          <w:szCs w:val="22"/>
        </w:rPr>
        <w:t xml:space="preserve">, doc. </w:t>
      </w:r>
      <w:proofErr w:type="spellStart"/>
      <w:r w:rsidRPr="0021016D">
        <w:rPr>
          <w:rFonts w:ascii="Arial" w:hAnsi="Arial" w:cs="Arial"/>
          <w:sz w:val="22"/>
          <w:szCs w:val="22"/>
        </w:rPr>
        <w:t>Hajdúcha</w:t>
      </w:r>
      <w:proofErr w:type="spellEnd"/>
      <w:r w:rsidRPr="0021016D">
        <w:rPr>
          <w:rFonts w:ascii="Arial" w:hAnsi="Arial" w:cs="Arial"/>
          <w:sz w:val="22"/>
          <w:szCs w:val="22"/>
        </w:rPr>
        <w:t xml:space="preserve">, prof. </w:t>
      </w:r>
      <w:proofErr w:type="spellStart"/>
      <w:r w:rsidRPr="0021016D">
        <w:rPr>
          <w:rFonts w:ascii="Arial" w:hAnsi="Arial" w:cs="Arial"/>
          <w:sz w:val="22"/>
          <w:szCs w:val="22"/>
        </w:rPr>
        <w:t>Jurajdy</w:t>
      </w:r>
      <w:proofErr w:type="spellEnd"/>
      <w:r w:rsidRPr="0021016D">
        <w:rPr>
          <w:rFonts w:ascii="Arial" w:hAnsi="Arial" w:cs="Arial"/>
          <w:sz w:val="22"/>
          <w:szCs w:val="22"/>
        </w:rPr>
        <w:t xml:space="preserve"> a R. </w:t>
      </w:r>
      <w:proofErr w:type="spellStart"/>
      <w:r w:rsidRPr="0021016D">
        <w:rPr>
          <w:rFonts w:ascii="Arial" w:hAnsi="Arial" w:cs="Arial"/>
          <w:sz w:val="22"/>
          <w:szCs w:val="22"/>
        </w:rPr>
        <w:t>Bízkové</w:t>
      </w:r>
      <w:proofErr w:type="spellEnd"/>
      <w:r w:rsidRPr="0021016D">
        <w:rPr>
          <w:rFonts w:ascii="Arial" w:hAnsi="Arial" w:cs="Arial"/>
          <w:sz w:val="22"/>
          <w:szCs w:val="22"/>
        </w:rPr>
        <w:t xml:space="preserve">. Bylo dohodnuto, že institucionální odpovědnost bude na MV (tým ŘO Kubáně, podobně jako u novelizace zákona 106/1999 Sb.), bude připraveno odpovídající legislativní ukotvení. Následně bylo domluveno, že </w:t>
      </w:r>
      <w:r w:rsidRPr="0021016D">
        <w:rPr>
          <w:rFonts w:ascii="Arial" w:hAnsi="Arial" w:cs="Arial"/>
          <w:b/>
          <w:bCs/>
          <w:sz w:val="22"/>
          <w:szCs w:val="22"/>
        </w:rPr>
        <w:t xml:space="preserve">pod vedením doc. </w:t>
      </w:r>
      <w:proofErr w:type="spellStart"/>
      <w:r w:rsidRPr="0021016D">
        <w:rPr>
          <w:rFonts w:ascii="Arial" w:hAnsi="Arial" w:cs="Arial"/>
          <w:b/>
          <w:bCs/>
          <w:sz w:val="22"/>
          <w:szCs w:val="22"/>
        </w:rPr>
        <w:t>Hajdúcha</w:t>
      </w:r>
      <w:proofErr w:type="spellEnd"/>
      <w:r w:rsidRPr="0021016D">
        <w:rPr>
          <w:rFonts w:ascii="Arial" w:hAnsi="Arial" w:cs="Arial"/>
          <w:b/>
          <w:bCs/>
          <w:sz w:val="22"/>
          <w:szCs w:val="22"/>
        </w:rPr>
        <w:t xml:space="preserve"> vznikne v RVVI komise pro formulaci potřeb výzkumu </w:t>
      </w:r>
      <w:r w:rsidRPr="0021016D">
        <w:rPr>
          <w:rFonts w:ascii="Arial" w:hAnsi="Arial" w:cs="Arial"/>
          <w:sz w:val="22"/>
          <w:szCs w:val="22"/>
        </w:rPr>
        <w:t xml:space="preserve">vzhledem ke zveřejňování a možnosti užití dat sbíraných v různých odvětvích (zdravotnictví, sociologická data, data shromažďovaná ČSÚ). Členy komise budou prof. </w:t>
      </w:r>
      <w:proofErr w:type="spellStart"/>
      <w:r w:rsidRPr="0021016D">
        <w:rPr>
          <w:rFonts w:ascii="Arial" w:hAnsi="Arial" w:cs="Arial"/>
          <w:sz w:val="22"/>
          <w:szCs w:val="22"/>
        </w:rPr>
        <w:t>Jurajda</w:t>
      </w:r>
      <w:proofErr w:type="spellEnd"/>
      <w:r w:rsidRPr="0021016D">
        <w:rPr>
          <w:rFonts w:ascii="Arial" w:hAnsi="Arial" w:cs="Arial"/>
          <w:sz w:val="22"/>
          <w:szCs w:val="22"/>
        </w:rPr>
        <w:t xml:space="preserve">, R. Bízková a zástupci iniciativy „open data“ dle následné dohody. Toto by bylo vhodné ustavit co nejdříve, nejlépe na březnovém zasedání RVVI.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lastRenderedPageBreak/>
        <w:t>Plněno částečně.</w:t>
      </w:r>
    </w:p>
    <w:p w:rsidR="00533F4E" w:rsidRPr="0021016D" w:rsidRDefault="00533F4E" w:rsidP="00533F4E">
      <w:pPr>
        <w:keepNext/>
        <w:spacing w:before="120"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before="120" w:after="120"/>
        <w:jc w:val="both"/>
        <w:rPr>
          <w:rFonts w:ascii="Arial" w:hAnsi="Arial" w:cs="Arial"/>
          <w:i/>
          <w:color w:val="000000"/>
          <w:sz w:val="22"/>
          <w:szCs w:val="22"/>
        </w:rPr>
      </w:pPr>
      <w:r w:rsidRPr="0021016D">
        <w:rPr>
          <w:rFonts w:ascii="Arial" w:hAnsi="Arial" w:cs="Arial"/>
          <w:i/>
          <w:sz w:val="22"/>
          <w:szCs w:val="22"/>
        </w:rPr>
        <w:t xml:space="preserve">Byla zřízena pracovní skupina pro využití dat veřejného sektoru pro účely výzkumu. Odbor Rady zpracoval rešerši o pravidlech a postupech v některých evropských zemích, včetně legislativní úpravy. Tuto informaci postoupil předsedovi pracovní skupiny prof. </w:t>
      </w:r>
      <w:proofErr w:type="spellStart"/>
      <w:r w:rsidRPr="0021016D">
        <w:rPr>
          <w:rFonts w:ascii="Arial" w:hAnsi="Arial" w:cs="Arial"/>
          <w:i/>
          <w:sz w:val="22"/>
          <w:szCs w:val="22"/>
        </w:rPr>
        <w:t>Jurajdovi</w:t>
      </w:r>
      <w:proofErr w:type="spellEnd"/>
      <w:r w:rsidRPr="0021016D">
        <w:rPr>
          <w:rFonts w:ascii="Arial" w:hAnsi="Arial" w:cs="Arial"/>
          <w:i/>
          <w:sz w:val="22"/>
          <w:szCs w:val="22"/>
        </w:rPr>
        <w:t xml:space="preserve"> a jeho prostřednictvím pracovní skupině k projednání. Byla rovněž ustavena „velká“ koordinační skupina, která slouží k výměně informací z oblasti přístupu k výzkumným datům, z oblasti ukládání výzkumných dat a z oblasti využití dat veřejného sektoru. V podkladovém materiálu k vytvoření pracovní skupiny (366/A5) se uvádí, že „r</w:t>
      </w:r>
      <w:r w:rsidRPr="0021016D">
        <w:rPr>
          <w:rFonts w:ascii="Arial" w:hAnsi="Arial" w:cs="Arial"/>
          <w:i/>
          <w:color w:val="000000"/>
          <w:sz w:val="22"/>
          <w:szCs w:val="22"/>
        </w:rPr>
        <w:t xml:space="preserve">ozšíření portfolia na open data/open science a zřízení PS je vyvoláno potřebou: (a) koordinovat problematiku open data/open science jako celku, a  již nikoli pouze  z hlediska jeho dílčího aspektu – otevřeného přístupu - pod záštitou Rady jako národní autority; (b) transformovat typově a obsahově blíže nespecifikovaný „akční plán“ zmíněný v opatření č. 8 NP </w:t>
      </w:r>
      <w:proofErr w:type="spellStart"/>
      <w:r w:rsidRPr="0021016D">
        <w:rPr>
          <w:rFonts w:ascii="Arial" w:hAnsi="Arial" w:cs="Arial"/>
          <w:i/>
          <w:color w:val="000000"/>
          <w:sz w:val="22"/>
          <w:szCs w:val="22"/>
        </w:rPr>
        <w:t>VaVaI</w:t>
      </w:r>
      <w:proofErr w:type="spellEnd"/>
      <w:r w:rsidRPr="0021016D">
        <w:rPr>
          <w:rFonts w:ascii="Arial" w:hAnsi="Arial" w:cs="Arial"/>
          <w:i/>
          <w:color w:val="000000"/>
          <w:sz w:val="22"/>
          <w:szCs w:val="22"/>
        </w:rPr>
        <w:t xml:space="preserve"> 21+ do podoby ucelené a jasně formulované  národní „Strategie Open Science 21+“ (dále SOS21+). Vytvoření SOS21+ dosud nebylo zadáno. Samotné zadání je třeba připravit ve spolupráci „velké“ koordinační skupiny a odboru RVVI co nejdříve.</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Interní projekt „gender“ a problematika interních projektů RVVI obecně</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Vzhledem k tomu, že si členové RVVI uvědomili potřebu odborného zázemí (také v souvislosti s projektem STRATIN+), navrhuje se vytvořit systém interních projektů RVVI. V řadě případů je potřebná věcná/tematická koordinace poskytovatelů, což nelze vykonávat ad hoc. Bylo by velmi potřebné systém </w:t>
      </w:r>
      <w:r w:rsidRPr="0021016D">
        <w:rPr>
          <w:rFonts w:ascii="Arial" w:hAnsi="Arial" w:cs="Arial"/>
          <w:b/>
          <w:bCs/>
          <w:sz w:val="22"/>
          <w:szCs w:val="22"/>
        </w:rPr>
        <w:t>interních projektů</w:t>
      </w:r>
      <w:r w:rsidRPr="0021016D">
        <w:rPr>
          <w:rFonts w:ascii="Arial" w:hAnsi="Arial" w:cs="Arial"/>
          <w:sz w:val="22"/>
          <w:szCs w:val="22"/>
        </w:rPr>
        <w:t xml:space="preserve"> diskutovat. Hned první, který je velmi potřebný, se týká problematiky rovnosti příležitostí (gender), který je již promyšlen a v pracovní skupině </w:t>
      </w:r>
      <w:r w:rsidRPr="0021016D">
        <w:rPr>
          <w:rFonts w:ascii="Arial" w:hAnsi="Arial" w:cs="Arial"/>
          <w:b/>
          <w:bCs/>
          <w:sz w:val="22"/>
          <w:szCs w:val="22"/>
        </w:rPr>
        <w:t>RVVI+TAČR+MŠMT+AV ČR v zásadě formulován</w:t>
      </w:r>
      <w:r w:rsidRPr="0021016D">
        <w:rPr>
          <w:rFonts w:ascii="Arial" w:hAnsi="Arial" w:cs="Arial"/>
          <w:sz w:val="22"/>
          <w:szCs w:val="22"/>
        </w:rPr>
        <w:t>. Ráda bych jej představila napřed předsednictvu, pak RVVI a požádala o jeho schválení.</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Plněno částečně</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sz w:val="22"/>
          <w:szCs w:val="22"/>
        </w:rPr>
      </w:pPr>
      <w:r w:rsidRPr="0021016D">
        <w:rPr>
          <w:rFonts w:ascii="Arial" w:hAnsi="Arial" w:cs="Arial"/>
          <w:i/>
          <w:sz w:val="22"/>
          <w:szCs w:val="22"/>
        </w:rPr>
        <w:t xml:space="preserve">Byla ustavena pracovní skupina, která zahájila činnost. Dlouhodobější interní projekt je však realizovatelný pouze s podporou z EU fondů, nejlépe OP JAK. Upravené memorandum mezi MŠMT, MPO a RVVI ke koordinaci EU fondů pro podporu </w:t>
      </w:r>
      <w:proofErr w:type="spellStart"/>
      <w:r w:rsidRPr="0021016D">
        <w:rPr>
          <w:rFonts w:ascii="Arial" w:hAnsi="Arial" w:cs="Arial"/>
          <w:i/>
          <w:sz w:val="22"/>
          <w:szCs w:val="22"/>
        </w:rPr>
        <w:t>VaVaI</w:t>
      </w:r>
      <w:proofErr w:type="spellEnd"/>
      <w:r w:rsidRPr="0021016D">
        <w:rPr>
          <w:rFonts w:ascii="Arial" w:hAnsi="Arial" w:cs="Arial"/>
          <w:i/>
          <w:sz w:val="22"/>
          <w:szCs w:val="22"/>
        </w:rPr>
        <w:t>, které je v této věci výhodou, dosud nebylo podepsáno.</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Bezpečnost výzkumu – informace z přístupu Velké Británie k ochraně výsledků výzkumu</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Významným tématem, kterým je třeba se zabývat (a souvisí se zveřejňováním dat), je účast zahraničních odborníků na výzkumu v České republice. Vzhledem ke špičkovému vybavení výzkumných pracovišť v ČR, lze očekávat zájem, který může mít určité rizikové bezpečnostní parametry. Upozornil na to česko-britský seminář, který se z iniciativy velvyslanectví Velké Británie v Praze konal 30.11.2020. Ve VB byl indikován zvýšený zájem – zejména ze strany asijských zemí – o výsledky výzkumu ve VB, bylo indikováno riziko zcizení výsledků. Na tomto základě začaly být britskou vládou vytvářeny metodiky pro zvyšování (</w:t>
      </w:r>
      <w:proofErr w:type="spellStart"/>
      <w:r w:rsidRPr="0021016D">
        <w:rPr>
          <w:rFonts w:ascii="Arial" w:hAnsi="Arial" w:cs="Arial"/>
          <w:sz w:val="22"/>
          <w:szCs w:val="22"/>
        </w:rPr>
        <w:t>kyber</w:t>
      </w:r>
      <w:proofErr w:type="spellEnd"/>
      <w:r w:rsidRPr="0021016D">
        <w:rPr>
          <w:rFonts w:ascii="Arial" w:hAnsi="Arial" w:cs="Arial"/>
          <w:sz w:val="22"/>
          <w:szCs w:val="22"/>
        </w:rPr>
        <w:t>)bezpečnosti britského výzkumu. Z vystoupení české strany (paní předsedkyně AV ČR, MŠMT účast odmítlo, resp. nepřislíbilo) bylo zřejmé, že tato problematika není v ČR rozpracována (byť jsem na to MŠMT upozorňovala už v polovině loňského roku – odpověď zněla, že se jedná o odpovědnost jednotlivých institucí a MŠMT v tomto žádné instrukce ani podmínky, např. v OP VVV nedává).</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lastRenderedPageBreak/>
        <w:t>Plněno částečně.</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Otázka bezpečného využívání údajů z výzkumu a údajů veřejného sektoru pro využití ve výzkumu bude zdůrazněna na jednáních pracovních skupin (viz bod 5). Bezpečné využití údajů veřejného sektoru pro další výzkum je součástí rešerše, uvedené v komentáři k bodu 5. Bude zpracován materiál pro jednání RVVI, kde bude problematika popsána a popsána rovněž návaznost na činnost pracovní skupiny vedené MŠMT a možnosti využití jí zpracovaných podkladů. Předběžně bylo navrženo, aby byla zřízena pracovní skupina RVVI k této problematice, vedená prof. Maříkem, která by se problematikou zabývala v celé šíři.</w:t>
      </w:r>
    </w:p>
    <w:p w:rsidR="00533F4E" w:rsidRPr="0021016D" w:rsidRDefault="00533F4E" w:rsidP="00533F4E">
      <w:pPr>
        <w:pStyle w:val="Odstavecseseznamem"/>
        <w:numPr>
          <w:ilvl w:val="0"/>
          <w:numId w:val="25"/>
        </w:numPr>
        <w:rPr>
          <w:rFonts w:ascii="Arial" w:hAnsi="Arial" w:cs="Arial"/>
          <w:b/>
          <w:bCs/>
          <w:sz w:val="22"/>
          <w:szCs w:val="22"/>
        </w:rPr>
      </w:pPr>
      <w:r w:rsidRPr="0021016D">
        <w:rPr>
          <w:rFonts w:ascii="Arial" w:hAnsi="Arial" w:cs="Arial"/>
          <w:b/>
          <w:bCs/>
          <w:sz w:val="22"/>
          <w:szCs w:val="22"/>
        </w:rPr>
        <w:t>Práce zahraniční RVVI – co by mělo být projednáváno, jak a proč, zahraniční spolupráce obecně</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Je třeba velmi podrobně promyslet a realizovat spolupráci se zahraniční částí RVVI – jedná se o významné osobnosti, jejichž zkušenosti by měly být náležitě využity ve prospěch rozvoje </w:t>
      </w:r>
      <w:proofErr w:type="spellStart"/>
      <w:r w:rsidRPr="0021016D">
        <w:rPr>
          <w:rFonts w:ascii="Arial" w:hAnsi="Arial" w:cs="Arial"/>
          <w:sz w:val="22"/>
          <w:szCs w:val="22"/>
        </w:rPr>
        <w:t>VaVaI</w:t>
      </w:r>
      <w:proofErr w:type="spellEnd"/>
      <w:r w:rsidRPr="0021016D">
        <w:rPr>
          <w:rFonts w:ascii="Arial" w:hAnsi="Arial" w:cs="Arial"/>
          <w:sz w:val="22"/>
          <w:szCs w:val="22"/>
        </w:rPr>
        <w:t xml:space="preserve"> v ČR. Bohužel zápisy z jednání zahraniční RVVI nejsou RVVI předkládány, úkoly nejsou dostatečně zaznamenávány a plněny – to, co bylo předloženo RVVI naposledy, je opravdu velmi nedostatečné. Rovněž o činnosti a členech zahraniční RVVI byla doplněna zmínka do výroční zprávy RVVI až na mou připomínku. Na březnové RVVI by měla být (na mou žádost) diskutována mezinárodní spolupráce obecně. Na MZV pracuje dr. Kaiser, zmocněnec pro výzkum, existuje jak skupina pro zahraniční spolupráci, tak skupina pro koordinaci programů mezinárodní spolupráce, máme tři vědecké atašé ve světě, nikde však není popsána jejich pracovní náplň, není stanoveno směřování mezinárodní spolupráce a skupina nemá jednoznačné zadání. Toto je třeba upravit a možnosti, které se skýtají, náležitě využít.</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Plněno částečně.</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 xml:space="preserve">Mezinárodní spolupráce Rady je omezena na pravidelné kontakty s poradními orgány evropských vlád pro </w:t>
      </w:r>
      <w:proofErr w:type="spellStart"/>
      <w:r w:rsidRPr="0021016D">
        <w:rPr>
          <w:rFonts w:ascii="Arial" w:hAnsi="Arial" w:cs="Arial"/>
          <w:i/>
          <w:sz w:val="22"/>
          <w:szCs w:val="22"/>
        </w:rPr>
        <w:t>VaVaI</w:t>
      </w:r>
      <w:proofErr w:type="spellEnd"/>
      <w:r w:rsidRPr="0021016D">
        <w:rPr>
          <w:rFonts w:ascii="Arial" w:hAnsi="Arial" w:cs="Arial"/>
          <w:i/>
          <w:sz w:val="22"/>
          <w:szCs w:val="22"/>
        </w:rPr>
        <w:t xml:space="preserve">, jak na úrovni sekretariátů, tak na úrovni předsednictva. Na pracovní úrovni jsou zahraniční kolegové využíváni ke konzultacím, pokud je zapotřebí získat rychle přehled o situaci v jiných zemích. Naposledy se takto podařilo získat ucelenou představu o využívání dat veřejné zprávy pro účely výzkumu (viz bod 5). Právě tak poskytujeme my informace našim kolegům, vyměňujeme si roční zprávy o stavu výzkumu a informujeme se o činnosti poradních orgánů.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 xml:space="preserve">Mezinárodní Rada je pravidelně informována o činnosti Rady a jejích usneseních. Doporučuje se navrhnout novému předsedovi Rady / nové předsedkyni Rady postup řešení v této věci. Měl by obsahovat jak zaměření zahraniční politiky </w:t>
      </w:r>
      <w:proofErr w:type="spellStart"/>
      <w:r w:rsidRPr="0021016D">
        <w:rPr>
          <w:rFonts w:ascii="Arial" w:hAnsi="Arial" w:cs="Arial"/>
          <w:i/>
          <w:sz w:val="22"/>
          <w:szCs w:val="22"/>
        </w:rPr>
        <w:t>VaVaI</w:t>
      </w:r>
      <w:proofErr w:type="spellEnd"/>
      <w:r w:rsidRPr="0021016D">
        <w:rPr>
          <w:rFonts w:ascii="Arial" w:hAnsi="Arial" w:cs="Arial"/>
          <w:i/>
          <w:sz w:val="22"/>
          <w:szCs w:val="22"/>
        </w:rPr>
        <w:t xml:space="preserve"> (ve spolupráci s MŠMT), koncept využití pracovníků ÚV – vědeckých atašé v zemích působení, předmět činnosti mezinárodní Rady.</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Spolupráce s poskytovateli</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Spolupráce s poskytovateli by měla být systematická. Navrhuji, aby se jejich setkání konalo pravidelně, jednou měsíčně, nejlépe po jednání RVVI, aby byly pravidelně probírány výsledky jednání RVVI a sbírány podněty poskytovatelů. Současná komunikace je nedostatečná a </w:t>
      </w:r>
      <w:proofErr w:type="spellStart"/>
      <w:r w:rsidRPr="0021016D">
        <w:rPr>
          <w:rFonts w:ascii="Arial" w:hAnsi="Arial" w:cs="Arial"/>
          <w:sz w:val="22"/>
          <w:szCs w:val="22"/>
        </w:rPr>
        <w:t>raportérství</w:t>
      </w:r>
      <w:proofErr w:type="spellEnd"/>
      <w:r w:rsidRPr="0021016D">
        <w:rPr>
          <w:rFonts w:ascii="Arial" w:hAnsi="Arial" w:cs="Arial"/>
          <w:sz w:val="22"/>
          <w:szCs w:val="22"/>
        </w:rPr>
        <w:t xml:space="preserve"> jednotlivých členů RVVI za jednotlivé resorty nemá stanovenou pracovní náplň, je tedy čas beroucí a nedostatečně užitečné.</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lastRenderedPageBreak/>
        <w:t>Plněno částečně.</w:t>
      </w:r>
    </w:p>
    <w:p w:rsidR="00533F4E" w:rsidRPr="0021016D" w:rsidRDefault="00533F4E" w:rsidP="00533F4E">
      <w:pPr>
        <w:keepNext/>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Počínaje listopadem 2021 budou organizována pravidelná setkání předsednictva Rady s poskytovateli, vždy ve středu prvního týdne po zasedání Rady. První setkání je plánováno po 372. zasedání Rady. Navrhovaná pravidelná jednání s poskytovateli nesouvisí s výkonem funkce zpravodaje / zpravodajky Rady pro jednotlivé rezorty.</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 xml:space="preserve">Příprava nového zákona o podpoře </w:t>
      </w:r>
      <w:proofErr w:type="spellStart"/>
      <w:r w:rsidRPr="0021016D">
        <w:rPr>
          <w:rFonts w:ascii="Arial" w:hAnsi="Arial" w:cs="Arial"/>
          <w:b/>
          <w:bCs/>
          <w:sz w:val="22"/>
          <w:szCs w:val="22"/>
        </w:rPr>
        <w:t>VaVaI</w:t>
      </w:r>
      <w:proofErr w:type="spellEnd"/>
      <w:r w:rsidRPr="0021016D">
        <w:rPr>
          <w:rFonts w:ascii="Arial" w:hAnsi="Arial" w:cs="Arial"/>
          <w:b/>
          <w:bCs/>
          <w:sz w:val="22"/>
          <w:szCs w:val="22"/>
        </w:rPr>
        <w:t xml:space="preserve"> a realizace NP </w:t>
      </w:r>
      <w:proofErr w:type="spellStart"/>
      <w:r w:rsidRPr="0021016D">
        <w:rPr>
          <w:rFonts w:ascii="Arial" w:hAnsi="Arial" w:cs="Arial"/>
          <w:b/>
          <w:bCs/>
          <w:sz w:val="22"/>
          <w:szCs w:val="22"/>
        </w:rPr>
        <w:t>VaVaI</w:t>
      </w:r>
      <w:proofErr w:type="spellEnd"/>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Součástí činnosti RVVI v roce 2021 by měly být rovněž přípravy na zpracování nového zákona o </w:t>
      </w:r>
      <w:proofErr w:type="spellStart"/>
      <w:r w:rsidRPr="0021016D">
        <w:rPr>
          <w:rFonts w:ascii="Arial" w:hAnsi="Arial" w:cs="Arial"/>
          <w:sz w:val="22"/>
          <w:szCs w:val="22"/>
        </w:rPr>
        <w:t>VaVaI</w:t>
      </w:r>
      <w:proofErr w:type="spellEnd"/>
      <w:r w:rsidRPr="0021016D">
        <w:rPr>
          <w:rFonts w:ascii="Arial" w:hAnsi="Arial" w:cs="Arial"/>
          <w:sz w:val="22"/>
          <w:szCs w:val="22"/>
        </w:rPr>
        <w:t xml:space="preserve">. Toto bylo velmi zdůrazňováno např. v legislativní radě vlády při novelizaci zákona 130/2002 Sb. („slíbili jste nový zákon, nesete složitou kdovíkolikátou novelu“). K tomu je nezbytná meritorní diskuse a nastavení přípravy nového zákona jako interního projektu RVVI. Za nový zákon by měla být stanovena jednoznačná odpovědnost, podobně za realizaci jednotlivých opatření NP </w:t>
      </w:r>
      <w:proofErr w:type="spellStart"/>
      <w:r w:rsidRPr="0021016D">
        <w:rPr>
          <w:rFonts w:ascii="Arial" w:hAnsi="Arial" w:cs="Arial"/>
          <w:sz w:val="22"/>
          <w:szCs w:val="22"/>
        </w:rPr>
        <w:t>VaVaI</w:t>
      </w:r>
      <w:proofErr w:type="spellEnd"/>
      <w:r w:rsidRPr="0021016D">
        <w:rPr>
          <w:rFonts w:ascii="Arial" w:hAnsi="Arial" w:cs="Arial"/>
          <w:sz w:val="22"/>
          <w:szCs w:val="22"/>
        </w:rPr>
        <w:t>, alespoň tam, kde je gestorem RVVI.</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 xml:space="preserve">Zatím neplněno.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Bude doporučeno nové vládě a plnění zahájeno v roce 2022 – zařadit do plánu činnosti Rady na rok 2022. Vzhledem k tomu, že v minulých letech nebyla dokončena diskuse o obsahu nového zákona, nebyla dokončena ani práce na jeho paragrafovaném znění. Samotná dílčí novela zákona 130/2002 Sb. ukazuje, že je vytvoření nového zákona nezbytné.</w:t>
      </w:r>
    </w:p>
    <w:p w:rsidR="00533F4E" w:rsidRPr="0021016D" w:rsidRDefault="00533F4E" w:rsidP="00533F4E">
      <w:pPr>
        <w:pStyle w:val="Odstavecseseznamem"/>
        <w:numPr>
          <w:ilvl w:val="0"/>
          <w:numId w:val="25"/>
        </w:numPr>
        <w:spacing w:after="120"/>
        <w:jc w:val="both"/>
        <w:rPr>
          <w:rFonts w:ascii="Arial" w:hAnsi="Arial" w:cs="Arial"/>
          <w:b/>
          <w:bCs/>
          <w:sz w:val="22"/>
          <w:szCs w:val="22"/>
        </w:rPr>
      </w:pPr>
      <w:r w:rsidRPr="0021016D">
        <w:rPr>
          <w:rFonts w:ascii="Arial" w:hAnsi="Arial" w:cs="Arial"/>
          <w:b/>
          <w:bCs/>
          <w:sz w:val="22"/>
          <w:szCs w:val="22"/>
        </w:rPr>
        <w:t xml:space="preserve">Jaké jsou </w:t>
      </w:r>
      <w:proofErr w:type="spellStart"/>
      <w:r w:rsidRPr="0021016D">
        <w:rPr>
          <w:rFonts w:ascii="Arial" w:hAnsi="Arial" w:cs="Arial"/>
          <w:b/>
          <w:bCs/>
          <w:sz w:val="22"/>
          <w:szCs w:val="22"/>
        </w:rPr>
        <w:t>lessons</w:t>
      </w:r>
      <w:proofErr w:type="spellEnd"/>
      <w:r w:rsidRPr="0021016D">
        <w:rPr>
          <w:rFonts w:ascii="Arial" w:hAnsi="Arial" w:cs="Arial"/>
          <w:b/>
          <w:bCs/>
          <w:sz w:val="22"/>
          <w:szCs w:val="22"/>
        </w:rPr>
        <w:t xml:space="preserve"> </w:t>
      </w:r>
      <w:proofErr w:type="spellStart"/>
      <w:r w:rsidRPr="0021016D">
        <w:rPr>
          <w:rFonts w:ascii="Arial" w:hAnsi="Arial" w:cs="Arial"/>
          <w:b/>
          <w:bCs/>
          <w:sz w:val="22"/>
          <w:szCs w:val="22"/>
        </w:rPr>
        <w:t>learned</w:t>
      </w:r>
      <w:proofErr w:type="spellEnd"/>
      <w:r w:rsidRPr="0021016D">
        <w:rPr>
          <w:rFonts w:ascii="Arial" w:hAnsi="Arial" w:cs="Arial"/>
          <w:b/>
          <w:bCs/>
          <w:sz w:val="22"/>
          <w:szCs w:val="22"/>
        </w:rPr>
        <w:t xml:space="preserve"> z </w:t>
      </w:r>
      <w:proofErr w:type="spellStart"/>
      <w:r w:rsidRPr="0021016D">
        <w:rPr>
          <w:rFonts w:ascii="Arial" w:hAnsi="Arial" w:cs="Arial"/>
          <w:b/>
          <w:bCs/>
          <w:sz w:val="22"/>
          <w:szCs w:val="22"/>
        </w:rPr>
        <w:t>kovidu</w:t>
      </w:r>
      <w:proofErr w:type="spellEnd"/>
      <w:r w:rsidRPr="0021016D">
        <w:rPr>
          <w:rFonts w:ascii="Arial" w:hAnsi="Arial" w:cs="Arial"/>
          <w:b/>
          <w:bCs/>
          <w:sz w:val="22"/>
          <w:szCs w:val="22"/>
        </w:rPr>
        <w:t xml:space="preserve"> a jak se ve výzkumu dál projeví?</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RVVI by měla samostatně diskutovat „poučení z </w:t>
      </w:r>
      <w:proofErr w:type="spellStart"/>
      <w:r w:rsidRPr="0021016D">
        <w:rPr>
          <w:rFonts w:ascii="Arial" w:hAnsi="Arial" w:cs="Arial"/>
          <w:sz w:val="22"/>
          <w:szCs w:val="22"/>
        </w:rPr>
        <w:t>kovidu</w:t>
      </w:r>
      <w:proofErr w:type="spellEnd"/>
      <w:r w:rsidRPr="0021016D">
        <w:rPr>
          <w:rFonts w:ascii="Arial" w:hAnsi="Arial" w:cs="Arial"/>
          <w:sz w:val="22"/>
          <w:szCs w:val="22"/>
        </w:rPr>
        <w:t xml:space="preserve">“ – jaký výzkum je třeba realizovat? Jak se změnily podmínky výzkumníků? Co ukázalo přenesení výsledků výzkumu do praxe k řešení </w:t>
      </w:r>
      <w:proofErr w:type="spellStart"/>
      <w:r w:rsidRPr="0021016D">
        <w:rPr>
          <w:rFonts w:ascii="Arial" w:hAnsi="Arial" w:cs="Arial"/>
          <w:sz w:val="22"/>
          <w:szCs w:val="22"/>
        </w:rPr>
        <w:t>kovidové</w:t>
      </w:r>
      <w:proofErr w:type="spellEnd"/>
      <w:r w:rsidRPr="0021016D">
        <w:rPr>
          <w:rFonts w:ascii="Arial" w:hAnsi="Arial" w:cs="Arial"/>
          <w:sz w:val="22"/>
          <w:szCs w:val="22"/>
        </w:rPr>
        <w:t xml:space="preserve"> a </w:t>
      </w:r>
      <w:proofErr w:type="spellStart"/>
      <w:r w:rsidRPr="0021016D">
        <w:rPr>
          <w:rFonts w:ascii="Arial" w:hAnsi="Arial" w:cs="Arial"/>
          <w:sz w:val="22"/>
          <w:szCs w:val="22"/>
        </w:rPr>
        <w:t>postkovidové</w:t>
      </w:r>
      <w:proofErr w:type="spellEnd"/>
      <w:r w:rsidRPr="0021016D">
        <w:rPr>
          <w:rFonts w:ascii="Arial" w:hAnsi="Arial" w:cs="Arial"/>
          <w:sz w:val="22"/>
          <w:szCs w:val="22"/>
        </w:rPr>
        <w:t xml:space="preserve"> situace? Jaké jsou nové výzvy plynoucí z dosavadních zkušeností?</w:t>
      </w:r>
    </w:p>
    <w:p w:rsidR="00533F4E" w:rsidRPr="0021016D" w:rsidRDefault="00533F4E" w:rsidP="00533F4E">
      <w:pPr>
        <w:spacing w:after="120"/>
        <w:jc w:val="both"/>
        <w:rPr>
          <w:rFonts w:ascii="Arial" w:hAnsi="Arial" w:cs="Arial"/>
          <w:i/>
          <w:sz w:val="22"/>
          <w:szCs w:val="22"/>
          <w:u w:val="single"/>
        </w:rPr>
      </w:pPr>
      <w:r w:rsidRPr="0021016D">
        <w:rPr>
          <w:rFonts w:ascii="Arial" w:hAnsi="Arial" w:cs="Arial"/>
          <w:i/>
          <w:sz w:val="22"/>
          <w:szCs w:val="22"/>
          <w:u w:val="single"/>
        </w:rPr>
        <w:t xml:space="preserve">Stav: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Zatím bez rozhodnutí.</w:t>
      </w:r>
    </w:p>
    <w:p w:rsidR="00533F4E" w:rsidRPr="0021016D" w:rsidRDefault="00533F4E" w:rsidP="00533F4E">
      <w:pPr>
        <w:spacing w:after="120"/>
        <w:jc w:val="both"/>
        <w:rPr>
          <w:rFonts w:ascii="Arial" w:hAnsi="Arial" w:cs="Arial"/>
          <w:i/>
          <w:sz w:val="22"/>
          <w:szCs w:val="22"/>
          <w:u w:val="single"/>
        </w:rPr>
      </w:pPr>
      <w:r w:rsidRPr="0021016D">
        <w:rPr>
          <w:rFonts w:ascii="Arial" w:hAnsi="Arial" w:cs="Arial"/>
          <w:i/>
          <w:sz w:val="22"/>
          <w:szCs w:val="22"/>
          <w:u w:val="single"/>
        </w:rPr>
        <w:t xml:space="preserve">Komentář: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V diskusi o jednotlivých bodech návrhu na předsednictvu RVVI bylo konstatováno, že na „poučení z </w:t>
      </w:r>
      <w:proofErr w:type="spellStart"/>
      <w:r w:rsidRPr="0021016D">
        <w:rPr>
          <w:rFonts w:ascii="Arial" w:hAnsi="Arial" w:cs="Arial"/>
          <w:i/>
          <w:sz w:val="22"/>
          <w:szCs w:val="22"/>
        </w:rPr>
        <w:t>kovidu</w:t>
      </w:r>
      <w:proofErr w:type="spellEnd"/>
      <w:r w:rsidRPr="0021016D">
        <w:rPr>
          <w:rFonts w:ascii="Arial" w:hAnsi="Arial" w:cs="Arial"/>
          <w:i/>
          <w:sz w:val="22"/>
          <w:szCs w:val="22"/>
        </w:rPr>
        <w:t xml:space="preserve">“ je ještě čas. Autorka návrhu s tímto nesouhlasí, protože všechny mezinárodní organizace a řada obdobných </w:t>
      </w:r>
      <w:proofErr w:type="spellStart"/>
      <w:r w:rsidRPr="0021016D">
        <w:rPr>
          <w:rFonts w:ascii="Arial" w:hAnsi="Arial" w:cs="Arial"/>
          <w:i/>
          <w:sz w:val="22"/>
          <w:szCs w:val="22"/>
        </w:rPr>
        <w:t>boardů</w:t>
      </w:r>
      <w:proofErr w:type="spellEnd"/>
      <w:r w:rsidRPr="0021016D">
        <w:rPr>
          <w:rFonts w:ascii="Arial" w:hAnsi="Arial" w:cs="Arial"/>
          <w:i/>
          <w:sz w:val="22"/>
          <w:szCs w:val="22"/>
        </w:rPr>
        <w:t xml:space="preserve"> na situaci již reagovala – viz Národní plán obnovy. Zdá se, že „</w:t>
      </w:r>
      <w:proofErr w:type="spellStart"/>
      <w:r w:rsidRPr="0021016D">
        <w:rPr>
          <w:rFonts w:ascii="Arial" w:hAnsi="Arial" w:cs="Arial"/>
          <w:i/>
          <w:sz w:val="22"/>
          <w:szCs w:val="22"/>
        </w:rPr>
        <w:t>lessons</w:t>
      </w:r>
      <w:proofErr w:type="spellEnd"/>
      <w:r w:rsidRPr="0021016D">
        <w:rPr>
          <w:rFonts w:ascii="Arial" w:hAnsi="Arial" w:cs="Arial"/>
          <w:i/>
          <w:sz w:val="22"/>
          <w:szCs w:val="22"/>
        </w:rPr>
        <w:t xml:space="preserve"> </w:t>
      </w:r>
      <w:proofErr w:type="spellStart"/>
      <w:r w:rsidRPr="0021016D">
        <w:rPr>
          <w:rFonts w:ascii="Arial" w:hAnsi="Arial" w:cs="Arial"/>
          <w:i/>
          <w:sz w:val="22"/>
          <w:szCs w:val="22"/>
        </w:rPr>
        <w:t>learned</w:t>
      </w:r>
      <w:proofErr w:type="spellEnd"/>
      <w:r w:rsidRPr="0021016D">
        <w:rPr>
          <w:rFonts w:ascii="Arial" w:hAnsi="Arial" w:cs="Arial"/>
          <w:i/>
          <w:sz w:val="22"/>
          <w:szCs w:val="22"/>
        </w:rPr>
        <w:t xml:space="preserve">“ je v ČR chápán politicky, o to však nejde, jde o reflexi </w:t>
      </w:r>
      <w:proofErr w:type="spellStart"/>
      <w:r w:rsidRPr="0021016D">
        <w:rPr>
          <w:rFonts w:ascii="Arial" w:hAnsi="Arial" w:cs="Arial"/>
          <w:i/>
          <w:sz w:val="22"/>
          <w:szCs w:val="22"/>
        </w:rPr>
        <w:t>kovidové</w:t>
      </w:r>
      <w:proofErr w:type="spellEnd"/>
      <w:r w:rsidRPr="0021016D">
        <w:rPr>
          <w:rFonts w:ascii="Arial" w:hAnsi="Arial" w:cs="Arial"/>
          <w:i/>
          <w:sz w:val="22"/>
          <w:szCs w:val="22"/>
        </w:rPr>
        <w:t xml:space="preserve"> pandemie v realizaci NP </w:t>
      </w:r>
      <w:proofErr w:type="spellStart"/>
      <w:r w:rsidRPr="0021016D">
        <w:rPr>
          <w:rFonts w:ascii="Arial" w:hAnsi="Arial" w:cs="Arial"/>
          <w:i/>
          <w:sz w:val="22"/>
          <w:szCs w:val="22"/>
        </w:rPr>
        <w:t>VaVaI</w:t>
      </w:r>
      <w:proofErr w:type="spellEnd"/>
      <w:r w:rsidRPr="0021016D">
        <w:rPr>
          <w:rFonts w:ascii="Arial" w:hAnsi="Arial" w:cs="Arial"/>
          <w:i/>
          <w:sz w:val="22"/>
          <w:szCs w:val="22"/>
        </w:rPr>
        <w:t xml:space="preserve"> 21+.</w:t>
      </w:r>
    </w:p>
    <w:p w:rsidR="00533F4E" w:rsidRPr="0021016D" w:rsidRDefault="00533F4E" w:rsidP="00533F4E">
      <w:pPr>
        <w:pStyle w:val="Odstavecseseznamem"/>
        <w:numPr>
          <w:ilvl w:val="0"/>
          <w:numId w:val="25"/>
        </w:numPr>
        <w:rPr>
          <w:rFonts w:ascii="Arial" w:hAnsi="Arial" w:cs="Arial"/>
          <w:b/>
          <w:bCs/>
          <w:sz w:val="22"/>
          <w:szCs w:val="22"/>
        </w:rPr>
      </w:pPr>
      <w:r w:rsidRPr="0021016D">
        <w:rPr>
          <w:rFonts w:ascii="Arial" w:hAnsi="Arial" w:cs="Arial"/>
          <w:b/>
          <w:bCs/>
          <w:sz w:val="22"/>
          <w:szCs w:val="22"/>
        </w:rPr>
        <w:t xml:space="preserve">Velké společenské výzvy – příprava podkladu pro opatření 27 NP </w:t>
      </w:r>
      <w:proofErr w:type="spellStart"/>
      <w:r w:rsidRPr="0021016D">
        <w:rPr>
          <w:rFonts w:ascii="Arial" w:hAnsi="Arial" w:cs="Arial"/>
          <w:b/>
          <w:bCs/>
          <w:sz w:val="22"/>
          <w:szCs w:val="22"/>
        </w:rPr>
        <w:t>VaVaI</w:t>
      </w:r>
      <w:proofErr w:type="spellEnd"/>
      <w:r w:rsidRPr="0021016D">
        <w:rPr>
          <w:rFonts w:ascii="Arial" w:hAnsi="Arial" w:cs="Arial"/>
          <w:b/>
          <w:bCs/>
          <w:sz w:val="22"/>
          <w:szCs w:val="22"/>
        </w:rPr>
        <w:t xml:space="preserve"> 2021+</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u w:val="single"/>
        </w:rPr>
        <w:t>Původní námět:</w:t>
      </w:r>
    </w:p>
    <w:p w:rsidR="00533F4E" w:rsidRPr="0021016D" w:rsidRDefault="00533F4E" w:rsidP="00533F4E">
      <w:pPr>
        <w:spacing w:after="120"/>
        <w:jc w:val="both"/>
        <w:rPr>
          <w:rFonts w:ascii="Arial" w:hAnsi="Arial" w:cs="Arial"/>
          <w:sz w:val="22"/>
          <w:szCs w:val="22"/>
        </w:rPr>
      </w:pPr>
      <w:r w:rsidRPr="0021016D">
        <w:rPr>
          <w:rFonts w:ascii="Arial" w:hAnsi="Arial" w:cs="Arial"/>
          <w:sz w:val="22"/>
          <w:szCs w:val="22"/>
        </w:rPr>
        <w:t xml:space="preserve">Doporučuji připravit pro RVVI zprávu, které výsledky výzkumu lze využít pro formulování nových národních priorit orientovaného výzkumu a informaci o projektu, který probíhá v rámci projektu FUTURE-PRO v programu BETA2, podobně v odborné podpoře RIS3 v rámci projektu z OP VVV.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Stav:</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t>Plněno částečně</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u w:val="single"/>
        </w:rPr>
        <w:t>Komentář:</w:t>
      </w:r>
      <w:r w:rsidRPr="0021016D">
        <w:rPr>
          <w:rFonts w:ascii="Arial" w:hAnsi="Arial" w:cs="Arial"/>
          <w:i/>
          <w:sz w:val="22"/>
          <w:szCs w:val="22"/>
        </w:rPr>
        <w:t xml:space="preserve"> </w:t>
      </w:r>
    </w:p>
    <w:p w:rsidR="00533F4E" w:rsidRPr="0021016D" w:rsidRDefault="00533F4E" w:rsidP="00533F4E">
      <w:pPr>
        <w:spacing w:after="120"/>
        <w:jc w:val="both"/>
        <w:rPr>
          <w:rFonts w:ascii="Arial" w:hAnsi="Arial" w:cs="Arial"/>
          <w:i/>
          <w:sz w:val="22"/>
          <w:szCs w:val="22"/>
        </w:rPr>
      </w:pPr>
      <w:r w:rsidRPr="0021016D">
        <w:rPr>
          <w:rFonts w:ascii="Arial" w:hAnsi="Arial" w:cs="Arial"/>
          <w:i/>
          <w:sz w:val="22"/>
          <w:szCs w:val="22"/>
        </w:rPr>
        <w:lastRenderedPageBreak/>
        <w:t xml:space="preserve">Výsledky 1.minitendru projektu </w:t>
      </w:r>
      <w:r w:rsidRPr="0021016D">
        <w:rPr>
          <w:rFonts w:ascii="Arial" w:hAnsi="Arial" w:cs="Arial"/>
          <w:i/>
          <w:caps/>
          <w:sz w:val="22"/>
          <w:szCs w:val="22"/>
        </w:rPr>
        <w:t>Future-pro</w:t>
      </w:r>
      <w:r w:rsidRPr="0021016D">
        <w:rPr>
          <w:rFonts w:ascii="Arial" w:hAnsi="Arial" w:cs="Arial"/>
          <w:i/>
          <w:sz w:val="22"/>
          <w:szCs w:val="22"/>
        </w:rPr>
        <w:t xml:space="preserve"> jsou součástí veřejné zakázky „Analytická a koncepční podpora Rady pro výzkum, vývoj a inovace“, kterou připravuje Úřad vlády České republiky podle zadání Rady. Využití výsledků pro potřeby RIS3 je zajištěno v působnosti Ministerstva průmyslu a obchodu, jak bylo sděleno na jednáních k výsledkům projektu </w:t>
      </w:r>
      <w:r w:rsidRPr="0021016D">
        <w:rPr>
          <w:rFonts w:ascii="Arial" w:hAnsi="Arial" w:cs="Arial"/>
          <w:i/>
          <w:caps/>
          <w:sz w:val="22"/>
          <w:szCs w:val="22"/>
        </w:rPr>
        <w:t>Future-pro. V </w:t>
      </w:r>
      <w:r w:rsidRPr="0021016D">
        <w:rPr>
          <w:rFonts w:ascii="Arial" w:hAnsi="Arial" w:cs="Arial"/>
          <w:i/>
          <w:sz w:val="22"/>
          <w:szCs w:val="22"/>
        </w:rPr>
        <w:t>práci je třeba pokračovat dle plánu stanoveného rámcovými podmínkami projektu.</w:t>
      </w:r>
    </w:p>
    <w:p w:rsidR="00533F4E" w:rsidRPr="0021016D" w:rsidRDefault="00533F4E" w:rsidP="00533F4E">
      <w:pPr>
        <w:spacing w:after="120"/>
        <w:jc w:val="both"/>
        <w:rPr>
          <w:rFonts w:ascii="Arial" w:hAnsi="Arial" w:cs="Arial"/>
          <w:sz w:val="22"/>
          <w:szCs w:val="22"/>
        </w:rPr>
      </w:pPr>
    </w:p>
    <w:p w:rsidR="00C42C24" w:rsidRPr="0021016D" w:rsidRDefault="00C42C24" w:rsidP="00F038F1">
      <w:pPr>
        <w:tabs>
          <w:tab w:val="left" w:pos="6195"/>
        </w:tabs>
        <w:rPr>
          <w:rFonts w:ascii="Arial" w:hAnsi="Arial" w:cs="Arial"/>
          <w:sz w:val="22"/>
          <w:szCs w:val="22"/>
          <w:lang w:eastAsia="en-US"/>
        </w:rPr>
      </w:pPr>
    </w:p>
    <w:sectPr w:rsidR="00C42C24" w:rsidRPr="0021016D" w:rsidSect="009758E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0CD" w:rsidRDefault="00B120CD" w:rsidP="008F77F6">
      <w:r>
        <w:separator/>
      </w:r>
    </w:p>
  </w:endnote>
  <w:endnote w:type="continuationSeparator" w:id="0">
    <w:p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10F" w:rsidRDefault="005F210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5F210F" w:rsidRPr="005F210F">
      <w:rPr>
        <w:rFonts w:ascii="Arial" w:hAnsi="Arial" w:cs="Arial"/>
        <w:sz w:val="18"/>
        <w:szCs w:val="18"/>
      </w:rPr>
      <w:t xml:space="preserve">Náměty pro činnost Rady v následujícím období  </w:t>
    </w:r>
    <w:bookmarkStart w:id="0" w:name="_GoBack"/>
    <w:bookmarkEnd w:id="0"/>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F210F">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F210F">
          <w:rPr>
            <w:rFonts w:ascii="Arial" w:hAnsi="Arial" w:cs="Arial"/>
            <w:noProof/>
            <w:sz w:val="18"/>
            <w:szCs w:val="18"/>
          </w:rPr>
          <w:t>6</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F210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F210F">
          <w:rPr>
            <w:rFonts w:ascii="Arial" w:hAnsi="Arial" w:cs="Arial"/>
            <w:noProof/>
            <w:sz w:val="18"/>
            <w:szCs w:val="18"/>
          </w:rPr>
          <w:t>6</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6C3AD3">
          <w:rPr>
            <w:rFonts w:ascii="Arial" w:hAnsi="Arial" w:cs="Arial"/>
            <w:sz w:val="18"/>
            <w:szCs w:val="18"/>
          </w:rPr>
          <w:t>Ing. Bízková, Ing. Marek, 21.10</w:t>
        </w:r>
        <w:r>
          <w:rPr>
            <w:rFonts w:ascii="Arial" w:hAnsi="Arial" w:cs="Arial"/>
            <w:sz w:val="18"/>
            <w:szCs w:val="18"/>
          </w:rPr>
          <w:t>. 2021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0CD" w:rsidRDefault="00B120CD" w:rsidP="008F77F6">
      <w:r>
        <w:separator/>
      </w:r>
    </w:p>
  </w:footnote>
  <w:footnote w:type="continuationSeparator" w:id="0">
    <w:p w:rsidR="00B120CD" w:rsidRDefault="00B120C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10F" w:rsidRDefault="005F210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D107D4B" wp14:editId="0CA3870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B120CD" w:rsidP="00F979AF">
          <w:pPr>
            <w:pStyle w:val="Zhlav"/>
            <w:jc w:val="center"/>
            <w:rPr>
              <w:rFonts w:ascii="Arial" w:hAnsi="Arial" w:cs="Arial"/>
              <w:b/>
              <w:color w:val="0070C0"/>
              <w:sz w:val="28"/>
              <w:szCs w:val="28"/>
            </w:rPr>
          </w:pPr>
          <w:r>
            <w:rPr>
              <w:rFonts w:ascii="Arial" w:hAnsi="Arial" w:cs="Arial"/>
              <w:b/>
              <w:color w:val="0070C0"/>
              <w:sz w:val="28"/>
              <w:szCs w:val="28"/>
            </w:rPr>
            <w:t>3</w:t>
          </w:r>
          <w:r w:rsidR="00F979AF">
            <w:rPr>
              <w:rFonts w:ascii="Arial" w:hAnsi="Arial" w:cs="Arial"/>
              <w:b/>
              <w:color w:val="0070C0"/>
              <w:sz w:val="28"/>
              <w:szCs w:val="28"/>
            </w:rPr>
            <w:t>72</w:t>
          </w:r>
          <w:r w:rsidRPr="00C12F55">
            <w:rPr>
              <w:rFonts w:ascii="Arial" w:hAnsi="Arial" w:cs="Arial"/>
              <w:b/>
              <w:color w:val="0070C0"/>
              <w:sz w:val="28"/>
              <w:szCs w:val="28"/>
            </w:rPr>
            <w:t>/</w:t>
          </w:r>
          <w:r w:rsidR="00F979AF">
            <w:rPr>
              <w:rFonts w:ascii="Arial" w:hAnsi="Arial" w:cs="Arial"/>
              <w:b/>
              <w:color w:val="0070C0"/>
              <w:sz w:val="28"/>
              <w:szCs w:val="28"/>
            </w:rPr>
            <w:t>A5</w:t>
          </w:r>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9">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5C5C77"/>
    <w:multiLevelType w:val="hybridMultilevel"/>
    <w:tmpl w:val="FFC4A6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4">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7"/>
  </w:num>
  <w:num w:numId="5">
    <w:abstractNumId w:val="15"/>
  </w:num>
  <w:num w:numId="6">
    <w:abstractNumId w:val="0"/>
  </w:num>
  <w:num w:numId="7">
    <w:abstractNumId w:val="5"/>
  </w:num>
  <w:num w:numId="8">
    <w:abstractNumId w:val="18"/>
  </w:num>
  <w:num w:numId="9">
    <w:abstractNumId w:val="8"/>
  </w:num>
  <w:num w:numId="10">
    <w:abstractNumId w:val="19"/>
  </w:num>
  <w:num w:numId="11">
    <w:abstractNumId w:val="17"/>
  </w:num>
  <w:num w:numId="12">
    <w:abstractNumId w:val="20"/>
  </w:num>
  <w:num w:numId="13">
    <w:abstractNumId w:val="16"/>
  </w:num>
  <w:num w:numId="14">
    <w:abstractNumId w:val="23"/>
  </w:num>
  <w:num w:numId="15">
    <w:abstractNumId w:val="11"/>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24"/>
  </w:num>
  <w:num w:numId="19">
    <w:abstractNumId w:val="1"/>
  </w:num>
  <w:num w:numId="20">
    <w:abstractNumId w:val="4"/>
  </w:num>
  <w:num w:numId="21">
    <w:abstractNumId w:val="22"/>
  </w:num>
  <w:num w:numId="22">
    <w:abstractNumId w:val="21"/>
  </w:num>
  <w:num w:numId="23">
    <w:abstractNumId w:val="3"/>
  </w:num>
  <w:num w:numId="24">
    <w:abstractNumId w:val="1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016D"/>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D3492"/>
    <w:rsid w:val="003E2B2F"/>
    <w:rsid w:val="003E3BB2"/>
    <w:rsid w:val="003E5D83"/>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3F4E"/>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210F"/>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3AD3"/>
    <w:rsid w:val="006C6371"/>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091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979AF"/>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vyzkum.cz" TargetMode="External"/><Relationship Id="rId4" Type="http://schemas.microsoft.com/office/2007/relationships/stylesWithEffects" Target="stylesWithEffects.xml"/><Relationship Id="rId9" Type="http://schemas.openxmlformats.org/officeDocument/2006/relationships/hyperlink" Target="http://www.vyzkum.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D6DD1-9CEC-45C8-97F2-9015BCCC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2217</Words>
  <Characters>13087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9</cp:revision>
  <cp:lastPrinted>2020-10-29T10:28:00Z</cp:lastPrinted>
  <dcterms:created xsi:type="dcterms:W3CDTF">2021-10-21T08:32:00Z</dcterms:created>
  <dcterms:modified xsi:type="dcterms:W3CDTF">2021-10-25T10:46:00Z</dcterms:modified>
</cp:coreProperties>
</file>