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173523" w:rsidP="00BA59AD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17352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Změna datových struktur IS </w:t>
            </w:r>
            <w:proofErr w:type="spellStart"/>
            <w:r w:rsidRPr="0017352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VaVaI</w:t>
            </w:r>
            <w:proofErr w:type="spellEnd"/>
            <w:r w:rsidRPr="0017352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pro potřeby Ministerstva financí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173523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F00597">
              <w:rPr>
                <w:rFonts w:ascii="Arial" w:hAnsi="Arial" w:cs="Arial"/>
                <w:b/>
                <w:color w:val="0070C0"/>
                <w:sz w:val="28"/>
                <w:szCs w:val="28"/>
              </w:rPr>
              <w:t>7</w:t>
            </w:r>
            <w:r w:rsidR="00173523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151B3F">
              <w:rPr>
                <w:rFonts w:ascii="Arial" w:hAnsi="Arial" w:cs="Arial"/>
                <w:b/>
                <w:color w:val="0070C0"/>
                <w:sz w:val="28"/>
                <w:szCs w:val="28"/>
              </w:rPr>
              <w:t>B</w:t>
            </w:r>
            <w:r w:rsidR="00173523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F00597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Jurajda</w:t>
            </w:r>
            <w:proofErr w:type="spellEnd"/>
          </w:p>
        </w:tc>
      </w:tr>
      <w:tr w:rsidR="00F00597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F00597" w:rsidRPr="008F77F6" w:rsidRDefault="00F00597" w:rsidP="00F00597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00597" w:rsidRPr="0022488C" w:rsidRDefault="00F00597" w:rsidP="0017352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Rychtařík, OIT, </w:t>
            </w:r>
            <w:r w:rsidR="00173523">
              <w:rPr>
                <w:rFonts w:ascii="Arial" w:hAnsi="Arial" w:cs="Arial"/>
                <w:i/>
                <w:sz w:val="22"/>
                <w:szCs w:val="22"/>
              </w:rPr>
              <w:t>10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173523">
              <w:rPr>
                <w:rFonts w:ascii="Arial" w:hAnsi="Arial" w:cs="Arial"/>
                <w:i/>
                <w:sz w:val="22"/>
                <w:szCs w:val="22"/>
              </w:rPr>
              <w:t>11</w:t>
            </w:r>
            <w:r>
              <w:rPr>
                <w:rFonts w:ascii="Arial" w:hAnsi="Arial" w:cs="Arial"/>
                <w:i/>
                <w:sz w:val="22"/>
                <w:szCs w:val="22"/>
              </w:rPr>
              <w:t>. 2021</w:t>
            </w:r>
          </w:p>
        </w:tc>
      </w:tr>
      <w:tr w:rsidR="00F00597" w:rsidRPr="00DE2BC0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F00597" w:rsidRPr="0022488C" w:rsidRDefault="00F00597" w:rsidP="00F00597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2488C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F00597" w:rsidRPr="003F5A48" w:rsidRDefault="00A75D89" w:rsidP="00F00597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Změna datových struktur IS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pro potřeby Ministerstva financí</w:t>
            </w:r>
          </w:p>
          <w:p w:rsidR="00A75D89" w:rsidRDefault="00F00597" w:rsidP="00A75D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78C69362">
              <w:rPr>
                <w:rFonts w:ascii="Arial" w:hAnsi="Arial" w:cs="Arial"/>
                <w:sz w:val="22"/>
                <w:szCs w:val="22"/>
              </w:rPr>
              <w:t xml:space="preserve">V návaznosti na </w:t>
            </w:r>
            <w:r w:rsidR="00A75D89">
              <w:rPr>
                <w:rFonts w:ascii="Arial" w:hAnsi="Arial" w:cs="Arial"/>
                <w:sz w:val="22"/>
                <w:szCs w:val="22"/>
              </w:rPr>
              <w:t>schválení z</w:t>
            </w:r>
            <w:r w:rsidR="00A75D89" w:rsidRPr="00A75D89">
              <w:rPr>
                <w:rFonts w:ascii="Arial" w:hAnsi="Arial" w:cs="Arial"/>
                <w:sz w:val="22"/>
                <w:szCs w:val="22"/>
              </w:rPr>
              <w:t>ákon</w:t>
            </w:r>
            <w:r w:rsidR="00A75D89">
              <w:rPr>
                <w:rFonts w:ascii="Arial" w:hAnsi="Arial" w:cs="Arial"/>
                <w:sz w:val="22"/>
                <w:szCs w:val="22"/>
              </w:rPr>
              <w:t>a</w:t>
            </w:r>
            <w:r w:rsidR="00A75D89" w:rsidRPr="00A75D89">
              <w:rPr>
                <w:rFonts w:ascii="Arial" w:hAnsi="Arial" w:cs="Arial"/>
                <w:sz w:val="22"/>
                <w:szCs w:val="22"/>
              </w:rPr>
              <w:t xml:space="preserve"> č. 484/2020 Sb., kterým se mění zákon č. 218/2000 Sb., o rozpočtových pravidlech a o změně některých souvisejících zákonů (rozpočtová pravidla), ve znění pozdějších před</w:t>
            </w:r>
            <w:r w:rsidR="00A75D89">
              <w:rPr>
                <w:rFonts w:ascii="Arial" w:hAnsi="Arial" w:cs="Arial"/>
                <w:sz w:val="22"/>
                <w:szCs w:val="22"/>
              </w:rPr>
              <w:t xml:space="preserve">pisů, a další související zákony, je nezbytné realizovat </w:t>
            </w:r>
            <w:r w:rsidR="00A208B2">
              <w:rPr>
                <w:rFonts w:ascii="Arial" w:hAnsi="Arial" w:cs="Arial"/>
                <w:sz w:val="22"/>
                <w:szCs w:val="22"/>
              </w:rPr>
              <w:t>dodateč</w:t>
            </w:r>
            <w:r w:rsidR="00A75D89">
              <w:rPr>
                <w:rFonts w:ascii="Arial" w:hAnsi="Arial" w:cs="Arial"/>
                <w:sz w:val="22"/>
                <w:szCs w:val="22"/>
              </w:rPr>
              <w:t xml:space="preserve">né změny v datové struktuře IS </w:t>
            </w:r>
            <w:proofErr w:type="spellStart"/>
            <w:r w:rsidR="00A75D89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A208B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208B2" w:rsidRDefault="00A208B2" w:rsidP="00A208B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 účinností od 1. 1. 2022 se výše uvedeným zákonem mění zákon č. 130/2002 Sb., </w:t>
            </w:r>
            <w:r w:rsidRPr="00A208B2">
              <w:rPr>
                <w:rFonts w:ascii="Arial" w:hAnsi="Arial" w:cs="Arial"/>
                <w:sz w:val="22"/>
                <w:szCs w:val="22"/>
              </w:rPr>
              <w:t>o podpoře výzkumu, experimentálního vývoje a inovací z veřejných prostředků</w:t>
            </w:r>
            <w:r>
              <w:rPr>
                <w:rFonts w:ascii="Arial" w:hAnsi="Arial" w:cs="Arial"/>
                <w:sz w:val="22"/>
                <w:szCs w:val="22"/>
              </w:rPr>
              <w:t>, k</w:t>
            </w:r>
            <w:r w:rsidR="00436290">
              <w:rPr>
                <w:rFonts w:ascii="Arial" w:hAnsi="Arial" w:cs="Arial"/>
                <w:sz w:val="22"/>
                <w:szCs w:val="22"/>
              </w:rPr>
              <w:t>terým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4DC">
              <w:rPr>
                <w:rFonts w:ascii="Arial" w:hAnsi="Arial" w:cs="Arial"/>
                <w:sz w:val="22"/>
                <w:szCs w:val="22"/>
              </w:rPr>
              <w:t xml:space="preserve">se nově ukládá předávání údajů z IS </w:t>
            </w:r>
            <w:proofErr w:type="spellStart"/>
            <w:r w:rsidR="00D904DC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D904DC">
              <w:rPr>
                <w:rFonts w:ascii="Arial" w:hAnsi="Arial" w:cs="Arial"/>
                <w:sz w:val="22"/>
                <w:szCs w:val="22"/>
              </w:rPr>
              <w:t xml:space="preserve"> do informačních systémů Ministerstva financí,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4DC">
              <w:rPr>
                <w:rFonts w:ascii="Arial" w:hAnsi="Arial" w:cs="Arial"/>
                <w:sz w:val="22"/>
                <w:szCs w:val="22"/>
              </w:rPr>
              <w:t xml:space="preserve">a to dle § 31 odst. 11 </w:t>
            </w:r>
            <w:r w:rsidRPr="00A208B2">
              <w:rPr>
                <w:rFonts w:ascii="Arial" w:hAnsi="Arial" w:cs="Arial"/>
                <w:sz w:val="22"/>
                <w:szCs w:val="22"/>
              </w:rPr>
              <w:t xml:space="preserve"> písmeno e), které zní:</w:t>
            </w:r>
            <w:r w:rsidR="00D90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08B2">
              <w:rPr>
                <w:rFonts w:ascii="Arial" w:hAnsi="Arial" w:cs="Arial"/>
                <w:sz w:val="22"/>
                <w:szCs w:val="22"/>
              </w:rPr>
              <w:t>„e) Ministerstvu financí údaje do rozpočtového systému v rozsahu stanoveném rozpočtovými pravidly pro dotační neinvestiční akce,“.</w:t>
            </w:r>
            <w:r w:rsidR="009B4184">
              <w:rPr>
                <w:rFonts w:ascii="Arial" w:hAnsi="Arial" w:cs="Arial"/>
                <w:sz w:val="22"/>
                <w:szCs w:val="22"/>
              </w:rPr>
              <w:t xml:space="preserve"> Tímto </w:t>
            </w:r>
            <w:r w:rsidR="00436290">
              <w:rPr>
                <w:rFonts w:ascii="Arial" w:hAnsi="Arial" w:cs="Arial"/>
                <w:sz w:val="22"/>
                <w:szCs w:val="22"/>
              </w:rPr>
              <w:t>bodem</w:t>
            </w:r>
            <w:r w:rsidR="009B4184">
              <w:rPr>
                <w:rFonts w:ascii="Arial" w:hAnsi="Arial" w:cs="Arial"/>
                <w:sz w:val="22"/>
                <w:szCs w:val="22"/>
              </w:rPr>
              <w:t xml:space="preserve"> bude řešeno obousměrné předávání údajů mezi Zjednodušenou evidencí dotací a IS </w:t>
            </w:r>
            <w:proofErr w:type="spellStart"/>
            <w:r w:rsidR="009B4184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9B418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9B4184" w:rsidRDefault="009B4184" w:rsidP="00A208B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bude rozšířen o položky </w:t>
            </w:r>
            <w:r w:rsidRPr="009B4184">
              <w:rPr>
                <w:rFonts w:ascii="Arial" w:hAnsi="Arial" w:cs="Arial"/>
                <w:b/>
                <w:i/>
                <w:sz w:val="22"/>
                <w:szCs w:val="22"/>
              </w:rPr>
              <w:t>identifikátor Zjednodušené evidence dotací</w:t>
            </w:r>
            <w:r>
              <w:rPr>
                <w:rFonts w:ascii="Arial" w:hAnsi="Arial" w:cs="Arial"/>
                <w:sz w:val="22"/>
                <w:szCs w:val="22"/>
              </w:rPr>
              <w:t xml:space="preserve"> (ID ZED) </w:t>
            </w:r>
            <w:r w:rsidRPr="009B418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9B4184">
              <w:rPr>
                <w:rFonts w:ascii="Arial" w:hAnsi="Arial" w:cs="Arial"/>
                <w:b/>
                <w:i/>
                <w:sz w:val="22"/>
                <w:szCs w:val="22"/>
              </w:rPr>
              <w:t>stejnopis rozhodnutí o poskytnutí dotace nebo návratné finanční výpomoci nebo stejnopis dohody o poskytnutí dotace nebo návratné finanční výpomoci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E0D06" w:rsidRDefault="007E0D06" w:rsidP="00A208B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D06">
              <w:rPr>
                <w:rFonts w:ascii="Arial" w:hAnsi="Arial" w:cs="Arial"/>
                <w:sz w:val="22"/>
                <w:szCs w:val="22"/>
              </w:rPr>
              <w:t xml:space="preserve">Tímto krokem dojde ke snížení administrativní zátěže na straně poskytovatelů dotací, neboť nebudou muset předávat data na dvě evidenční místa, ale pouze do IS </w:t>
            </w:r>
            <w:proofErr w:type="spellStart"/>
            <w:r w:rsidRPr="007E0D06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7E0D06">
              <w:rPr>
                <w:rFonts w:ascii="Arial" w:hAnsi="Arial" w:cs="Arial"/>
                <w:sz w:val="22"/>
                <w:szCs w:val="22"/>
              </w:rPr>
              <w:t>, ze kterého budou data automaticky předávána do rozpočtového informačního systému programového financování (RISPF) a následně i do Centrální evidence dotací z rozpočtu (IS CEDR).</w:t>
            </w:r>
          </w:p>
          <w:p w:rsidR="00F00597" w:rsidRPr="0022488C" w:rsidRDefault="00F00597" w:rsidP="009B4184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78C69362">
              <w:rPr>
                <w:rFonts w:ascii="Arial" w:hAnsi="Arial" w:cs="Arial"/>
                <w:sz w:val="22"/>
                <w:szCs w:val="22"/>
              </w:rPr>
              <w:t>Navrhované změny byly projednány s poskytovateli na pracovním jednání dne 23. 9. 2021 a jsou v souladu s rámcem stanovený zákonem č. 130/2002 Sb., o podpoře výzkumu, experimentálního vývoje a inovací z veřejných prostředků</w:t>
            </w:r>
            <w:r w:rsidR="009B41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00597" w:rsidRPr="00DE2BC0" w:rsidTr="00A805E4">
        <w:trPr>
          <w:trHeight w:val="96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F00597" w:rsidRPr="00AB734E" w:rsidRDefault="00F00597" w:rsidP="00F00597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F00597" w:rsidRPr="00826B2F" w:rsidRDefault="00436290" w:rsidP="00436290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Bez příloh.</w:t>
            </w:r>
          </w:p>
        </w:tc>
      </w:tr>
    </w:tbl>
    <w:p w:rsidR="00F86D54" w:rsidRDefault="004305E4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21" w:rsidRDefault="00574721" w:rsidP="008F77F6">
      <w:r>
        <w:separator/>
      </w:r>
    </w:p>
  </w:endnote>
  <w:endnote w:type="continuationSeparator" w:id="0">
    <w:p w:rsidR="00574721" w:rsidRDefault="0057472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21" w:rsidRDefault="00574721" w:rsidP="008F77F6">
      <w:r>
        <w:separator/>
      </w:r>
    </w:p>
  </w:footnote>
  <w:footnote w:type="continuationSeparator" w:id="0">
    <w:p w:rsidR="00574721" w:rsidRDefault="0057472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2179C"/>
    <w:multiLevelType w:val="hybridMultilevel"/>
    <w:tmpl w:val="438CC002"/>
    <w:lvl w:ilvl="0" w:tplc="A54280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4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5"/>
  </w:num>
  <w:num w:numId="5">
    <w:abstractNumId w:val="16"/>
  </w:num>
  <w:num w:numId="6">
    <w:abstractNumId w:val="6"/>
  </w:num>
  <w:num w:numId="7">
    <w:abstractNumId w:val="13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8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73523"/>
    <w:rsid w:val="001A0E30"/>
    <w:rsid w:val="001D5092"/>
    <w:rsid w:val="001F03C7"/>
    <w:rsid w:val="00206A41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514A"/>
    <w:rsid w:val="002F01DD"/>
    <w:rsid w:val="002F1937"/>
    <w:rsid w:val="0031020D"/>
    <w:rsid w:val="003119BB"/>
    <w:rsid w:val="00316707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3625"/>
    <w:rsid w:val="003C6FA0"/>
    <w:rsid w:val="003D2395"/>
    <w:rsid w:val="003E5A9B"/>
    <w:rsid w:val="003F0A5D"/>
    <w:rsid w:val="003F17E1"/>
    <w:rsid w:val="004305E4"/>
    <w:rsid w:val="00436290"/>
    <w:rsid w:val="00445353"/>
    <w:rsid w:val="00460F48"/>
    <w:rsid w:val="00492E38"/>
    <w:rsid w:val="00494A1F"/>
    <w:rsid w:val="004A1EB6"/>
    <w:rsid w:val="004C5843"/>
    <w:rsid w:val="004D1F1A"/>
    <w:rsid w:val="005333AC"/>
    <w:rsid w:val="00543506"/>
    <w:rsid w:val="00553297"/>
    <w:rsid w:val="00574721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13180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0D06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D475C"/>
    <w:rsid w:val="008E3BDB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A6F62"/>
    <w:rsid w:val="009B4184"/>
    <w:rsid w:val="009B577B"/>
    <w:rsid w:val="009C0869"/>
    <w:rsid w:val="009D6D4B"/>
    <w:rsid w:val="009E1C79"/>
    <w:rsid w:val="009E3E22"/>
    <w:rsid w:val="009F753F"/>
    <w:rsid w:val="00A11B06"/>
    <w:rsid w:val="00A208B2"/>
    <w:rsid w:val="00A220CF"/>
    <w:rsid w:val="00A3416C"/>
    <w:rsid w:val="00A51417"/>
    <w:rsid w:val="00A64E61"/>
    <w:rsid w:val="00A66952"/>
    <w:rsid w:val="00A72F76"/>
    <w:rsid w:val="00A754EB"/>
    <w:rsid w:val="00A75D89"/>
    <w:rsid w:val="00A805E4"/>
    <w:rsid w:val="00AA1B8F"/>
    <w:rsid w:val="00AA51BE"/>
    <w:rsid w:val="00AA7217"/>
    <w:rsid w:val="00AB734E"/>
    <w:rsid w:val="00AD7E5C"/>
    <w:rsid w:val="00AE7D40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59AD"/>
    <w:rsid w:val="00BA79EA"/>
    <w:rsid w:val="00BC66E7"/>
    <w:rsid w:val="00BF1C46"/>
    <w:rsid w:val="00C20639"/>
    <w:rsid w:val="00C24E8C"/>
    <w:rsid w:val="00C341FB"/>
    <w:rsid w:val="00C720F5"/>
    <w:rsid w:val="00C760D4"/>
    <w:rsid w:val="00C92F11"/>
    <w:rsid w:val="00CC463E"/>
    <w:rsid w:val="00CE7925"/>
    <w:rsid w:val="00D01FEB"/>
    <w:rsid w:val="00D109B0"/>
    <w:rsid w:val="00D27C56"/>
    <w:rsid w:val="00D32B4C"/>
    <w:rsid w:val="00D4395B"/>
    <w:rsid w:val="00D8534E"/>
    <w:rsid w:val="00D904DC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F00597"/>
    <w:rsid w:val="00F01F87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"/>
    <w:basedOn w:val="Normln"/>
    <w:link w:val="OdstavecseseznamemChar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005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Název grafu Char,nad 1 Char"/>
    <w:link w:val="Odstavecseseznamem"/>
    <w:uiPriority w:val="34"/>
    <w:locked/>
    <w:rsid w:val="00F005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"/>
    <w:basedOn w:val="Normln"/>
    <w:link w:val="OdstavecseseznamemChar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005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Název grafu Char,nad 1 Char"/>
    <w:link w:val="Odstavecseseznamem"/>
    <w:uiPriority w:val="34"/>
    <w:locked/>
    <w:rsid w:val="00F005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7</cp:revision>
  <cp:lastPrinted>2019-02-07T12:43:00Z</cp:lastPrinted>
  <dcterms:created xsi:type="dcterms:W3CDTF">2021-09-15T11:55:00Z</dcterms:created>
  <dcterms:modified xsi:type="dcterms:W3CDTF">2021-12-10T07:14:00Z</dcterms:modified>
</cp:coreProperties>
</file>