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5E" w:rsidRPr="009C0F5E" w:rsidRDefault="00B257AD" w:rsidP="009C0F5E">
      <w:pPr>
        <w:pStyle w:val="Nadpisdokumentu"/>
        <w:jc w:val="center"/>
        <w:rPr>
          <w:rFonts w:asciiTheme="minorHAnsi" w:hAnsiTheme="minorHAnsi"/>
          <w:noProof w:val="0"/>
          <w:sz w:val="32"/>
          <w:szCs w:val="32"/>
        </w:rPr>
      </w:pPr>
      <w:r w:rsidRPr="009C0F5E">
        <w:rPr>
          <w:rFonts w:asciiTheme="minorHAnsi" w:hAnsiTheme="minorHAnsi"/>
          <w:noProof w:val="0"/>
          <w:sz w:val="32"/>
          <w:szCs w:val="32"/>
        </w:rPr>
        <w:t>Vědecká rada Grantové agentury České republiky</w:t>
      </w:r>
    </w:p>
    <w:p w:rsidR="009C0F5E" w:rsidRPr="009C0F5E" w:rsidRDefault="00B257AD" w:rsidP="009C0F5E">
      <w:pPr>
        <w:pStyle w:val="Nadpisdokumentu"/>
        <w:jc w:val="center"/>
        <w:rPr>
          <w:rFonts w:asciiTheme="minorHAnsi" w:hAnsiTheme="minorHAnsi"/>
          <w:b w:val="0"/>
          <w:bCs/>
          <w:noProof w:val="0"/>
          <w:sz w:val="32"/>
          <w:szCs w:val="32"/>
        </w:rPr>
      </w:pPr>
      <w:r w:rsidRPr="009C0F5E">
        <w:rPr>
          <w:rFonts w:asciiTheme="minorHAnsi" w:hAnsiTheme="minorHAnsi"/>
          <w:b w:val="0"/>
          <w:bCs/>
          <w:noProof w:val="0"/>
          <w:sz w:val="32"/>
          <w:szCs w:val="32"/>
        </w:rPr>
        <w:t>Plán práce na rok 2022</w:t>
      </w:r>
    </w:p>
    <w:p w:rsidR="009C0F5E" w:rsidRDefault="009C0F5E" w:rsidP="009C0F5E">
      <w:pPr>
        <w:rPr>
          <w:rFonts w:ascii="Arial" w:hAnsi="Arial" w:cs="Arial"/>
        </w:rPr>
      </w:pPr>
    </w:p>
    <w:p w:rsidR="009C0F5E" w:rsidRPr="00963BB4" w:rsidRDefault="009C0F5E" w:rsidP="009C0F5E">
      <w:pPr>
        <w:rPr>
          <w:rFonts w:ascii="Arial" w:hAnsi="Arial" w:cs="Arial"/>
        </w:rPr>
      </w:pPr>
    </w:p>
    <w:p w:rsidR="009C0F5E" w:rsidRPr="009C0F5E" w:rsidRDefault="00B257AD" w:rsidP="009C0F5E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0" w:name="_Toc305139153"/>
      <w:bookmarkStart w:id="1" w:name="_Toc337627274"/>
      <w:bookmarkStart w:id="2" w:name="_Toc523317996"/>
      <w:r w:rsidRPr="009C0F5E">
        <w:rPr>
          <w:rFonts w:asciiTheme="minorHAnsi" w:hAnsiTheme="minorHAnsi" w:cs="Arial"/>
          <w:sz w:val="28"/>
          <w:szCs w:val="28"/>
        </w:rPr>
        <w:t>Úvod</w:t>
      </w:r>
      <w:bookmarkEnd w:id="0"/>
      <w:bookmarkEnd w:id="1"/>
      <w:bookmarkEnd w:id="2"/>
    </w:p>
    <w:p w:rsidR="009C0F5E" w:rsidRPr="009C0F5E" w:rsidRDefault="00B257AD" w:rsidP="00B00D0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bookmarkStart w:id="3" w:name="_Toc337627276"/>
      <w:bookmarkStart w:id="4" w:name="_Toc305139154"/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Vědecká rada Grantové agentury České republiky (dále jen „Vědecká rada“) plánuje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pro rok 2022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čtyři zasedání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to v měsících březnu, červnu, říjnu a prosinci. Termíny zasedání budou </w:t>
      </w:r>
      <w:r>
        <w:rPr>
          <w:rFonts w:asciiTheme="majorHAnsi" w:hAnsiTheme="majorHAnsi" w:cstheme="majorHAnsi"/>
          <w:color w:val="000000" w:themeColor="text1"/>
          <w:sz w:val="22"/>
        </w:rPr>
        <w:t>stanoveny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tak, aby se zasedání mohlo účastnit co nejvíc členů Vědecké rady. Na svém prvním zasedání dne 22. března 2019 Vědecká rada rozhodla, že se zahraniční členové musí účastnit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nejméně dvou zasedání</w:t>
      </w:r>
      <w:r w:rsidR="00C4658F">
        <w:rPr>
          <w:rFonts w:asciiTheme="majorHAnsi" w:hAnsiTheme="majorHAnsi" w:cstheme="majorHAnsi"/>
          <w:color w:val="000000" w:themeColor="text1"/>
          <w:sz w:val="22"/>
        </w:rPr>
        <w:t xml:space="preserve"> prezenčně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, přičemž dalších dvou zasedání se 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mohou účastnit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formou online. Toto rozhodnutí bylo v souvislosti s epidemií onemocnění </w:t>
      </w:r>
      <w:r>
        <w:rPr>
          <w:rFonts w:asciiTheme="majorHAnsi" w:hAnsiTheme="majorHAnsi" w:cstheme="majorHAnsi"/>
          <w:color w:val="000000" w:themeColor="text1"/>
          <w:sz w:val="22"/>
        </w:rPr>
        <w:t>covid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-19 na 6. zasedání 9. října 2020 změněno tak, že se členové Vědecké rady mohou účastnit zasání for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mou online ve všech odůvodněných případech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to bez ohledu na počet zasedání v daném roce. </w:t>
      </w:r>
      <w:r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šechna tři dosavadní zasedání</w:t>
      </w:r>
      <w:r>
        <w:rPr>
          <w:rFonts w:asciiTheme="majorHAnsi" w:hAnsiTheme="majorHAnsi" w:cstheme="majorHAnsi"/>
          <w:color w:val="000000" w:themeColor="text1"/>
          <w:sz w:val="22"/>
        </w:rPr>
        <w:t xml:space="preserve"> se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v roce 2021 uskutečnila distanční formou </w:t>
      </w:r>
      <w:r>
        <w:rPr>
          <w:rFonts w:asciiTheme="majorHAnsi" w:hAnsiTheme="majorHAnsi" w:cstheme="majorHAnsi"/>
          <w:color w:val="000000" w:themeColor="text1"/>
          <w:sz w:val="22"/>
        </w:rPr>
        <w:t>prostřednictvím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platform</w:t>
      </w:r>
      <w:r>
        <w:rPr>
          <w:rFonts w:asciiTheme="majorHAnsi" w:hAnsiTheme="majorHAnsi" w:cstheme="majorHAnsi"/>
          <w:color w:val="000000" w:themeColor="text1"/>
          <w:sz w:val="22"/>
        </w:rPr>
        <w:t>y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MS Teams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. Forma jednotlivých zasedání v roce 2022 bude zvolena s ohledem na aktuální rozsah epidemie onemocnění </w:t>
      </w:r>
      <w:r>
        <w:rPr>
          <w:rFonts w:asciiTheme="majorHAnsi" w:hAnsiTheme="majorHAnsi" w:cstheme="majorHAnsi"/>
          <w:color w:val="000000" w:themeColor="text1"/>
          <w:sz w:val="22"/>
        </w:rPr>
        <w:t>covid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-19. Všechna zasedání Vědecké rady bude řídit její předseda prof. Ing. Jaroslav Doležel, DrSc.</w:t>
      </w:r>
    </w:p>
    <w:p w:rsidR="009C0F5E" w:rsidRPr="009C0F5E" w:rsidRDefault="00B257AD" w:rsidP="009C0F5E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bookmarkStart w:id="5" w:name="_Toc523317997"/>
      <w:bookmarkEnd w:id="3"/>
      <w:r w:rsidRPr="009C0F5E">
        <w:rPr>
          <w:rFonts w:asciiTheme="minorHAnsi" w:hAnsiTheme="minorHAnsi" w:cs="Arial"/>
          <w:sz w:val="28"/>
          <w:szCs w:val="28"/>
        </w:rPr>
        <w:t>Složení vědecké rady</w:t>
      </w:r>
      <w:bookmarkEnd w:id="5"/>
    </w:p>
    <w:bookmarkEnd w:id="4"/>
    <w:p w:rsidR="009C0F5E" w:rsidRPr="009C0F5E" w:rsidRDefault="00B257AD" w:rsidP="00B00D0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>Vědecká rada byla na základě ná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vrhu předloženého Radou pro výzkum, vývoj a inovace jmenována usnesením vlády ze dne 17. prosince 2018 č. 862 ve složení v platném k 22. prosinci 2018. Po rezignacích prof. Dr. Helmuta Schwarze </w:t>
      </w:r>
      <w:r>
        <w:rPr>
          <w:rFonts w:asciiTheme="majorHAnsi" w:hAnsiTheme="majorHAnsi" w:cstheme="majorHAnsi"/>
          <w:color w:val="000000" w:themeColor="text1"/>
          <w:sz w:val="22"/>
        </w:rPr>
        <w:t>a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prof. PhDr. Petra Sommere, CSc., DSc.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na členství ve Vědeck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é radě byli s účinností k 30. listopadu 2020 jmenování novými členy Vědecké rady doc. Dr. Phil. Rudolf Kučera, Ph.D.</w:t>
      </w:r>
      <w:r>
        <w:rPr>
          <w:rFonts w:asciiTheme="majorHAnsi" w:hAnsiTheme="majorHAnsi" w:cstheme="majorHAnsi"/>
          <w:color w:val="000000" w:themeColor="text1"/>
          <w:sz w:val="22"/>
        </w:rPr>
        <w:t>,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prof. RNDr. Michal Otyepka, Ph.D. Od této doby pracuje Vědecká rada v tomto složení: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Ing. Jaroslav Doležel, DrSc. (předseda)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</w:t>
      </w:r>
      <w:r w:rsidRPr="009C0F5E">
        <w:rPr>
          <w:rFonts w:cstheme="majorHAnsi"/>
          <w:color w:val="000000" w:themeColor="text1"/>
        </w:rPr>
        <w:t xml:space="preserve"> RNDr. Pavel Exner, DrSc.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Ing. Martin Hartl, Ph.D.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Ing. Štěpán Jurajda, Ph.D.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doc. Dr. Phil. Rudolf Kučera, Ph.D.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Bengt J. F. Nordén, Dr. mult, honFRSC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RNDr. Michal Otyepka, Ph.D.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Jana Roithovová, Ph.D.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Avner Shaked, Ph.</w:t>
      </w:r>
      <w:r w:rsidRPr="009C0F5E">
        <w:rPr>
          <w:rFonts w:cstheme="majorHAnsi"/>
          <w:color w:val="000000" w:themeColor="text1"/>
        </w:rPr>
        <w:t>D.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MUDr. Aleksi Šedo, DrSc.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 xml:space="preserve">prof. Ing. František Štěpánek, Ph.D. (místopředseda) </w:t>
      </w:r>
    </w:p>
    <w:p w:rsidR="009C0F5E" w:rsidRPr="009C0F5E" w:rsidRDefault="00B257AD" w:rsidP="009C0F5E">
      <w:pPr>
        <w:pStyle w:val="Odstavecseseznamem"/>
        <w:numPr>
          <w:ilvl w:val="0"/>
          <w:numId w:val="7"/>
        </w:numPr>
        <w:spacing w:after="240"/>
        <w:rPr>
          <w:rFonts w:cstheme="majorHAnsi"/>
          <w:color w:val="000000" w:themeColor="text1"/>
        </w:rPr>
      </w:pPr>
      <w:r w:rsidRPr="009C0F5E">
        <w:rPr>
          <w:rFonts w:cstheme="majorHAnsi"/>
          <w:color w:val="000000" w:themeColor="text1"/>
        </w:rPr>
        <w:t>prof. MUDr. Jiří Zeman, DrSc.</w:t>
      </w:r>
      <w:bookmarkStart w:id="6" w:name="_Toc523317998"/>
    </w:p>
    <w:p w:rsidR="009C0F5E" w:rsidRDefault="009C0F5E" w:rsidP="009C0F5E">
      <w:pPr>
        <w:pStyle w:val="Odstavecseseznamem1"/>
        <w:autoSpaceDE w:val="0"/>
        <w:autoSpaceDN w:val="0"/>
        <w:adjustRightInd w:val="0"/>
        <w:spacing w:after="120"/>
        <w:rPr>
          <w:rFonts w:ascii="Arial" w:eastAsiaTheme="minorHAnsi" w:hAnsi="Arial" w:cs="Arial"/>
        </w:rPr>
      </w:pPr>
    </w:p>
    <w:p w:rsidR="009C0F5E" w:rsidRDefault="009C0F5E" w:rsidP="009C0F5E">
      <w:pPr>
        <w:pStyle w:val="Odstavecseseznamem1"/>
        <w:autoSpaceDE w:val="0"/>
        <w:autoSpaceDN w:val="0"/>
        <w:adjustRightInd w:val="0"/>
        <w:spacing w:after="120"/>
        <w:rPr>
          <w:rFonts w:ascii="Arial" w:eastAsiaTheme="minorHAnsi" w:hAnsi="Arial" w:cs="Arial"/>
        </w:rPr>
      </w:pPr>
    </w:p>
    <w:p w:rsidR="009C0F5E" w:rsidRPr="009C0F5E" w:rsidRDefault="00B257AD" w:rsidP="009C0F5E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Theme="minorHAnsi" w:hAnsiTheme="minorHAnsi" w:cs="Arial"/>
          <w:sz w:val="28"/>
          <w:szCs w:val="28"/>
        </w:rPr>
      </w:pPr>
      <w:r w:rsidRPr="009C0F5E">
        <w:rPr>
          <w:rFonts w:asciiTheme="minorHAnsi" w:hAnsiTheme="minorHAnsi" w:cs="Arial"/>
          <w:sz w:val="28"/>
          <w:szCs w:val="28"/>
        </w:rPr>
        <w:t xml:space="preserve">Plán činnosti Vědecké rady </w:t>
      </w:r>
      <w:bookmarkEnd w:id="6"/>
      <w:r w:rsidRPr="009C0F5E">
        <w:rPr>
          <w:rFonts w:asciiTheme="minorHAnsi" w:hAnsiTheme="minorHAnsi" w:cs="Arial"/>
          <w:sz w:val="28"/>
          <w:szCs w:val="28"/>
        </w:rPr>
        <w:t>v roce 2022</w:t>
      </w:r>
    </w:p>
    <w:p w:rsidR="009C0F5E" w:rsidRPr="009C0F5E" w:rsidRDefault="00B257AD" w:rsidP="009C0F5E">
      <w:pPr>
        <w:spacing w:after="120"/>
        <w:rPr>
          <w:rFonts w:asciiTheme="majorHAnsi" w:hAnsiTheme="majorHAnsi" w:cstheme="majorHAnsi"/>
          <w:color w:val="000000" w:themeColor="text1"/>
          <w:sz w:val="22"/>
        </w:rPr>
      </w:pPr>
      <w:bookmarkStart w:id="7" w:name="_Toc347334827"/>
      <w:bookmarkStart w:id="8" w:name="_Toc347335201"/>
      <w:bookmarkStart w:id="9" w:name="_Toc337627294"/>
      <w:bookmarkEnd w:id="7"/>
      <w:bookmarkEnd w:id="8"/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souladu se statutem schváleným předsednictvem GA ČR se bude Vědecká rada na svých zasedáních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věnovat těmto tematickým okruhům:</w:t>
      </w:r>
    </w:p>
    <w:p w:rsidR="009C0F5E" w:rsidRPr="009C0F5E" w:rsidRDefault="00B257AD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Ustavení a odborné zaměření oborových komisí</w:t>
      </w:r>
      <w:r>
        <w:rPr>
          <w:rFonts w:eastAsiaTheme="minorHAnsi" w:cstheme="majorHAnsi"/>
          <w:color w:val="000000" w:themeColor="text1"/>
          <w:szCs w:val="22"/>
          <w:lang w:eastAsia="en-US"/>
        </w:rPr>
        <w:t>,</w:t>
      </w:r>
    </w:p>
    <w:p w:rsidR="009C0F5E" w:rsidRPr="009C0F5E" w:rsidRDefault="00B257AD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Ustavení a odborné zaměření hodnot</w:t>
      </w:r>
      <w:r w:rsidR="00C4658F">
        <w:rPr>
          <w:rFonts w:eastAsiaTheme="minorHAnsi" w:cstheme="majorHAnsi"/>
          <w:color w:val="000000" w:themeColor="text1"/>
          <w:szCs w:val="22"/>
          <w:lang w:eastAsia="en-US"/>
        </w:rPr>
        <w:t>i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cích panelů,</w:t>
      </w:r>
    </w:p>
    <w:p w:rsidR="009C0F5E" w:rsidRPr="009C0F5E" w:rsidRDefault="00B257AD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Návrhy skupin grantových projektů a jejich zaměření,</w:t>
      </w:r>
    </w:p>
    <w:p w:rsidR="009C0F5E" w:rsidRPr="009C0F5E" w:rsidRDefault="00B257AD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Hodnocení přínosu GA ČR k rozvoji a kvalitě základního výzkumu v ČR,</w:t>
      </w:r>
    </w:p>
    <w:p w:rsidR="009C0F5E" w:rsidRPr="009C0F5E" w:rsidRDefault="00B257AD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Návrhy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 xml:space="preserve"> na řešení problémů souvisejících s činností GA ČR,</w:t>
      </w:r>
    </w:p>
    <w:p w:rsidR="009C0F5E" w:rsidRPr="009C0F5E" w:rsidRDefault="00B257AD" w:rsidP="009C0F5E">
      <w:pPr>
        <w:pStyle w:val="Odstavecseseznamem"/>
        <w:numPr>
          <w:ilvl w:val="0"/>
          <w:numId w:val="8"/>
        </w:numPr>
        <w:tabs>
          <w:tab w:val="clear" w:pos="709"/>
        </w:tabs>
        <w:overflowPunct/>
        <w:autoSpaceDE/>
        <w:autoSpaceDN/>
        <w:adjustRightInd/>
        <w:spacing w:before="0" w:after="24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Stanovisko k mezinárodní spolupráci GA ČR a podpora jejímu rozvoji.</w:t>
      </w:r>
    </w:p>
    <w:p w:rsidR="009C0F5E" w:rsidRPr="009C0F5E" w:rsidRDefault="00B257AD" w:rsidP="00B00D0E">
      <w:pPr>
        <w:spacing w:after="240"/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>Zasedání Vědecké rady budou mít formát, který se v předchozích letec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h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činnosti současné Vědecké rady ukázal jako velmi produktivní. Po s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chválení zápisu z minulého zasedání a případného dořešení záležitostí, které zůstaly otevřené, bude následovat informace předsednictva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o činnosti agentury od posledního zasedání Vědecké rady a o plánech činnosti na další období. Poté bude následovat 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hlavní bod programu, který bude věnován jednomu z klíč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o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vých témat, které bylo na zasedáních Vědecké rady v předchozích letech identifikováno jako zásadní pro další úspěšnou činnost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9C0F5E" w:rsidRPr="009C0F5E" w:rsidRDefault="00B257AD" w:rsidP="009C0F5E">
      <w:pPr>
        <w:spacing w:after="120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>Témata, která budou projednána na zasedáních Vědecké rady v roce 202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2: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Kvalita procesu hodnocení a výběru návrhů grantových projektů,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Předběžná analýzy úspěšnosti skupin grantových projektů EXPRO a JUNIOR STAR</w:t>
      </w:r>
      <w:r w:rsidR="00C4658F">
        <w:rPr>
          <w:rFonts w:eastAsiaTheme="minorHAnsi" w:cstheme="majorHAnsi"/>
          <w:color w:val="000000" w:themeColor="text1"/>
          <w:szCs w:val="22"/>
          <w:lang w:eastAsia="en-US"/>
        </w:rPr>
        <w:t>,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 xml:space="preserve">Analýza vlivu </w:t>
      </w:r>
      <w:r>
        <w:rPr>
          <w:rFonts w:eastAsiaTheme="minorHAnsi" w:cstheme="majorHAnsi"/>
          <w:color w:val="000000" w:themeColor="text1"/>
          <w:szCs w:val="22"/>
          <w:lang w:eastAsia="en-US"/>
        </w:rPr>
        <w:t>GA ČR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 xml:space="preserve"> na úroveň vědy v České republice,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Genderová rovnost a zohlednění rodičovství,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>
        <w:rPr>
          <w:rFonts w:eastAsiaTheme="minorHAnsi" w:cstheme="majorHAnsi"/>
          <w:color w:val="000000" w:themeColor="text1"/>
          <w:szCs w:val="22"/>
          <w:lang w:eastAsia="en-US"/>
        </w:rPr>
        <w:t>GA ČR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 xml:space="preserve"> a Open Sc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ience (Open Data),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Struktura a formát návrhů grantových projektů,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Revize tematického popisu hodnoticích panelů,</w:t>
      </w:r>
    </w:p>
    <w:p w:rsidR="009C0F5E" w:rsidRPr="009C0F5E" w:rsidRDefault="00B257AD" w:rsidP="009C0F5E">
      <w:pPr>
        <w:pStyle w:val="Odstavecseseznamem"/>
        <w:numPr>
          <w:ilvl w:val="0"/>
          <w:numId w:val="9"/>
        </w:numPr>
        <w:tabs>
          <w:tab w:val="clear" w:pos="709"/>
        </w:tabs>
        <w:overflowPunct/>
        <w:autoSpaceDE/>
        <w:autoSpaceDN/>
        <w:adjustRightInd/>
        <w:spacing w:before="0" w:after="360" w:line="276" w:lineRule="auto"/>
        <w:textAlignment w:val="auto"/>
        <w:rPr>
          <w:rFonts w:eastAsiaTheme="minorHAnsi" w:cstheme="majorHAnsi"/>
          <w:color w:val="000000" w:themeColor="text1"/>
          <w:szCs w:val="22"/>
          <w:lang w:eastAsia="en-US"/>
        </w:rPr>
      </w:pP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Výběr a kvalita členů hodnot</w:t>
      </w:r>
      <w:r w:rsidR="00C4658F">
        <w:rPr>
          <w:rFonts w:eastAsiaTheme="minorHAnsi" w:cstheme="majorHAnsi"/>
          <w:color w:val="000000" w:themeColor="text1"/>
          <w:szCs w:val="22"/>
          <w:lang w:eastAsia="en-US"/>
        </w:rPr>
        <w:t>i</w:t>
      </w:r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cích panelů</w:t>
      </w:r>
      <w:bookmarkEnd w:id="9"/>
      <w:r w:rsidRPr="009C0F5E">
        <w:rPr>
          <w:rFonts w:eastAsiaTheme="minorHAnsi" w:cstheme="majorHAnsi"/>
          <w:color w:val="000000" w:themeColor="text1"/>
          <w:szCs w:val="22"/>
          <w:lang w:eastAsia="en-US"/>
        </w:rPr>
        <w:t>.</w:t>
      </w:r>
    </w:p>
    <w:p w:rsidR="009C0F5E" w:rsidRPr="009C0F5E" w:rsidRDefault="00B257AD" w:rsidP="00B00D0E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 reakci na aktuální situaci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a vědy v České republice se Vědecká rada bude podle potřeby zabývat dalšími záležitostmi, včetně podnětů od členů Vědecké rady.</w:t>
      </w:r>
    </w:p>
    <w:p w:rsidR="009C0F5E" w:rsidRPr="009C0F5E" w:rsidRDefault="00B257AD" w:rsidP="00B00D0E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Všechna jednání budou i nadále vedena v anglickém jazyce, doporučení a rozhodnutí </w:t>
      </w:r>
      <w:r w:rsidR="00AF6154">
        <w:rPr>
          <w:rFonts w:asciiTheme="majorHAnsi" w:hAnsiTheme="majorHAnsi" w:cstheme="majorHAnsi"/>
          <w:color w:val="000000" w:themeColor="text1"/>
          <w:sz w:val="22"/>
        </w:rPr>
        <w:t>V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ědecké rady budou v souladu se statutem Věde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cké rady schvalovány hlasováním a ze zasedání budou pořizovány zápisy, které budou publikovány na web</w:t>
      </w:r>
      <w:r w:rsidR="00C4658F">
        <w:rPr>
          <w:rFonts w:asciiTheme="majorHAnsi" w:hAnsiTheme="majorHAnsi" w:cstheme="majorHAnsi"/>
          <w:color w:val="000000" w:themeColor="text1"/>
          <w:sz w:val="22"/>
        </w:rPr>
        <w:t>ové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 stránce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9C0F5E" w:rsidRPr="009C0F5E" w:rsidRDefault="00B257AD" w:rsidP="00B00D0E">
      <w:pPr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9C0F5E">
        <w:rPr>
          <w:rFonts w:asciiTheme="majorHAnsi" w:hAnsiTheme="majorHAnsi" w:cstheme="majorHAnsi"/>
          <w:color w:val="000000" w:themeColor="text1"/>
          <w:sz w:val="22"/>
        </w:rPr>
        <w:t>Vědecká rada bude i v roce 2022 na svá zasedání zvát zástupce RVVI a bude o své činnosti RVVI informovat. Předpokládá se také, že se jej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 xml:space="preserve">í zástupce účastní výjezdního zasedání předsednictva </w:t>
      </w:r>
      <w:r>
        <w:rPr>
          <w:rFonts w:asciiTheme="majorHAnsi" w:hAnsiTheme="majorHAnsi" w:cstheme="majorHAnsi"/>
          <w:color w:val="000000" w:themeColor="text1"/>
          <w:sz w:val="22"/>
        </w:rPr>
        <w:t>GA ČR</w:t>
      </w:r>
      <w:r w:rsidRPr="009C0F5E">
        <w:rPr>
          <w:rFonts w:asciiTheme="majorHAnsi" w:hAnsiTheme="majorHAnsi" w:cstheme="majorHAnsi"/>
          <w:color w:val="000000" w:themeColor="text1"/>
          <w:sz w:val="22"/>
        </w:rPr>
        <w:t>.</w:t>
      </w:r>
    </w:p>
    <w:p w:rsidR="00C67A60" w:rsidRPr="009C0F5E" w:rsidRDefault="00B257AD" w:rsidP="009C0F5E">
      <w:pPr>
        <w:rPr>
          <w:rFonts w:asciiTheme="majorHAnsi" w:hAnsiTheme="majorHAnsi" w:cs="Arial"/>
          <w:sz w:val="22"/>
        </w:rPr>
      </w:pPr>
      <w:r w:rsidRPr="009C0F5E">
        <w:rPr>
          <w:rFonts w:asciiTheme="majorHAnsi" w:hAnsiTheme="majorHAnsi" w:cs="Arial"/>
          <w:sz w:val="22"/>
        </w:rPr>
        <w:t xml:space="preserve"> </w:t>
      </w:r>
    </w:p>
    <w:sectPr w:rsidR="00C67A60" w:rsidRPr="009C0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257AD">
      <w:pPr>
        <w:spacing w:after="0" w:line="240" w:lineRule="auto"/>
      </w:pPr>
      <w:r>
        <w:separator/>
      </w:r>
    </w:p>
  </w:endnote>
  <w:endnote w:type="continuationSeparator" w:id="0">
    <w:p w:rsidR="00000000" w:rsidRDefault="00B25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T OT">
    <w:altName w:val="Times New Roman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6C" w:rsidRDefault="00D441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0F" w:rsidRDefault="0031270F">
    <w:pPr>
      <w:pStyle w:val="Zpat"/>
    </w:pPr>
  </w:p>
  <w:p w:rsidR="0031270F" w:rsidRDefault="00B257AD">
    <w:pPr>
      <w:pStyle w:val="Zpat"/>
    </w:pPr>
    <w:r w:rsidRPr="00D02650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-1127760</wp:posOffset>
          </wp:positionH>
          <wp:positionV relativeFrom="paragraph">
            <wp:posOffset>172085</wp:posOffset>
          </wp:positionV>
          <wp:extent cx="8015605" cy="1205230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258277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331"/>
                  <a:stretch>
                    <a:fillRect/>
                  </a:stretch>
                </pic:blipFill>
                <pic:spPr bwMode="auto">
                  <a:xfrm>
                    <a:off x="0" y="0"/>
                    <a:ext cx="8015605" cy="1205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2650" w:rsidRPr="00D02650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376555</wp:posOffset>
          </wp:positionH>
          <wp:positionV relativeFrom="paragraph">
            <wp:posOffset>259715</wp:posOffset>
          </wp:positionV>
          <wp:extent cx="5043170" cy="145415"/>
          <wp:effectExtent l="0" t="0" r="5080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8381292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43170" cy="145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6C" w:rsidRDefault="00D441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257AD">
      <w:pPr>
        <w:spacing w:after="0" w:line="240" w:lineRule="auto"/>
      </w:pPr>
      <w:r>
        <w:separator/>
      </w:r>
    </w:p>
  </w:footnote>
  <w:footnote w:type="continuationSeparator" w:id="0">
    <w:p w:rsidR="00000000" w:rsidRDefault="00B25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6C" w:rsidRDefault="00D441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70F" w:rsidRDefault="00B257A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22713</wp:posOffset>
          </wp:positionH>
          <wp:positionV relativeFrom="paragraph">
            <wp:posOffset>7620</wp:posOffset>
          </wp:positionV>
          <wp:extent cx="1920240" cy="660400"/>
          <wp:effectExtent l="0" t="0" r="3810" b="635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7429942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Mkatabulky"/>
      <w:tblW w:w="1533" w:type="dxa"/>
      <w:tblInd w:w="8214" w:type="dxa"/>
      <w:tblLook w:val="04A0" w:firstRow="1" w:lastRow="0" w:firstColumn="1" w:lastColumn="0" w:noHBand="0" w:noVBand="1"/>
    </w:tblPr>
    <w:tblGrid>
      <w:gridCol w:w="1533"/>
    </w:tblGrid>
    <w:tr w:rsidR="00B257AD" w:rsidRPr="00C12F55" w:rsidTr="00B257AD">
      <w:trPr>
        <w:trHeight w:val="686"/>
      </w:trPr>
      <w:tc>
        <w:tcPr>
          <w:tcW w:w="153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B257AD" w:rsidRPr="00C12F55" w:rsidRDefault="00B257AD" w:rsidP="00B257AD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374</w:t>
          </w:r>
          <w:r w:rsidRPr="00C12F55">
            <w:rPr>
              <w:rFonts w:cs="Arial"/>
              <w:b/>
              <w:color w:val="0070C0"/>
              <w:sz w:val="28"/>
              <w:szCs w:val="28"/>
            </w:rPr>
            <w:t>/</w:t>
          </w:r>
          <w:r>
            <w:rPr>
              <w:rFonts w:cs="Arial"/>
              <w:b/>
              <w:color w:val="0070C0"/>
              <w:sz w:val="28"/>
              <w:szCs w:val="28"/>
            </w:rPr>
            <w:t>B4</w:t>
          </w:r>
          <w:bookmarkStart w:id="10" w:name="_GoBack"/>
          <w:bookmarkEnd w:id="10"/>
        </w:p>
      </w:tc>
    </w:tr>
  </w:tbl>
  <w:p w:rsidR="0031270F" w:rsidRDefault="0031270F">
    <w:pPr>
      <w:pStyle w:val="Zhlav"/>
    </w:pPr>
  </w:p>
  <w:p w:rsidR="0031270F" w:rsidRDefault="0031270F">
    <w:pPr>
      <w:pStyle w:val="Zhlav"/>
    </w:pPr>
  </w:p>
  <w:p w:rsidR="0031270F" w:rsidRDefault="0031270F">
    <w:pPr>
      <w:pStyle w:val="Zhlav"/>
    </w:pPr>
  </w:p>
  <w:p w:rsidR="0031270F" w:rsidRDefault="0031270F">
    <w:pPr>
      <w:pStyle w:val="Zhlav"/>
    </w:pPr>
  </w:p>
  <w:p w:rsidR="0031270F" w:rsidRDefault="003127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16C" w:rsidRDefault="00D441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17AB"/>
    <w:multiLevelType w:val="hybridMultilevel"/>
    <w:tmpl w:val="6F965DA0"/>
    <w:lvl w:ilvl="0" w:tplc="5E02033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4BE86D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A22A00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312787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88A2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18A6D8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B6E13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10C122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B8092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27242C"/>
    <w:multiLevelType w:val="hybridMultilevel"/>
    <w:tmpl w:val="C3F2B9A6"/>
    <w:lvl w:ilvl="0" w:tplc="76285B1A">
      <w:start w:val="1"/>
      <w:numFmt w:val="bullet"/>
      <w:lvlText w:val="­"/>
      <w:lvlJc w:val="left"/>
      <w:pPr>
        <w:ind w:left="1146" w:hanging="360"/>
      </w:pPr>
      <w:rPr>
        <w:rFonts w:ascii="Calibri" w:hAnsi="Calibri" w:hint="default"/>
      </w:rPr>
    </w:lvl>
    <w:lvl w:ilvl="1" w:tplc="696A9338">
      <w:start w:val="1"/>
      <w:numFmt w:val="bullet"/>
      <w:lvlText w:val="­"/>
      <w:lvlJc w:val="left"/>
      <w:pPr>
        <w:ind w:left="1866" w:hanging="360"/>
      </w:pPr>
      <w:rPr>
        <w:rFonts w:ascii="Calibri" w:hAnsi="Calibri" w:hint="default"/>
      </w:rPr>
    </w:lvl>
    <w:lvl w:ilvl="2" w:tplc="72CEAD6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7C40F5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E10D2D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0F815A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C388740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6A890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8ABF80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4CC63BA"/>
    <w:multiLevelType w:val="hybridMultilevel"/>
    <w:tmpl w:val="34A62278"/>
    <w:lvl w:ilvl="0" w:tplc="9D5C7DF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0F0CDA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DFEFE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8321CA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C6C971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B68D9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67AB38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1E126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EA50B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BE00E1"/>
    <w:multiLevelType w:val="hybridMultilevel"/>
    <w:tmpl w:val="A030D086"/>
    <w:lvl w:ilvl="0" w:tplc="BFBC104E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8"/>
        <w:szCs w:val="28"/>
      </w:rPr>
    </w:lvl>
    <w:lvl w:ilvl="1" w:tplc="EF423924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plc="925EA964" w:tentative="1">
      <w:start w:val="1"/>
      <w:numFmt w:val="lowerRoman"/>
      <w:lvlText w:val="%3."/>
      <w:lvlJc w:val="right"/>
      <w:pPr>
        <w:ind w:left="2084" w:hanging="180"/>
      </w:pPr>
    </w:lvl>
    <w:lvl w:ilvl="3" w:tplc="D96A5DB6" w:tentative="1">
      <w:start w:val="1"/>
      <w:numFmt w:val="decimal"/>
      <w:lvlText w:val="%4."/>
      <w:lvlJc w:val="left"/>
      <w:pPr>
        <w:ind w:left="2804" w:hanging="360"/>
      </w:pPr>
    </w:lvl>
    <w:lvl w:ilvl="4" w:tplc="853E1DAE" w:tentative="1">
      <w:start w:val="1"/>
      <w:numFmt w:val="lowerLetter"/>
      <w:lvlText w:val="%5."/>
      <w:lvlJc w:val="left"/>
      <w:pPr>
        <w:ind w:left="3524" w:hanging="360"/>
      </w:pPr>
    </w:lvl>
    <w:lvl w:ilvl="5" w:tplc="EEB88E4C" w:tentative="1">
      <w:start w:val="1"/>
      <w:numFmt w:val="lowerRoman"/>
      <w:lvlText w:val="%6."/>
      <w:lvlJc w:val="right"/>
      <w:pPr>
        <w:ind w:left="4244" w:hanging="180"/>
      </w:pPr>
    </w:lvl>
    <w:lvl w:ilvl="6" w:tplc="71983626" w:tentative="1">
      <w:start w:val="1"/>
      <w:numFmt w:val="decimal"/>
      <w:lvlText w:val="%7."/>
      <w:lvlJc w:val="left"/>
      <w:pPr>
        <w:ind w:left="4964" w:hanging="360"/>
      </w:pPr>
    </w:lvl>
    <w:lvl w:ilvl="7" w:tplc="C3EA91E2" w:tentative="1">
      <w:start w:val="1"/>
      <w:numFmt w:val="lowerLetter"/>
      <w:lvlText w:val="%8."/>
      <w:lvlJc w:val="left"/>
      <w:pPr>
        <w:ind w:left="5684" w:hanging="360"/>
      </w:pPr>
    </w:lvl>
    <w:lvl w:ilvl="8" w:tplc="1080425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CA4656"/>
    <w:multiLevelType w:val="hybridMultilevel"/>
    <w:tmpl w:val="19F2D35E"/>
    <w:lvl w:ilvl="0" w:tplc="D312E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F7087A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71438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F4500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2EC93D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55E53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3899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8224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FEE621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284280"/>
    <w:multiLevelType w:val="hybridMultilevel"/>
    <w:tmpl w:val="D8945EF4"/>
    <w:lvl w:ilvl="0" w:tplc="0374E6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EC66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CCC6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AC2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00B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69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C15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F41B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8F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66E8F"/>
    <w:multiLevelType w:val="hybridMultilevel"/>
    <w:tmpl w:val="017A0D46"/>
    <w:lvl w:ilvl="0" w:tplc="8E7A5A6E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5E0044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B64E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6FC045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2802BE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27458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196140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8BA174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90EE3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3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0F"/>
    <w:rsid w:val="00044148"/>
    <w:rsid w:val="000D1D99"/>
    <w:rsid w:val="00110881"/>
    <w:rsid w:val="00115589"/>
    <w:rsid w:val="001402B8"/>
    <w:rsid w:val="00174E89"/>
    <w:rsid w:val="001C0890"/>
    <w:rsid w:val="001C2640"/>
    <w:rsid w:val="001C3A21"/>
    <w:rsid w:val="002969B2"/>
    <w:rsid w:val="002A4F30"/>
    <w:rsid w:val="002E0BB0"/>
    <w:rsid w:val="0031270F"/>
    <w:rsid w:val="0032525D"/>
    <w:rsid w:val="0035507F"/>
    <w:rsid w:val="003664DB"/>
    <w:rsid w:val="003846AE"/>
    <w:rsid w:val="0038733F"/>
    <w:rsid w:val="00402951"/>
    <w:rsid w:val="0041070A"/>
    <w:rsid w:val="0045400D"/>
    <w:rsid w:val="00470911"/>
    <w:rsid w:val="00520FEF"/>
    <w:rsid w:val="005720A2"/>
    <w:rsid w:val="005819D2"/>
    <w:rsid w:val="005B3AF2"/>
    <w:rsid w:val="005C06B9"/>
    <w:rsid w:val="005E649F"/>
    <w:rsid w:val="00622822"/>
    <w:rsid w:val="00623E21"/>
    <w:rsid w:val="006954C6"/>
    <w:rsid w:val="006C3F82"/>
    <w:rsid w:val="006F5431"/>
    <w:rsid w:val="0072521A"/>
    <w:rsid w:val="00742856"/>
    <w:rsid w:val="00751682"/>
    <w:rsid w:val="007B00D7"/>
    <w:rsid w:val="007B41CE"/>
    <w:rsid w:val="007E0A15"/>
    <w:rsid w:val="00817809"/>
    <w:rsid w:val="0084202F"/>
    <w:rsid w:val="00851A8F"/>
    <w:rsid w:val="00885CB7"/>
    <w:rsid w:val="008E37CF"/>
    <w:rsid w:val="00963BB4"/>
    <w:rsid w:val="00995288"/>
    <w:rsid w:val="009B603D"/>
    <w:rsid w:val="009C0F5E"/>
    <w:rsid w:val="009C1F05"/>
    <w:rsid w:val="00A05719"/>
    <w:rsid w:val="00A34D87"/>
    <w:rsid w:val="00A95052"/>
    <w:rsid w:val="00AA101E"/>
    <w:rsid w:val="00AA4CD9"/>
    <w:rsid w:val="00AD6575"/>
    <w:rsid w:val="00AE147A"/>
    <w:rsid w:val="00AF6154"/>
    <w:rsid w:val="00B00D0E"/>
    <w:rsid w:val="00B01E54"/>
    <w:rsid w:val="00B257AD"/>
    <w:rsid w:val="00B828DA"/>
    <w:rsid w:val="00BB7AB1"/>
    <w:rsid w:val="00BF6399"/>
    <w:rsid w:val="00C10DA8"/>
    <w:rsid w:val="00C4658F"/>
    <w:rsid w:val="00C67A60"/>
    <w:rsid w:val="00D02650"/>
    <w:rsid w:val="00D4416C"/>
    <w:rsid w:val="00D7377D"/>
    <w:rsid w:val="00D909D4"/>
    <w:rsid w:val="00DA1BA1"/>
    <w:rsid w:val="00DC68B4"/>
    <w:rsid w:val="00DF694E"/>
    <w:rsid w:val="00E647DA"/>
    <w:rsid w:val="00E70DB4"/>
    <w:rsid w:val="00FB6B33"/>
    <w:rsid w:val="00FB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46D498"/>
  <w15:chartTrackingRefBased/>
  <w15:docId w15:val="{8518A1E1-CACE-4447-B7DC-943327C9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270F"/>
    <w:pPr>
      <w:spacing w:after="200" w:line="276" w:lineRule="auto"/>
    </w:pPr>
    <w:rPr>
      <w:rFonts w:ascii="Futura T OT" w:hAnsi="Futura T OT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C0F5E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jc w:val="both"/>
      <w:textAlignment w:val="baseline"/>
      <w:outlineLvl w:val="0"/>
    </w:pPr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31270F"/>
  </w:style>
  <w:style w:type="paragraph" w:styleId="Zpat">
    <w:name w:val="footer"/>
    <w:basedOn w:val="Normln"/>
    <w:link w:val="ZpatChar"/>
    <w:uiPriority w:val="99"/>
    <w:unhideWhenUsed/>
    <w:rsid w:val="0031270F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31270F"/>
  </w:style>
  <w:style w:type="character" w:styleId="Hypertextovodkaz">
    <w:name w:val="Hyperlink"/>
    <w:basedOn w:val="Standardnpsmoodstavce"/>
    <w:uiPriority w:val="99"/>
    <w:unhideWhenUsed/>
    <w:rsid w:val="005C06B9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C0F5E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ln"/>
    <w:link w:val="NadpisdokumentuChar"/>
    <w:qFormat/>
    <w:rsid w:val="009C0F5E"/>
    <w:pPr>
      <w:tabs>
        <w:tab w:val="left" w:pos="3823"/>
        <w:tab w:val="right" w:pos="9638"/>
      </w:tabs>
      <w:spacing w:before="120" w:after="0"/>
      <w:jc w:val="right"/>
    </w:pPr>
    <w:rPr>
      <w:rFonts w:asciiTheme="majorHAnsi" w:hAnsiTheme="majorHAnsi"/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9C0F5E"/>
    <w:rPr>
      <w:rFonts w:asciiTheme="majorHAnsi" w:hAnsiTheme="majorHAnsi"/>
      <w:b/>
      <w:noProof/>
      <w:sz w:val="36"/>
      <w:lang w:eastAsia="cs-CZ"/>
    </w:rPr>
  </w:style>
  <w:style w:type="paragraph" w:styleId="Odstavecseseznamem">
    <w:name w:val="List Paragraph"/>
    <w:basedOn w:val="Normln"/>
    <w:uiPriority w:val="34"/>
    <w:qFormat/>
    <w:rsid w:val="009C0F5E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before="120" w:after="120" w:line="240" w:lineRule="auto"/>
      <w:contextualSpacing/>
      <w:jc w:val="both"/>
      <w:textAlignment w:val="baseline"/>
    </w:pPr>
    <w:rPr>
      <w:rFonts w:asciiTheme="majorHAnsi" w:eastAsia="Times New Roman" w:hAnsiTheme="majorHAnsi" w:cs="Times New Roman"/>
      <w:sz w:val="22"/>
      <w:szCs w:val="24"/>
      <w:lang w:eastAsia="cs-CZ"/>
    </w:rPr>
  </w:style>
  <w:style w:type="paragraph" w:customStyle="1" w:styleId="Odstavecseseznamem1">
    <w:name w:val="Odstavec se seznamem1"/>
    <w:basedOn w:val="Normln"/>
    <w:rsid w:val="009C0F5E"/>
    <w:pPr>
      <w:ind w:left="720"/>
      <w:contextualSpacing/>
    </w:pPr>
    <w:rPr>
      <w:rFonts w:ascii="Calibri" w:eastAsia="Times New Roman" w:hAnsi="Calibri" w:cs="Times New Roman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C465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58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58F"/>
    <w:rPr>
      <w:rFonts w:ascii="Futura T OT" w:hAnsi="Futura T OT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5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58F"/>
    <w:rPr>
      <w:rFonts w:ascii="Futura T OT" w:hAnsi="Futura T OT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65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58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B257AD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5B20E-90BF-4144-8053-427D5D2AF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Kapucián Aleš</cp:lastModifiedBy>
  <cp:revision>4</cp:revision>
  <dcterms:created xsi:type="dcterms:W3CDTF">2021-11-12T14:20:00Z</dcterms:created>
  <dcterms:modified xsi:type="dcterms:W3CDTF">2021-12-03T06:35:00Z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109693/2021/GAČR/PAK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17066/2021/GAČR/PAK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26.11.2021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&lt;TABLE&gt;&lt;TR&gt;&lt;TD&gt;Č.j.:&lt;/TD&gt;&lt;TD&gt;109693/2021/GAČR/PAK&lt;/TD&gt;&lt;/TR&gt;&lt;TR&gt;&lt;TD&gt;&lt;/TD&gt;&lt;TD&gt;&lt;/TD&gt;&lt;/TR&gt;&lt;/TABLE&gt;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Svobodová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109288/2021-GAČR</vt:lpwstr>
  </property>
  <property fmtid="{D5CDD505-2E9C-101B-9397-08002B2CF9AE}" pid="19" name="Key_BarCode_Pisemnost">
    <vt:lpwstr>*B000543676*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109288/2021-GAČR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ZN/286/PAK/2021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Plán práce VR GA ČR na rok 2022</vt:lpwstr>
  </property>
  <property fmtid="{D5CDD505-2E9C-101B-9397-08002B2CF9AE}" pid="41" name="Zkratka_SpisovyUzel_PoziceZodpo_Pisemnost">
    <vt:lpwstr>PAK</vt:lpwstr>
  </property>
</Properties>
</file>