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3C9" w:rsidRPr="00962B91" w:rsidRDefault="00793ABD" w:rsidP="004873C9">
      <w:pPr>
        <w:pStyle w:val="Nadpis2"/>
        <w:numPr>
          <w:ilvl w:val="0"/>
          <w:numId w:val="0"/>
        </w:numPr>
        <w:pBdr>
          <w:bottom w:val="single" w:sz="6" w:space="1" w:color="auto"/>
        </w:pBdr>
        <w:jc w:val="center"/>
        <w:rPr>
          <w:rFonts w:ascii="Arial" w:hAnsi="Arial" w:cs="Arial"/>
          <w:color w:val="0070C0"/>
          <w:sz w:val="28"/>
          <w:szCs w:val="28"/>
        </w:rPr>
      </w:pPr>
      <w:r w:rsidRPr="00962B91">
        <w:rPr>
          <w:rFonts w:ascii="Arial" w:hAnsi="Arial" w:cs="Arial"/>
          <w:color w:val="0070C0"/>
          <w:sz w:val="28"/>
          <w:szCs w:val="28"/>
        </w:rPr>
        <w:t xml:space="preserve">Informace k Hodnocení výsledků programů výzkumu, vývoje </w:t>
      </w:r>
      <w:r w:rsidR="004873C9" w:rsidRPr="00962B91">
        <w:rPr>
          <w:rFonts w:ascii="Arial" w:hAnsi="Arial" w:cs="Arial"/>
          <w:color w:val="0070C0"/>
          <w:sz w:val="28"/>
          <w:szCs w:val="28"/>
        </w:rPr>
        <w:t>a inovací ukončených v roce 20</w:t>
      </w:r>
      <w:r w:rsidR="007F38B4">
        <w:rPr>
          <w:rFonts w:ascii="Arial" w:hAnsi="Arial" w:cs="Arial"/>
          <w:color w:val="0070C0"/>
          <w:sz w:val="28"/>
          <w:szCs w:val="28"/>
        </w:rPr>
        <w:t>20</w:t>
      </w:r>
    </w:p>
    <w:p w:rsidR="00793ABD" w:rsidRDefault="00793ABD" w:rsidP="004873C9">
      <w:pPr>
        <w:spacing w:after="120" w:line="240" w:lineRule="auto"/>
        <w:jc w:val="both"/>
        <w:rPr>
          <w:rFonts w:ascii="Arial" w:hAnsi="Arial" w:cs="Arial"/>
          <w:sz w:val="24"/>
          <w:szCs w:val="24"/>
        </w:rPr>
      </w:pPr>
    </w:p>
    <w:p w:rsidR="007323E6" w:rsidRPr="007323E6" w:rsidRDefault="007323E6" w:rsidP="00B87B83">
      <w:pPr>
        <w:pStyle w:val="Nadpis3"/>
        <w:numPr>
          <w:ilvl w:val="2"/>
          <w:numId w:val="3"/>
        </w:numPr>
      </w:pPr>
      <w:r w:rsidRPr="007323E6">
        <w:t>Úvod</w:t>
      </w:r>
    </w:p>
    <w:p w:rsidR="00E06B89" w:rsidRDefault="00064B57" w:rsidP="00064B57">
      <w:pPr>
        <w:spacing w:after="120" w:line="240" w:lineRule="auto"/>
        <w:jc w:val="both"/>
        <w:rPr>
          <w:rFonts w:ascii="Arial" w:hAnsi="Arial" w:cs="Arial"/>
          <w:sz w:val="24"/>
          <w:szCs w:val="24"/>
        </w:rPr>
      </w:pPr>
      <w:r>
        <w:rPr>
          <w:rFonts w:ascii="Arial" w:hAnsi="Arial" w:cs="Arial"/>
          <w:sz w:val="24"/>
          <w:szCs w:val="24"/>
        </w:rPr>
        <w:t>V roce 202</w:t>
      </w:r>
      <w:r w:rsidR="00327108">
        <w:rPr>
          <w:rFonts w:ascii="Arial" w:hAnsi="Arial" w:cs="Arial"/>
          <w:sz w:val="24"/>
          <w:szCs w:val="24"/>
        </w:rPr>
        <w:t>2</w:t>
      </w:r>
      <w:r>
        <w:rPr>
          <w:rFonts w:ascii="Arial" w:hAnsi="Arial" w:cs="Arial"/>
          <w:sz w:val="24"/>
          <w:szCs w:val="24"/>
        </w:rPr>
        <w:t xml:space="preserve"> bude Rada pro výzkum, vývoj a inovace předkládat vládě dokument </w:t>
      </w:r>
      <w:r w:rsidR="00E06B89" w:rsidRPr="00A36C99">
        <w:rPr>
          <w:rFonts w:ascii="Arial" w:hAnsi="Arial" w:cs="Arial"/>
          <w:sz w:val="24"/>
          <w:szCs w:val="24"/>
        </w:rPr>
        <w:t xml:space="preserve">Hodnocení výsledků  programů výzkumu, vývoje a inovací </w:t>
      </w:r>
      <w:r>
        <w:rPr>
          <w:rFonts w:ascii="Arial" w:hAnsi="Arial" w:cs="Arial"/>
          <w:sz w:val="24"/>
          <w:szCs w:val="24"/>
        </w:rPr>
        <w:t>ukončených v roce 20</w:t>
      </w:r>
      <w:r w:rsidR="00327108">
        <w:rPr>
          <w:rFonts w:ascii="Arial" w:hAnsi="Arial" w:cs="Arial"/>
          <w:sz w:val="24"/>
          <w:szCs w:val="24"/>
        </w:rPr>
        <w:t>20</w:t>
      </w:r>
      <w:r w:rsidR="00A735C7">
        <w:rPr>
          <w:rFonts w:ascii="Arial" w:hAnsi="Arial" w:cs="Arial"/>
          <w:sz w:val="24"/>
          <w:szCs w:val="24"/>
        </w:rPr>
        <w:t xml:space="preserve"> (dále jen „Hodnocení“)</w:t>
      </w:r>
      <w:r>
        <w:rPr>
          <w:rFonts w:ascii="Arial" w:hAnsi="Arial" w:cs="Arial"/>
          <w:sz w:val="24"/>
          <w:szCs w:val="24"/>
        </w:rPr>
        <w:t>. Materiál bude zpracován v souladu s § 35 odst. 2 písm. d) zákona č. </w:t>
      </w:r>
      <w:r w:rsidR="00E06B89" w:rsidRPr="00A36C99">
        <w:rPr>
          <w:rFonts w:ascii="Arial" w:hAnsi="Arial" w:cs="Arial"/>
          <w:sz w:val="24"/>
          <w:szCs w:val="24"/>
        </w:rPr>
        <w:t>130/2002 Sb., o podpoře výzkumu, experimentálního vývoje a</w:t>
      </w:r>
      <w:r w:rsidR="00D36ECE">
        <w:rPr>
          <w:rFonts w:ascii="Arial" w:hAnsi="Arial" w:cs="Arial"/>
          <w:sz w:val="24"/>
          <w:szCs w:val="24"/>
        </w:rPr>
        <w:t> </w:t>
      </w:r>
      <w:r w:rsidR="00E06B89" w:rsidRPr="00A36C99">
        <w:rPr>
          <w:rFonts w:ascii="Arial" w:hAnsi="Arial" w:cs="Arial"/>
          <w:sz w:val="24"/>
          <w:szCs w:val="24"/>
        </w:rPr>
        <w:t>inovací z veřejných prostředků a o změně některých souvisejících zákonů (zákon o podpoře výzkumu, experimentálního vývoje a inovací), ve znění pozdějších předpisů</w:t>
      </w:r>
      <w:r w:rsidR="004772B4">
        <w:rPr>
          <w:rFonts w:ascii="Arial" w:hAnsi="Arial" w:cs="Arial"/>
          <w:sz w:val="24"/>
          <w:szCs w:val="24"/>
        </w:rPr>
        <w:t>.</w:t>
      </w:r>
      <w:r w:rsidR="00E06B89" w:rsidRPr="00A36C99">
        <w:rPr>
          <w:rFonts w:ascii="Arial" w:hAnsi="Arial" w:cs="Arial"/>
          <w:sz w:val="24"/>
          <w:szCs w:val="24"/>
        </w:rPr>
        <w:t xml:space="preserve"> </w:t>
      </w:r>
    </w:p>
    <w:p w:rsidR="00E06B89" w:rsidRPr="00A36C99" w:rsidRDefault="004772B4" w:rsidP="004772B4">
      <w:pPr>
        <w:pStyle w:val="Odstavecseseznamem"/>
        <w:autoSpaceDE w:val="0"/>
        <w:autoSpaceDN w:val="0"/>
        <w:adjustRightInd w:val="0"/>
        <w:spacing w:after="120" w:line="240" w:lineRule="auto"/>
        <w:ind w:left="0"/>
        <w:contextualSpacing w:val="0"/>
        <w:jc w:val="both"/>
        <w:rPr>
          <w:rFonts w:ascii="Arial" w:hAnsi="Arial" w:cs="Arial"/>
          <w:sz w:val="24"/>
          <w:szCs w:val="24"/>
        </w:rPr>
      </w:pPr>
      <w:r>
        <w:rPr>
          <w:rFonts w:ascii="Arial" w:hAnsi="Arial" w:cs="Arial"/>
          <w:sz w:val="24"/>
          <w:szCs w:val="24"/>
        </w:rPr>
        <w:t>H</w:t>
      </w:r>
      <w:r w:rsidR="00E06B89" w:rsidRPr="00A36C99">
        <w:rPr>
          <w:rFonts w:ascii="Arial" w:hAnsi="Arial" w:cs="Arial"/>
          <w:sz w:val="24"/>
          <w:szCs w:val="24"/>
        </w:rPr>
        <w:t>odnoceny</w:t>
      </w:r>
      <w:r>
        <w:rPr>
          <w:rFonts w:ascii="Arial" w:hAnsi="Arial" w:cs="Arial"/>
          <w:sz w:val="24"/>
          <w:szCs w:val="24"/>
        </w:rPr>
        <w:t xml:space="preserve"> budou</w:t>
      </w:r>
      <w:r w:rsidR="00E06B89" w:rsidRPr="00A36C99">
        <w:rPr>
          <w:rFonts w:ascii="Arial" w:hAnsi="Arial" w:cs="Arial"/>
          <w:sz w:val="24"/>
          <w:szCs w:val="24"/>
        </w:rPr>
        <w:t xml:space="preserve"> </w:t>
      </w:r>
      <w:r w:rsidR="00327108">
        <w:rPr>
          <w:rFonts w:ascii="Arial" w:hAnsi="Arial" w:cs="Arial"/>
          <w:sz w:val="24"/>
          <w:szCs w:val="24"/>
        </w:rPr>
        <w:t>dva</w:t>
      </w:r>
      <w:r w:rsidR="00E06B89" w:rsidRPr="00A36C99">
        <w:rPr>
          <w:rFonts w:ascii="Arial" w:hAnsi="Arial" w:cs="Arial"/>
          <w:sz w:val="24"/>
          <w:szCs w:val="24"/>
        </w:rPr>
        <w:t xml:space="preserve"> programy výzkumu, vývoje</w:t>
      </w:r>
      <w:r w:rsidR="00965352">
        <w:rPr>
          <w:rFonts w:ascii="Arial" w:hAnsi="Arial" w:cs="Arial"/>
          <w:sz w:val="24"/>
          <w:szCs w:val="24"/>
        </w:rPr>
        <w:t xml:space="preserve"> a inovací</w:t>
      </w:r>
      <w:r w:rsidR="00327108">
        <w:rPr>
          <w:rFonts w:ascii="Arial" w:hAnsi="Arial" w:cs="Arial"/>
          <w:sz w:val="24"/>
          <w:szCs w:val="24"/>
        </w:rPr>
        <w:t>. U obou bylo poskytovatelem Ministerstvo školství, mládeže a tělovýchovy. Jedn</w:t>
      </w:r>
      <w:r w:rsidR="00A11C4B">
        <w:rPr>
          <w:rFonts w:ascii="Arial" w:hAnsi="Arial" w:cs="Arial"/>
          <w:sz w:val="24"/>
          <w:szCs w:val="24"/>
        </w:rPr>
        <w:t xml:space="preserve">alo </w:t>
      </w:r>
      <w:r w:rsidR="00327108">
        <w:rPr>
          <w:rFonts w:ascii="Arial" w:hAnsi="Arial" w:cs="Arial"/>
          <w:sz w:val="24"/>
          <w:szCs w:val="24"/>
        </w:rPr>
        <w:t>se o:</w:t>
      </w:r>
    </w:p>
    <w:p w:rsidR="00020929" w:rsidRDefault="00327108" w:rsidP="005D615E">
      <w:pPr>
        <w:pStyle w:val="Nadpis3"/>
      </w:pPr>
      <w:r w:rsidRPr="00327108">
        <w:t xml:space="preserve">Národní program udržitelnosti </w:t>
      </w:r>
      <w:r w:rsidR="007F38B4">
        <w:t>I</w:t>
      </w:r>
      <w:r w:rsidR="0092780F" w:rsidRPr="00327108">
        <w:t xml:space="preserve"> </w:t>
      </w:r>
    </w:p>
    <w:p w:rsidR="00730274" w:rsidRPr="007930EA" w:rsidRDefault="00730274" w:rsidP="00730274">
      <w:pPr>
        <w:spacing w:before="120" w:after="120"/>
        <w:jc w:val="both"/>
        <w:rPr>
          <w:rFonts w:ascii="Arial" w:hAnsi="Arial" w:cs="Arial"/>
          <w:sz w:val="24"/>
          <w:szCs w:val="24"/>
        </w:rPr>
      </w:pPr>
      <w:r w:rsidRPr="007930EA">
        <w:rPr>
          <w:rFonts w:ascii="Arial" w:hAnsi="Arial" w:cs="Arial"/>
          <w:sz w:val="24"/>
          <w:szCs w:val="24"/>
        </w:rPr>
        <w:t>Z Programu NPU I byl podporován rozvoj a udržitelnost projektů nových evropských center excelence, regionálních a dalších typů výzkumných center vybudovaných v ČR v letech 2007</w:t>
      </w:r>
      <w:r w:rsidR="007F38B4">
        <w:rPr>
          <w:rFonts w:ascii="Arial" w:hAnsi="Arial" w:cs="Arial"/>
          <w:sz w:val="24"/>
          <w:szCs w:val="24"/>
        </w:rPr>
        <w:t>–</w:t>
      </w:r>
      <w:r w:rsidRPr="007930EA">
        <w:rPr>
          <w:rFonts w:ascii="Arial" w:hAnsi="Arial" w:cs="Arial"/>
          <w:sz w:val="24"/>
          <w:szCs w:val="24"/>
        </w:rPr>
        <w:t xml:space="preserve">2013/15 za finanční spoluúčasti Evropského fondu regionálního rozvoje (dále jen „Centra“). </w:t>
      </w:r>
    </w:p>
    <w:p w:rsidR="00730274" w:rsidRPr="007930EA" w:rsidRDefault="00730274" w:rsidP="00730274">
      <w:pPr>
        <w:pStyle w:val="StylZkladntextCalibri"/>
        <w:rPr>
          <w:rFonts w:ascii="Arial" w:hAnsi="Arial" w:cs="Arial"/>
        </w:rPr>
      </w:pPr>
      <w:r w:rsidRPr="007930EA">
        <w:rPr>
          <w:rFonts w:ascii="Arial" w:hAnsi="Arial" w:cs="Arial"/>
        </w:rPr>
        <w:t>Hlavním cílem Programu NPU I byl trvalý rozvoj výzkumné infrastruktury Center, který podporoval sociální i ekonomický rozvoj regionů, kde Centra působí.  Tento program naplňoval závazky vlády, které byly podmínkou čerpání Evropského fondu pro</w:t>
      </w:r>
      <w:r w:rsidR="0096407D">
        <w:rPr>
          <w:rFonts w:ascii="Arial" w:hAnsi="Arial" w:cs="Arial"/>
        </w:rPr>
        <w:t> </w:t>
      </w:r>
      <w:r w:rsidRPr="007930EA">
        <w:rPr>
          <w:rFonts w:ascii="Arial" w:hAnsi="Arial" w:cs="Arial"/>
        </w:rPr>
        <w:t>regionální rozvoj a vytvářely příležitost pro zajištění financování významné části udržitelnosti výzkumné infrastruktury nově vybudované v letech 2007</w:t>
      </w:r>
      <w:r w:rsidR="007F38B4">
        <w:rPr>
          <w:rFonts w:ascii="Arial" w:hAnsi="Arial" w:cs="Arial"/>
        </w:rPr>
        <w:t>–</w:t>
      </w:r>
      <w:r w:rsidRPr="007930EA">
        <w:rPr>
          <w:rFonts w:ascii="Arial" w:hAnsi="Arial" w:cs="Arial"/>
        </w:rPr>
        <w:t>2013/15 formou výzkumných projektů tak, aby byl zajištěn provoz včetně nezbytné obnovy zařízení</w:t>
      </w:r>
      <w:r w:rsidR="0096407D">
        <w:rPr>
          <w:rFonts w:ascii="Arial" w:hAnsi="Arial" w:cs="Arial"/>
        </w:rPr>
        <w:t>.</w:t>
      </w:r>
      <w:r w:rsidRPr="007930EA">
        <w:rPr>
          <w:rFonts w:ascii="Arial" w:hAnsi="Arial" w:cs="Arial"/>
        </w:rPr>
        <w:t xml:space="preserve"> </w:t>
      </w:r>
    </w:p>
    <w:p w:rsidR="00730274" w:rsidRPr="007930EA" w:rsidRDefault="00730274" w:rsidP="00730274">
      <w:pPr>
        <w:spacing w:before="120" w:after="120"/>
        <w:jc w:val="both"/>
        <w:rPr>
          <w:rFonts w:ascii="Arial" w:hAnsi="Arial" w:cs="Arial"/>
          <w:sz w:val="24"/>
          <w:szCs w:val="24"/>
        </w:rPr>
      </w:pPr>
      <w:r w:rsidRPr="007930EA">
        <w:rPr>
          <w:rFonts w:ascii="Arial" w:hAnsi="Arial" w:cs="Arial"/>
          <w:sz w:val="24"/>
          <w:szCs w:val="24"/>
        </w:rPr>
        <w:t>Cíle programu NPU I naplň</w:t>
      </w:r>
      <w:r w:rsidR="007930EA">
        <w:rPr>
          <w:rFonts w:ascii="Arial" w:hAnsi="Arial" w:cs="Arial"/>
          <w:sz w:val="24"/>
          <w:szCs w:val="24"/>
        </w:rPr>
        <w:t>ovaly</w:t>
      </w:r>
      <w:r w:rsidRPr="007930EA">
        <w:rPr>
          <w:rFonts w:ascii="Arial" w:hAnsi="Arial" w:cs="Arial"/>
          <w:sz w:val="24"/>
          <w:szCs w:val="24"/>
        </w:rPr>
        <w:t xml:space="preserve"> závazky, k  nimž se ČR zavázala dopisem Rady pro</w:t>
      </w:r>
      <w:r w:rsidR="0096407D">
        <w:rPr>
          <w:rFonts w:ascii="Arial" w:hAnsi="Arial" w:cs="Arial"/>
          <w:sz w:val="24"/>
          <w:szCs w:val="24"/>
        </w:rPr>
        <w:t> </w:t>
      </w:r>
      <w:r w:rsidRPr="007930EA">
        <w:rPr>
          <w:rFonts w:ascii="Arial" w:hAnsi="Arial" w:cs="Arial"/>
          <w:sz w:val="24"/>
          <w:szCs w:val="24"/>
        </w:rPr>
        <w:t>výzkum, vývoj a inovace ze dne 3. května 2010 (08927/10-RVV) Evropské</w:t>
      </w:r>
      <w:bookmarkStart w:id="0" w:name="_GoBack"/>
      <w:bookmarkEnd w:id="0"/>
      <w:r w:rsidRPr="007930EA">
        <w:rPr>
          <w:rFonts w:ascii="Arial" w:hAnsi="Arial" w:cs="Arial"/>
          <w:sz w:val="24"/>
          <w:szCs w:val="24"/>
        </w:rPr>
        <w:t xml:space="preserve"> komisi k zajištění udržitelnosti Center v rámci Operačního programu „Výzkum a vývoj pro </w:t>
      </w:r>
      <w:r w:rsidR="007930EA">
        <w:rPr>
          <w:rFonts w:ascii="Arial" w:hAnsi="Arial" w:cs="Arial"/>
          <w:sz w:val="24"/>
          <w:szCs w:val="24"/>
        </w:rPr>
        <w:t> i</w:t>
      </w:r>
      <w:r w:rsidRPr="007930EA">
        <w:rPr>
          <w:rFonts w:ascii="Arial" w:hAnsi="Arial" w:cs="Arial"/>
          <w:sz w:val="24"/>
          <w:szCs w:val="24"/>
        </w:rPr>
        <w:t>novace“. Tento finanční závazek činil 2,5 mld. Kč ročně v období 2016</w:t>
      </w:r>
      <w:r w:rsidR="007F38B4">
        <w:rPr>
          <w:rFonts w:ascii="Arial" w:hAnsi="Arial" w:cs="Arial"/>
          <w:sz w:val="24"/>
          <w:szCs w:val="24"/>
        </w:rPr>
        <w:t>–</w:t>
      </w:r>
      <w:r w:rsidRPr="007930EA">
        <w:rPr>
          <w:rFonts w:ascii="Arial" w:hAnsi="Arial" w:cs="Arial"/>
          <w:sz w:val="24"/>
          <w:szCs w:val="24"/>
        </w:rPr>
        <w:t>2020.</w:t>
      </w:r>
    </w:p>
    <w:p w:rsidR="00730274" w:rsidRPr="007930EA" w:rsidRDefault="00730274" w:rsidP="00730274">
      <w:pPr>
        <w:spacing w:before="120" w:after="120"/>
        <w:jc w:val="both"/>
        <w:rPr>
          <w:rFonts w:ascii="Arial" w:hAnsi="Arial" w:cs="Arial"/>
          <w:sz w:val="24"/>
          <w:szCs w:val="24"/>
        </w:rPr>
      </w:pPr>
      <w:r w:rsidRPr="007930EA">
        <w:rPr>
          <w:rFonts w:ascii="Arial" w:hAnsi="Arial" w:cs="Arial"/>
          <w:sz w:val="24"/>
          <w:szCs w:val="24"/>
        </w:rPr>
        <w:t>Závazek udržitelnosti se obecně vztahoval na všechny projekty Center</w:t>
      </w:r>
      <w:r w:rsidR="00E834EE">
        <w:rPr>
          <w:rFonts w:ascii="Arial" w:hAnsi="Arial" w:cs="Arial"/>
          <w:sz w:val="24"/>
          <w:szCs w:val="24"/>
        </w:rPr>
        <w:t>,</w:t>
      </w:r>
      <w:r w:rsidRPr="007930EA">
        <w:rPr>
          <w:rFonts w:ascii="Arial" w:hAnsi="Arial" w:cs="Arial"/>
          <w:sz w:val="24"/>
          <w:szCs w:val="24"/>
        </w:rPr>
        <w:t xml:space="preserve"> a proto byl navrhovaný Program NPU I nástrojem finanční pomoci pro celé území ČR a</w:t>
      </w:r>
      <w:r w:rsidR="007930EA">
        <w:rPr>
          <w:rFonts w:ascii="Arial" w:hAnsi="Arial" w:cs="Arial"/>
          <w:sz w:val="24"/>
          <w:szCs w:val="24"/>
        </w:rPr>
        <w:t> </w:t>
      </w:r>
      <w:r w:rsidRPr="007930EA">
        <w:rPr>
          <w:rFonts w:ascii="Arial" w:hAnsi="Arial" w:cs="Arial"/>
          <w:sz w:val="24"/>
          <w:szCs w:val="24"/>
        </w:rPr>
        <w:t xml:space="preserve">motivací pro úspěšné realizátory projektů Center. </w:t>
      </w:r>
    </w:p>
    <w:p w:rsidR="00A735C7" w:rsidRPr="007930EA" w:rsidRDefault="00327108" w:rsidP="005D615E">
      <w:pPr>
        <w:pStyle w:val="Nadpis3"/>
        <w:ind w:left="705" w:hanging="705"/>
        <w:rPr>
          <w:rFonts w:cs="Arial"/>
        </w:rPr>
      </w:pPr>
      <w:r w:rsidRPr="007930EA">
        <w:rPr>
          <w:rFonts w:cs="Arial"/>
        </w:rPr>
        <w:t xml:space="preserve">Národní program udržitelnosti </w:t>
      </w:r>
      <w:r w:rsidR="007F38B4">
        <w:rPr>
          <w:rFonts w:cs="Arial"/>
        </w:rPr>
        <w:t>II</w:t>
      </w:r>
    </w:p>
    <w:p w:rsidR="00A11C4B" w:rsidRPr="007930EA" w:rsidRDefault="00A11C4B" w:rsidP="007930EA">
      <w:pPr>
        <w:spacing w:before="120" w:after="120"/>
        <w:jc w:val="both"/>
        <w:rPr>
          <w:rFonts w:ascii="Arial" w:hAnsi="Arial" w:cs="Arial"/>
          <w:sz w:val="24"/>
          <w:szCs w:val="24"/>
        </w:rPr>
      </w:pPr>
      <w:r w:rsidRPr="007930EA">
        <w:rPr>
          <w:rFonts w:ascii="Arial" w:eastAsia="Batang" w:hAnsi="Arial" w:cs="Arial"/>
          <w:sz w:val="24"/>
          <w:szCs w:val="24"/>
          <w:lang w:eastAsia="ko-KR"/>
        </w:rPr>
        <w:t>Hlavní</w:t>
      </w:r>
      <w:r w:rsidR="007930EA">
        <w:rPr>
          <w:rFonts w:ascii="Arial" w:eastAsia="Batang" w:hAnsi="Arial" w:cs="Arial"/>
          <w:sz w:val="24"/>
          <w:szCs w:val="24"/>
          <w:lang w:eastAsia="ko-KR"/>
        </w:rPr>
        <w:t>m</w:t>
      </w:r>
      <w:r w:rsidRPr="007930EA">
        <w:rPr>
          <w:rFonts w:ascii="Arial" w:eastAsia="Batang" w:hAnsi="Arial" w:cs="Arial"/>
          <w:sz w:val="24"/>
          <w:szCs w:val="24"/>
          <w:lang w:eastAsia="ko-KR"/>
        </w:rPr>
        <w:t xml:space="preserve"> cíl</w:t>
      </w:r>
      <w:r w:rsidR="007930EA">
        <w:rPr>
          <w:rFonts w:ascii="Arial" w:eastAsia="Batang" w:hAnsi="Arial" w:cs="Arial"/>
          <w:sz w:val="24"/>
          <w:szCs w:val="24"/>
          <w:lang w:eastAsia="ko-KR"/>
        </w:rPr>
        <w:t>em</w:t>
      </w:r>
      <w:r w:rsidRPr="007930EA">
        <w:rPr>
          <w:rFonts w:ascii="Arial" w:eastAsia="Batang" w:hAnsi="Arial" w:cs="Arial"/>
          <w:sz w:val="24"/>
          <w:szCs w:val="24"/>
          <w:lang w:eastAsia="ko-KR"/>
        </w:rPr>
        <w:t xml:space="preserve"> programu </w:t>
      </w:r>
      <w:r w:rsidR="007930EA">
        <w:rPr>
          <w:rFonts w:ascii="Arial" w:eastAsia="Batang" w:hAnsi="Arial" w:cs="Arial"/>
          <w:sz w:val="24"/>
          <w:szCs w:val="24"/>
          <w:lang w:eastAsia="ko-KR"/>
        </w:rPr>
        <w:t xml:space="preserve">NPU II </w:t>
      </w:r>
      <w:r w:rsidRPr="007930EA">
        <w:rPr>
          <w:rFonts w:ascii="Arial" w:eastAsia="Batang" w:hAnsi="Arial" w:cs="Arial"/>
          <w:sz w:val="24"/>
          <w:szCs w:val="24"/>
          <w:lang w:eastAsia="ko-KR"/>
        </w:rPr>
        <w:t xml:space="preserve">bylo </w:t>
      </w:r>
      <w:r w:rsidRPr="007930EA">
        <w:rPr>
          <w:rFonts w:ascii="Arial" w:hAnsi="Arial" w:cs="Arial"/>
          <w:sz w:val="24"/>
          <w:szCs w:val="24"/>
        </w:rPr>
        <w:t>zajištění dlouhodobě udržitelného financování center vybavených moderní, často jedinečnou infrastrukturou, produkujících v</w:t>
      </w:r>
      <w:r w:rsidR="007930EA">
        <w:rPr>
          <w:rFonts w:ascii="Arial" w:hAnsi="Arial" w:cs="Arial"/>
          <w:sz w:val="24"/>
          <w:szCs w:val="24"/>
        </w:rPr>
        <w:t> </w:t>
      </w:r>
      <w:r w:rsidRPr="007930EA">
        <w:rPr>
          <w:rFonts w:ascii="Arial" w:hAnsi="Arial" w:cs="Arial"/>
          <w:sz w:val="24"/>
          <w:szCs w:val="24"/>
        </w:rPr>
        <w:t>mezinárodním měřítku vynikající výsledky výzkumu, včetně výsledků aplikovatelných v praxi, vytvářejících silná strategická partnerství s prestižními výzkumnými pracovišti (soukromými i veřejnými) v ČR i zahraničí, která přispíva</w:t>
      </w:r>
      <w:r w:rsidR="007930EA">
        <w:rPr>
          <w:rFonts w:ascii="Arial" w:hAnsi="Arial" w:cs="Arial"/>
          <w:sz w:val="24"/>
          <w:szCs w:val="24"/>
        </w:rPr>
        <w:t>la</w:t>
      </w:r>
      <w:r w:rsidRPr="007930EA">
        <w:rPr>
          <w:rFonts w:ascii="Arial" w:hAnsi="Arial" w:cs="Arial"/>
          <w:sz w:val="24"/>
          <w:szCs w:val="24"/>
        </w:rPr>
        <w:t xml:space="preserve"> k větší integraci českých </w:t>
      </w:r>
      <w:r w:rsidR="007930EA">
        <w:rPr>
          <w:rFonts w:ascii="Arial" w:hAnsi="Arial" w:cs="Arial"/>
          <w:sz w:val="24"/>
          <w:szCs w:val="24"/>
        </w:rPr>
        <w:t>výzkumných a vývojových</w:t>
      </w:r>
      <w:r w:rsidRPr="007930EA">
        <w:rPr>
          <w:rFonts w:ascii="Arial" w:hAnsi="Arial" w:cs="Arial"/>
          <w:sz w:val="24"/>
          <w:szCs w:val="24"/>
        </w:rPr>
        <w:t xml:space="preserve"> týmů s předními mezinárodními výzkumnými organizacemi a evropskými výzkumnými infrastrukturami </w:t>
      </w:r>
      <w:r w:rsidR="007930EA">
        <w:rPr>
          <w:rFonts w:ascii="Arial" w:hAnsi="Arial" w:cs="Arial"/>
          <w:sz w:val="24"/>
          <w:szCs w:val="24"/>
        </w:rPr>
        <w:t>i</w:t>
      </w:r>
      <w:r w:rsidRPr="007930EA">
        <w:rPr>
          <w:rFonts w:ascii="Arial" w:hAnsi="Arial" w:cs="Arial"/>
          <w:sz w:val="24"/>
          <w:szCs w:val="24"/>
        </w:rPr>
        <w:t xml:space="preserve"> k rozvoji lidských zdrojů ve výzkumu prostřednictvím doktorských studijních programů a přilákáním kvalifikovaných výzkumníků z ČR i ze zahraničí</w:t>
      </w:r>
    </w:p>
    <w:p w:rsidR="00A0489A" w:rsidRPr="007930EA" w:rsidRDefault="00A0489A" w:rsidP="00DC749D">
      <w:pPr>
        <w:pStyle w:val="Nadpis3"/>
        <w:numPr>
          <w:ilvl w:val="2"/>
          <w:numId w:val="3"/>
        </w:numPr>
      </w:pPr>
      <w:r w:rsidRPr="007930EA">
        <w:lastRenderedPageBreak/>
        <w:t>Základní dokumenty a zdroje</w:t>
      </w:r>
      <w:r w:rsidR="0096407D">
        <w:t xml:space="preserve"> k hodnocení</w:t>
      </w:r>
    </w:p>
    <w:p w:rsidR="00F42A12" w:rsidRPr="007930EA" w:rsidRDefault="00793ABD" w:rsidP="00B87B83">
      <w:pPr>
        <w:pStyle w:val="Odstavecseseznamem"/>
        <w:numPr>
          <w:ilvl w:val="0"/>
          <w:numId w:val="5"/>
        </w:numPr>
        <w:shd w:val="clear" w:color="auto" w:fill="FFFFFF" w:themeFill="background1"/>
        <w:spacing w:after="120" w:line="240" w:lineRule="auto"/>
        <w:jc w:val="both"/>
        <w:rPr>
          <w:rFonts w:ascii="Arial" w:hAnsi="Arial" w:cs="Arial"/>
          <w:sz w:val="24"/>
          <w:szCs w:val="24"/>
        </w:rPr>
      </w:pPr>
      <w:r w:rsidRPr="007930EA">
        <w:rPr>
          <w:rFonts w:ascii="Arial" w:hAnsi="Arial" w:cs="Arial"/>
          <w:sz w:val="24"/>
          <w:szCs w:val="24"/>
        </w:rPr>
        <w:t xml:space="preserve">Hodnocení bude realizováno v souladu s Metodikou hodnocení výzkumných organizací a hodnocení programů účelové podpory výzkumu, vývoje a inovací (dále jen „Metodika“), která byla schválena usnesením vlády ze dne 8. února 2017 č. 107, </w:t>
      </w:r>
    </w:p>
    <w:p w:rsidR="00F42A12" w:rsidRPr="007930EA" w:rsidRDefault="00F42A12" w:rsidP="00B87B83">
      <w:pPr>
        <w:pStyle w:val="Odstavecseseznamem"/>
        <w:numPr>
          <w:ilvl w:val="0"/>
          <w:numId w:val="5"/>
        </w:numPr>
        <w:shd w:val="clear" w:color="auto" w:fill="FFFFFF" w:themeFill="background1"/>
        <w:spacing w:after="120" w:line="240" w:lineRule="auto"/>
        <w:jc w:val="both"/>
        <w:rPr>
          <w:rFonts w:ascii="Arial" w:hAnsi="Arial" w:cs="Arial"/>
          <w:sz w:val="24"/>
          <w:szCs w:val="24"/>
        </w:rPr>
      </w:pPr>
      <w:r w:rsidRPr="007930EA">
        <w:rPr>
          <w:rFonts w:ascii="Arial" w:hAnsi="Arial" w:cs="Arial"/>
          <w:sz w:val="24"/>
          <w:szCs w:val="24"/>
        </w:rPr>
        <w:t xml:space="preserve">v souladu s uvedenou Metodikou budou </w:t>
      </w:r>
      <w:r w:rsidR="00793ABD" w:rsidRPr="007930EA">
        <w:rPr>
          <w:rFonts w:ascii="Arial" w:hAnsi="Arial" w:cs="Arial"/>
          <w:sz w:val="24"/>
          <w:szCs w:val="24"/>
        </w:rPr>
        <w:t>aplikovány Základní principy přípravy a hodnocení programů a skupin grantových projektů výzkumu, vývoje a inovací schválené usnesením vlády ze dne 13. května 2015 č. 351 (dále jen „Principy“)</w:t>
      </w:r>
      <w:r w:rsidRPr="007930EA">
        <w:rPr>
          <w:rFonts w:ascii="Arial" w:hAnsi="Arial" w:cs="Arial"/>
          <w:sz w:val="24"/>
          <w:szCs w:val="24"/>
        </w:rPr>
        <w:t>,</w:t>
      </w:r>
    </w:p>
    <w:p w:rsidR="00F42A12" w:rsidRPr="007930EA" w:rsidRDefault="00F42A12" w:rsidP="00B87B83">
      <w:pPr>
        <w:pStyle w:val="Odstavecseseznamem"/>
        <w:numPr>
          <w:ilvl w:val="0"/>
          <w:numId w:val="5"/>
        </w:numPr>
        <w:shd w:val="clear" w:color="auto" w:fill="FFFFFF" w:themeFill="background1"/>
        <w:spacing w:after="120" w:line="240" w:lineRule="auto"/>
        <w:jc w:val="both"/>
        <w:rPr>
          <w:rFonts w:ascii="Arial" w:hAnsi="Arial" w:cs="Arial"/>
          <w:sz w:val="24"/>
          <w:szCs w:val="24"/>
        </w:rPr>
      </w:pPr>
      <w:r w:rsidRPr="007930EA">
        <w:rPr>
          <w:rFonts w:ascii="Arial" w:hAnsi="Arial" w:cs="Arial"/>
          <w:sz w:val="24"/>
          <w:szCs w:val="24"/>
        </w:rPr>
        <w:t>využito bude</w:t>
      </w:r>
      <w:r w:rsidR="00793ABD" w:rsidRPr="007930EA">
        <w:rPr>
          <w:rFonts w:ascii="Arial" w:hAnsi="Arial" w:cs="Arial"/>
          <w:sz w:val="24"/>
          <w:szCs w:val="24"/>
        </w:rPr>
        <w:t xml:space="preserve"> informací, které Radě </w:t>
      </w:r>
      <w:r w:rsidR="00042627" w:rsidRPr="007930EA">
        <w:rPr>
          <w:rFonts w:ascii="Arial" w:hAnsi="Arial" w:cs="Arial"/>
          <w:sz w:val="24"/>
          <w:szCs w:val="24"/>
        </w:rPr>
        <w:t>předloží</w:t>
      </w:r>
      <w:r w:rsidR="00793ABD" w:rsidRPr="007930EA">
        <w:rPr>
          <w:rFonts w:ascii="Arial" w:hAnsi="Arial" w:cs="Arial"/>
          <w:sz w:val="24"/>
          <w:szCs w:val="24"/>
        </w:rPr>
        <w:t xml:space="preserve"> poskytovatel podpory </w:t>
      </w:r>
      <w:r w:rsidR="001B2EA9" w:rsidRPr="007930EA">
        <w:rPr>
          <w:rFonts w:ascii="Arial" w:hAnsi="Arial" w:cs="Arial"/>
          <w:sz w:val="24"/>
          <w:szCs w:val="24"/>
        </w:rPr>
        <w:t xml:space="preserve">formou </w:t>
      </w:r>
      <w:r w:rsidR="00793ABD" w:rsidRPr="007930EA">
        <w:rPr>
          <w:rFonts w:ascii="Arial" w:hAnsi="Arial" w:cs="Arial"/>
          <w:sz w:val="24"/>
          <w:szCs w:val="24"/>
        </w:rPr>
        <w:t>závěrečn</w:t>
      </w:r>
      <w:r w:rsidR="001B2EA9" w:rsidRPr="007930EA">
        <w:rPr>
          <w:rFonts w:ascii="Arial" w:hAnsi="Arial" w:cs="Arial"/>
          <w:sz w:val="24"/>
          <w:szCs w:val="24"/>
        </w:rPr>
        <w:t>ých</w:t>
      </w:r>
      <w:r w:rsidR="00793ABD" w:rsidRPr="007930EA">
        <w:rPr>
          <w:rFonts w:ascii="Arial" w:hAnsi="Arial" w:cs="Arial"/>
          <w:sz w:val="24"/>
          <w:szCs w:val="24"/>
        </w:rPr>
        <w:t xml:space="preserve"> zpráv o realizaci program</w:t>
      </w:r>
      <w:r w:rsidR="001B2EA9" w:rsidRPr="007930EA">
        <w:rPr>
          <w:rFonts w:ascii="Arial" w:hAnsi="Arial" w:cs="Arial"/>
          <w:sz w:val="24"/>
          <w:szCs w:val="24"/>
        </w:rPr>
        <w:t>ů</w:t>
      </w:r>
      <w:r w:rsidRPr="007930EA">
        <w:rPr>
          <w:rFonts w:ascii="Arial" w:hAnsi="Arial" w:cs="Arial"/>
          <w:sz w:val="24"/>
          <w:szCs w:val="24"/>
        </w:rPr>
        <w:t>,</w:t>
      </w:r>
    </w:p>
    <w:p w:rsidR="00F42A12" w:rsidRPr="007930EA" w:rsidRDefault="00F42A12" w:rsidP="00B87B83">
      <w:pPr>
        <w:pStyle w:val="Odstavecseseznamem"/>
        <w:numPr>
          <w:ilvl w:val="0"/>
          <w:numId w:val="5"/>
        </w:numPr>
        <w:shd w:val="clear" w:color="auto" w:fill="FFFFFF" w:themeFill="background1"/>
        <w:spacing w:after="120" w:line="240" w:lineRule="auto"/>
        <w:jc w:val="both"/>
        <w:rPr>
          <w:rFonts w:ascii="Arial" w:hAnsi="Arial" w:cs="Arial"/>
          <w:sz w:val="24"/>
          <w:szCs w:val="24"/>
        </w:rPr>
      </w:pPr>
      <w:r w:rsidRPr="007930EA">
        <w:rPr>
          <w:rFonts w:ascii="Arial" w:hAnsi="Arial" w:cs="Arial"/>
          <w:sz w:val="24"/>
          <w:szCs w:val="24"/>
        </w:rPr>
        <w:t>v H</w:t>
      </w:r>
      <w:r w:rsidR="001B2EA9" w:rsidRPr="007930EA">
        <w:rPr>
          <w:rFonts w:ascii="Arial" w:hAnsi="Arial" w:cs="Arial"/>
          <w:sz w:val="24"/>
          <w:szCs w:val="24"/>
        </w:rPr>
        <w:t xml:space="preserve">odnocení budou rovněž </w:t>
      </w:r>
      <w:r w:rsidR="007323E6" w:rsidRPr="007930EA">
        <w:rPr>
          <w:rFonts w:ascii="Arial" w:hAnsi="Arial" w:cs="Arial"/>
          <w:sz w:val="24"/>
          <w:szCs w:val="24"/>
        </w:rPr>
        <w:t>používány</w:t>
      </w:r>
      <w:r w:rsidR="00793ABD" w:rsidRPr="007930EA">
        <w:rPr>
          <w:rFonts w:ascii="Arial" w:hAnsi="Arial" w:cs="Arial"/>
          <w:sz w:val="24"/>
          <w:szCs w:val="24"/>
        </w:rPr>
        <w:t xml:space="preserve"> údaje, které poskytovatel účelové podpory předal do</w:t>
      </w:r>
      <w:r w:rsidR="001B2EA9" w:rsidRPr="007930EA">
        <w:rPr>
          <w:rFonts w:ascii="Arial" w:hAnsi="Arial" w:cs="Arial"/>
          <w:sz w:val="24"/>
          <w:szCs w:val="24"/>
        </w:rPr>
        <w:t> </w:t>
      </w:r>
      <w:r w:rsidR="00793ABD" w:rsidRPr="007930EA">
        <w:rPr>
          <w:rFonts w:ascii="Arial" w:hAnsi="Arial" w:cs="Arial"/>
          <w:sz w:val="24"/>
          <w:szCs w:val="24"/>
        </w:rPr>
        <w:t>informačního systému výzkumu, experimentálního vývoje</w:t>
      </w:r>
      <w:r w:rsidR="00A735C7" w:rsidRPr="007930EA">
        <w:rPr>
          <w:rFonts w:ascii="Arial" w:hAnsi="Arial" w:cs="Arial"/>
          <w:sz w:val="24"/>
          <w:szCs w:val="24"/>
        </w:rPr>
        <w:t xml:space="preserve"> a inovací</w:t>
      </w:r>
      <w:r w:rsidR="00793ABD" w:rsidRPr="007930EA">
        <w:rPr>
          <w:rFonts w:ascii="Arial" w:hAnsi="Arial" w:cs="Arial"/>
          <w:sz w:val="24"/>
          <w:szCs w:val="24"/>
        </w:rPr>
        <w:t>, tj. do Centrální e</w:t>
      </w:r>
      <w:r w:rsidR="00A735C7" w:rsidRPr="007930EA">
        <w:rPr>
          <w:rFonts w:ascii="Arial" w:hAnsi="Arial" w:cs="Arial"/>
          <w:sz w:val="24"/>
          <w:szCs w:val="24"/>
        </w:rPr>
        <w:t>vidence projektů</w:t>
      </w:r>
      <w:r w:rsidR="00793ABD" w:rsidRPr="007930EA">
        <w:rPr>
          <w:rFonts w:ascii="Arial" w:hAnsi="Arial" w:cs="Arial"/>
          <w:sz w:val="24"/>
          <w:szCs w:val="24"/>
        </w:rPr>
        <w:t xml:space="preserve"> a R</w:t>
      </w:r>
      <w:r w:rsidR="00A735C7" w:rsidRPr="007930EA">
        <w:rPr>
          <w:rFonts w:ascii="Arial" w:hAnsi="Arial" w:cs="Arial"/>
          <w:sz w:val="24"/>
          <w:szCs w:val="24"/>
        </w:rPr>
        <w:t>ejstříku informací o výsledcích,</w:t>
      </w:r>
    </w:p>
    <w:p w:rsidR="008238B4" w:rsidRPr="007930EA" w:rsidRDefault="00F42A12" w:rsidP="00B87B83">
      <w:pPr>
        <w:pStyle w:val="Odstavecseseznamem"/>
        <w:numPr>
          <w:ilvl w:val="0"/>
          <w:numId w:val="5"/>
        </w:numPr>
        <w:spacing w:after="120" w:line="240" w:lineRule="auto"/>
        <w:jc w:val="both"/>
        <w:rPr>
          <w:rFonts w:ascii="Arial" w:hAnsi="Arial" w:cs="Arial"/>
          <w:sz w:val="24"/>
          <w:szCs w:val="24"/>
        </w:rPr>
      </w:pPr>
      <w:r w:rsidRPr="007930EA">
        <w:rPr>
          <w:rFonts w:ascii="Arial" w:hAnsi="Arial" w:cs="Arial"/>
          <w:sz w:val="24"/>
          <w:szCs w:val="24"/>
        </w:rPr>
        <w:t>H</w:t>
      </w:r>
      <w:r w:rsidR="004873C9" w:rsidRPr="007930EA">
        <w:rPr>
          <w:rFonts w:ascii="Arial" w:hAnsi="Arial" w:cs="Arial"/>
          <w:sz w:val="24"/>
          <w:szCs w:val="24"/>
        </w:rPr>
        <w:t xml:space="preserve">odnocení </w:t>
      </w:r>
      <w:r w:rsidR="00BF3C41" w:rsidRPr="007930EA">
        <w:rPr>
          <w:rFonts w:ascii="Arial" w:hAnsi="Arial" w:cs="Arial"/>
          <w:sz w:val="24"/>
          <w:szCs w:val="24"/>
        </w:rPr>
        <w:t xml:space="preserve">musí být </w:t>
      </w:r>
      <w:r w:rsidR="004873C9" w:rsidRPr="007930EA">
        <w:rPr>
          <w:rFonts w:ascii="Arial" w:hAnsi="Arial" w:cs="Arial"/>
          <w:sz w:val="24"/>
          <w:szCs w:val="24"/>
        </w:rPr>
        <w:t>rovněž v souladu s dokument</w:t>
      </w:r>
      <w:r w:rsidR="00BF3C41" w:rsidRPr="007930EA">
        <w:rPr>
          <w:rFonts w:ascii="Arial" w:hAnsi="Arial" w:cs="Arial"/>
          <w:sz w:val="24"/>
          <w:szCs w:val="24"/>
        </w:rPr>
        <w:t>y</w:t>
      </w:r>
      <w:r w:rsidR="004873C9" w:rsidRPr="007930EA">
        <w:rPr>
          <w:rFonts w:ascii="Arial" w:hAnsi="Arial" w:cs="Arial"/>
          <w:sz w:val="24"/>
          <w:szCs w:val="24"/>
        </w:rPr>
        <w:t xml:space="preserve"> Implementace Národních priorit orientovaného výzkumu, experimentálního vývoje a inovací, který byl schválen usnesením vlády ze dne 31. července 2013 č. 569</w:t>
      </w:r>
      <w:r w:rsidR="008238B4" w:rsidRPr="007930EA">
        <w:rPr>
          <w:rFonts w:ascii="Arial" w:hAnsi="Arial" w:cs="Arial"/>
          <w:sz w:val="24"/>
          <w:szCs w:val="24"/>
        </w:rPr>
        <w:t>.</w:t>
      </w:r>
      <w:r w:rsidR="00BF3C41" w:rsidRPr="007930EA">
        <w:rPr>
          <w:rFonts w:ascii="Arial" w:hAnsi="Arial" w:cs="Arial"/>
          <w:sz w:val="24"/>
          <w:szCs w:val="24"/>
        </w:rPr>
        <w:t xml:space="preserve"> </w:t>
      </w:r>
    </w:p>
    <w:p w:rsidR="00806A62" w:rsidRPr="007930EA" w:rsidRDefault="00806A62" w:rsidP="00DC749D">
      <w:pPr>
        <w:pStyle w:val="Nadpis3"/>
        <w:numPr>
          <w:ilvl w:val="2"/>
          <w:numId w:val="3"/>
        </w:numPr>
        <w:jc w:val="both"/>
      </w:pPr>
      <w:r w:rsidRPr="007930EA">
        <w:t>Harmonogram hodnocení</w:t>
      </w:r>
    </w:p>
    <w:p w:rsidR="00D359D4" w:rsidRPr="007930EA" w:rsidRDefault="00D359D4" w:rsidP="001F2971">
      <w:pPr>
        <w:jc w:val="both"/>
        <w:rPr>
          <w:rFonts w:ascii="Arial" w:hAnsi="Arial" w:cs="Arial"/>
          <w:sz w:val="24"/>
          <w:szCs w:val="24"/>
          <w:lang w:eastAsia="cs-CZ"/>
        </w:rPr>
      </w:pPr>
      <w:r w:rsidRPr="007930EA">
        <w:rPr>
          <w:rFonts w:ascii="Arial" w:hAnsi="Arial" w:cs="Arial"/>
          <w:sz w:val="24"/>
          <w:szCs w:val="24"/>
          <w:lang w:eastAsia="cs-CZ"/>
        </w:rPr>
        <w:t>Vzhledem k tomu, že v Metodice ani Principech nejsou uvedeny termíny</w:t>
      </w:r>
      <w:r w:rsidR="00EB3AA2" w:rsidRPr="007930EA">
        <w:rPr>
          <w:rFonts w:ascii="Arial" w:hAnsi="Arial" w:cs="Arial"/>
          <w:sz w:val="24"/>
          <w:szCs w:val="24"/>
          <w:lang w:eastAsia="cs-CZ"/>
        </w:rPr>
        <w:t xml:space="preserve"> pro</w:t>
      </w:r>
      <w:r w:rsidR="00E509EB" w:rsidRPr="007930EA">
        <w:rPr>
          <w:rFonts w:ascii="Arial" w:hAnsi="Arial" w:cs="Arial"/>
          <w:sz w:val="24"/>
          <w:szCs w:val="24"/>
          <w:lang w:eastAsia="cs-CZ"/>
        </w:rPr>
        <w:t> </w:t>
      </w:r>
      <w:r w:rsidR="00EB3AA2" w:rsidRPr="007930EA">
        <w:rPr>
          <w:rFonts w:ascii="Arial" w:hAnsi="Arial" w:cs="Arial"/>
          <w:sz w:val="24"/>
          <w:szCs w:val="24"/>
          <w:lang w:eastAsia="cs-CZ"/>
        </w:rPr>
        <w:t>předání zpráv poskytovatelů o realizaci programů</w:t>
      </w:r>
      <w:r w:rsidR="00316D90" w:rsidRPr="007930EA">
        <w:rPr>
          <w:rFonts w:ascii="Arial" w:hAnsi="Arial" w:cs="Arial"/>
          <w:sz w:val="24"/>
          <w:szCs w:val="24"/>
          <w:lang w:eastAsia="cs-CZ"/>
        </w:rPr>
        <w:t xml:space="preserve">, </w:t>
      </w:r>
      <w:r w:rsidR="007930EA" w:rsidRPr="007930EA">
        <w:rPr>
          <w:rFonts w:ascii="Arial" w:hAnsi="Arial" w:cs="Arial"/>
          <w:sz w:val="24"/>
          <w:szCs w:val="24"/>
          <w:lang w:eastAsia="cs-CZ"/>
        </w:rPr>
        <w:t>byl dopisem</w:t>
      </w:r>
      <w:r w:rsidR="00316D90" w:rsidRPr="007930EA">
        <w:rPr>
          <w:rFonts w:ascii="Arial" w:hAnsi="Arial" w:cs="Arial"/>
          <w:sz w:val="24"/>
          <w:szCs w:val="24"/>
          <w:lang w:eastAsia="cs-CZ"/>
        </w:rPr>
        <w:t xml:space="preserve"> ředitel odboru Rady pro</w:t>
      </w:r>
      <w:r w:rsidR="001F2971" w:rsidRPr="007930EA">
        <w:rPr>
          <w:rFonts w:ascii="Arial" w:hAnsi="Arial" w:cs="Arial"/>
          <w:sz w:val="24"/>
          <w:szCs w:val="24"/>
          <w:lang w:eastAsia="cs-CZ"/>
        </w:rPr>
        <w:t> </w:t>
      </w:r>
      <w:r w:rsidR="00316D90" w:rsidRPr="007930EA">
        <w:rPr>
          <w:rFonts w:ascii="Arial" w:hAnsi="Arial" w:cs="Arial"/>
          <w:sz w:val="24"/>
          <w:szCs w:val="24"/>
          <w:lang w:eastAsia="cs-CZ"/>
        </w:rPr>
        <w:t>výzkum, vývoj a inovace poskytovatel</w:t>
      </w:r>
      <w:r w:rsidR="007930EA" w:rsidRPr="007930EA">
        <w:rPr>
          <w:rFonts w:ascii="Arial" w:hAnsi="Arial" w:cs="Arial"/>
          <w:sz w:val="24"/>
          <w:szCs w:val="24"/>
          <w:lang w:eastAsia="cs-CZ"/>
        </w:rPr>
        <w:t xml:space="preserve"> vyzván</w:t>
      </w:r>
      <w:r w:rsidR="00316D90" w:rsidRPr="007930EA">
        <w:rPr>
          <w:rFonts w:ascii="Arial" w:hAnsi="Arial" w:cs="Arial"/>
          <w:sz w:val="24"/>
          <w:szCs w:val="24"/>
          <w:lang w:eastAsia="cs-CZ"/>
        </w:rPr>
        <w:t xml:space="preserve"> </w:t>
      </w:r>
      <w:r w:rsidR="007323E6" w:rsidRPr="007930EA">
        <w:rPr>
          <w:rFonts w:ascii="Arial" w:hAnsi="Arial" w:cs="Arial"/>
          <w:sz w:val="24"/>
          <w:szCs w:val="24"/>
          <w:lang w:eastAsia="cs-CZ"/>
        </w:rPr>
        <w:t>k</w:t>
      </w:r>
      <w:r w:rsidR="00316D90" w:rsidRPr="007930EA">
        <w:rPr>
          <w:rFonts w:ascii="Arial" w:hAnsi="Arial" w:cs="Arial"/>
          <w:sz w:val="24"/>
          <w:szCs w:val="24"/>
          <w:lang w:eastAsia="cs-CZ"/>
        </w:rPr>
        <w:t xml:space="preserve"> zaslání závěrečných zpráv do</w:t>
      </w:r>
      <w:r w:rsidR="0096407D">
        <w:rPr>
          <w:rFonts w:ascii="Arial" w:hAnsi="Arial" w:cs="Arial"/>
          <w:sz w:val="24"/>
          <w:szCs w:val="24"/>
          <w:lang w:eastAsia="cs-CZ"/>
        </w:rPr>
        <w:t> </w:t>
      </w:r>
      <w:r w:rsidR="00316D90" w:rsidRPr="007930EA">
        <w:rPr>
          <w:rFonts w:ascii="Arial" w:hAnsi="Arial" w:cs="Arial"/>
          <w:sz w:val="24"/>
          <w:szCs w:val="24"/>
          <w:lang w:eastAsia="cs-CZ"/>
        </w:rPr>
        <w:t xml:space="preserve">konce </w:t>
      </w:r>
      <w:r w:rsidR="001F2971" w:rsidRPr="007930EA">
        <w:rPr>
          <w:rFonts w:ascii="Arial" w:hAnsi="Arial" w:cs="Arial"/>
          <w:sz w:val="24"/>
          <w:szCs w:val="24"/>
          <w:lang w:eastAsia="cs-CZ"/>
        </w:rPr>
        <w:t>ledna</w:t>
      </w:r>
      <w:r w:rsidR="00316D90" w:rsidRPr="007930EA">
        <w:rPr>
          <w:rFonts w:ascii="Arial" w:hAnsi="Arial" w:cs="Arial"/>
          <w:sz w:val="24"/>
          <w:szCs w:val="24"/>
          <w:lang w:eastAsia="cs-CZ"/>
        </w:rPr>
        <w:t xml:space="preserve"> 20</w:t>
      </w:r>
      <w:r w:rsidR="001F2971" w:rsidRPr="007930EA">
        <w:rPr>
          <w:rFonts w:ascii="Arial" w:hAnsi="Arial" w:cs="Arial"/>
          <w:sz w:val="24"/>
          <w:szCs w:val="24"/>
          <w:lang w:eastAsia="cs-CZ"/>
        </w:rPr>
        <w:t>2</w:t>
      </w:r>
      <w:r w:rsidR="007930EA" w:rsidRPr="007930EA">
        <w:rPr>
          <w:rFonts w:ascii="Arial" w:hAnsi="Arial" w:cs="Arial"/>
          <w:sz w:val="24"/>
          <w:szCs w:val="24"/>
          <w:lang w:eastAsia="cs-CZ"/>
        </w:rPr>
        <w:t>2</w:t>
      </w:r>
      <w:r w:rsidR="00316D90" w:rsidRPr="007930EA">
        <w:rPr>
          <w:rFonts w:ascii="Arial" w:hAnsi="Arial" w:cs="Arial"/>
          <w:sz w:val="24"/>
          <w:szCs w:val="24"/>
          <w:lang w:eastAsia="cs-CZ"/>
        </w:rPr>
        <w:t>.</w:t>
      </w:r>
    </w:p>
    <w:p w:rsidR="00CD4597" w:rsidRPr="007930EA" w:rsidRDefault="00CD4597" w:rsidP="00754801">
      <w:pPr>
        <w:spacing w:after="120"/>
        <w:jc w:val="both"/>
        <w:rPr>
          <w:rFonts w:ascii="Arial" w:hAnsi="Arial" w:cs="Arial"/>
          <w:color w:val="000000"/>
          <w:sz w:val="24"/>
          <w:szCs w:val="24"/>
        </w:rPr>
      </w:pPr>
      <w:r w:rsidRPr="007930EA">
        <w:rPr>
          <w:rFonts w:ascii="Arial" w:hAnsi="Arial" w:cs="Arial"/>
          <w:color w:val="000000"/>
          <w:sz w:val="24"/>
          <w:szCs w:val="24"/>
        </w:rPr>
        <w:t>V závislosti na předání všech závěrečných zpráv poskytovatel</w:t>
      </w:r>
      <w:r w:rsidR="007930EA" w:rsidRPr="007930EA">
        <w:rPr>
          <w:rFonts w:ascii="Arial" w:hAnsi="Arial" w:cs="Arial"/>
          <w:color w:val="000000"/>
          <w:sz w:val="24"/>
          <w:szCs w:val="24"/>
        </w:rPr>
        <w:t>em</w:t>
      </w:r>
      <w:r w:rsidRPr="007930EA">
        <w:rPr>
          <w:rFonts w:ascii="Arial" w:hAnsi="Arial" w:cs="Arial"/>
          <w:color w:val="000000"/>
          <w:sz w:val="24"/>
          <w:szCs w:val="24"/>
        </w:rPr>
        <w:t xml:space="preserve">, bude závěrečné hodnocení zpracováno tak, aby dokument mohl být předložen vládě </w:t>
      </w:r>
      <w:r w:rsidR="001F2971" w:rsidRPr="007930EA">
        <w:rPr>
          <w:rFonts w:ascii="Arial" w:hAnsi="Arial" w:cs="Arial"/>
          <w:color w:val="000000"/>
          <w:sz w:val="24"/>
          <w:szCs w:val="24"/>
        </w:rPr>
        <w:t>v prvním pololetí 202</w:t>
      </w:r>
      <w:r w:rsidR="007F38B4">
        <w:rPr>
          <w:rFonts w:ascii="Arial" w:hAnsi="Arial" w:cs="Arial"/>
          <w:color w:val="000000"/>
          <w:sz w:val="24"/>
          <w:szCs w:val="24"/>
        </w:rPr>
        <w:t>2</w:t>
      </w:r>
      <w:r w:rsidRPr="007930EA">
        <w:rPr>
          <w:rFonts w:ascii="Arial" w:hAnsi="Arial" w:cs="Arial"/>
          <w:color w:val="000000"/>
          <w:sz w:val="24"/>
          <w:szCs w:val="24"/>
        </w:rPr>
        <w:t>.</w:t>
      </w:r>
    </w:p>
    <w:p w:rsidR="00F67C37" w:rsidRPr="005158B5" w:rsidRDefault="007930EA" w:rsidP="00754801">
      <w:pPr>
        <w:pStyle w:val="Nadpis3"/>
        <w:numPr>
          <w:ilvl w:val="2"/>
          <w:numId w:val="3"/>
        </w:numPr>
        <w:spacing w:before="0" w:after="120"/>
        <w:jc w:val="both"/>
      </w:pPr>
      <w:r w:rsidRPr="005158B5">
        <w:t>Programy ukončené</w:t>
      </w:r>
      <w:r w:rsidR="00F67C37" w:rsidRPr="005158B5">
        <w:t xml:space="preserve"> v roce 20</w:t>
      </w:r>
      <w:r w:rsidRPr="005158B5">
        <w:t>20 – základní údaje</w:t>
      </w:r>
    </w:p>
    <w:tbl>
      <w:tblPr>
        <w:tblW w:w="9709" w:type="dxa"/>
        <w:tblInd w:w="-72" w:type="dxa"/>
        <w:tblLayout w:type="fixed"/>
        <w:tblCellMar>
          <w:left w:w="70" w:type="dxa"/>
          <w:right w:w="70" w:type="dxa"/>
        </w:tblCellMar>
        <w:tblLook w:val="04A0" w:firstRow="1" w:lastRow="0" w:firstColumn="1" w:lastColumn="0" w:noHBand="0" w:noVBand="1"/>
      </w:tblPr>
      <w:tblGrid>
        <w:gridCol w:w="2265"/>
        <w:gridCol w:w="708"/>
        <w:gridCol w:w="5246"/>
        <w:gridCol w:w="720"/>
        <w:gridCol w:w="770"/>
      </w:tblGrid>
      <w:tr w:rsidR="004873C9" w:rsidRPr="005158B5" w:rsidTr="00DF44C9">
        <w:trPr>
          <w:cantSplit/>
        </w:trPr>
        <w:tc>
          <w:tcPr>
            <w:tcW w:w="2265" w:type="dxa"/>
            <w:vMerge w:val="restart"/>
            <w:tcBorders>
              <w:top w:val="single" w:sz="12" w:space="0" w:color="auto"/>
              <w:left w:val="single" w:sz="12" w:space="0" w:color="auto"/>
              <w:bottom w:val="double" w:sz="2" w:space="0" w:color="000000"/>
              <w:right w:val="single" w:sz="12" w:space="0" w:color="auto"/>
            </w:tcBorders>
            <w:shd w:val="clear" w:color="auto" w:fill="EEECE1" w:themeFill="background2"/>
            <w:vAlign w:val="center"/>
            <w:hideMark/>
          </w:tcPr>
          <w:p w:rsidR="004873C9" w:rsidRPr="005158B5" w:rsidRDefault="004873C9" w:rsidP="004873C9">
            <w:pPr>
              <w:suppressAutoHyphens/>
              <w:snapToGrid w:val="0"/>
              <w:spacing w:after="120" w:line="240" w:lineRule="auto"/>
              <w:jc w:val="center"/>
              <w:rPr>
                <w:rFonts w:ascii="Arial" w:hAnsi="Arial" w:cs="Arial"/>
                <w:b/>
                <w:sz w:val="24"/>
                <w:szCs w:val="24"/>
                <w:lang w:eastAsia="zh-CN"/>
              </w:rPr>
            </w:pPr>
            <w:r w:rsidRPr="005158B5">
              <w:rPr>
                <w:rFonts w:ascii="Arial" w:hAnsi="Arial" w:cs="Arial"/>
                <w:b/>
                <w:sz w:val="24"/>
                <w:szCs w:val="24"/>
              </w:rPr>
              <w:t>Poskytovatel</w:t>
            </w:r>
          </w:p>
        </w:tc>
        <w:tc>
          <w:tcPr>
            <w:tcW w:w="5954" w:type="dxa"/>
            <w:gridSpan w:val="2"/>
            <w:tcBorders>
              <w:top w:val="single" w:sz="12" w:space="0" w:color="auto"/>
              <w:left w:val="single" w:sz="12" w:space="0" w:color="auto"/>
              <w:bottom w:val="single" w:sz="4" w:space="0" w:color="000000"/>
              <w:right w:val="single" w:sz="12" w:space="0" w:color="auto"/>
            </w:tcBorders>
            <w:shd w:val="clear" w:color="auto" w:fill="EEECE1" w:themeFill="background2"/>
            <w:vAlign w:val="center"/>
            <w:hideMark/>
          </w:tcPr>
          <w:p w:rsidR="004873C9" w:rsidRPr="005158B5" w:rsidRDefault="004873C9" w:rsidP="004873C9">
            <w:pPr>
              <w:suppressAutoHyphens/>
              <w:snapToGrid w:val="0"/>
              <w:spacing w:after="120" w:line="240" w:lineRule="auto"/>
              <w:jc w:val="center"/>
              <w:rPr>
                <w:rFonts w:ascii="Arial" w:hAnsi="Arial" w:cs="Arial"/>
                <w:b/>
                <w:sz w:val="24"/>
                <w:szCs w:val="24"/>
                <w:lang w:eastAsia="zh-CN"/>
              </w:rPr>
            </w:pPr>
            <w:r w:rsidRPr="005158B5">
              <w:rPr>
                <w:rFonts w:ascii="Arial" w:hAnsi="Arial" w:cs="Arial"/>
                <w:b/>
                <w:sz w:val="24"/>
                <w:szCs w:val="24"/>
              </w:rPr>
              <w:t>Program</w:t>
            </w:r>
          </w:p>
        </w:tc>
        <w:tc>
          <w:tcPr>
            <w:tcW w:w="1490" w:type="dxa"/>
            <w:gridSpan w:val="2"/>
            <w:tcBorders>
              <w:top w:val="single" w:sz="12" w:space="0" w:color="auto"/>
              <w:left w:val="single" w:sz="12" w:space="0" w:color="auto"/>
              <w:bottom w:val="single" w:sz="4" w:space="0" w:color="000000"/>
              <w:right w:val="single" w:sz="12" w:space="0" w:color="auto"/>
            </w:tcBorders>
            <w:shd w:val="clear" w:color="auto" w:fill="EEECE1" w:themeFill="background2"/>
            <w:vAlign w:val="center"/>
            <w:hideMark/>
          </w:tcPr>
          <w:p w:rsidR="004873C9" w:rsidRPr="005158B5" w:rsidRDefault="004873C9" w:rsidP="004873C9">
            <w:pPr>
              <w:suppressAutoHyphens/>
              <w:snapToGrid w:val="0"/>
              <w:spacing w:after="120" w:line="240" w:lineRule="auto"/>
              <w:jc w:val="center"/>
              <w:rPr>
                <w:rFonts w:ascii="Arial" w:hAnsi="Arial" w:cs="Arial"/>
                <w:b/>
                <w:sz w:val="24"/>
                <w:szCs w:val="24"/>
                <w:lang w:eastAsia="zh-CN"/>
              </w:rPr>
            </w:pPr>
            <w:r w:rsidRPr="005158B5">
              <w:rPr>
                <w:rFonts w:ascii="Arial" w:hAnsi="Arial" w:cs="Arial"/>
                <w:b/>
                <w:sz w:val="24"/>
                <w:szCs w:val="24"/>
              </w:rPr>
              <w:t>Trvání programu</w:t>
            </w:r>
          </w:p>
        </w:tc>
      </w:tr>
      <w:tr w:rsidR="004873C9" w:rsidRPr="005158B5" w:rsidTr="00DF44C9">
        <w:trPr>
          <w:cantSplit/>
        </w:trPr>
        <w:tc>
          <w:tcPr>
            <w:tcW w:w="2265" w:type="dxa"/>
            <w:vMerge/>
            <w:tcBorders>
              <w:top w:val="single" w:sz="4" w:space="0" w:color="000000"/>
              <w:left w:val="single" w:sz="12" w:space="0" w:color="auto"/>
              <w:bottom w:val="single" w:sz="12" w:space="0" w:color="auto"/>
              <w:right w:val="single" w:sz="12" w:space="0" w:color="auto"/>
            </w:tcBorders>
            <w:shd w:val="clear" w:color="auto" w:fill="EEECE1" w:themeFill="background2"/>
            <w:vAlign w:val="center"/>
            <w:hideMark/>
          </w:tcPr>
          <w:p w:rsidR="004873C9" w:rsidRPr="005158B5" w:rsidRDefault="004873C9" w:rsidP="004873C9">
            <w:pPr>
              <w:spacing w:after="120" w:line="240" w:lineRule="auto"/>
              <w:rPr>
                <w:rFonts w:ascii="Arial" w:hAnsi="Arial" w:cs="Arial"/>
                <w:b/>
                <w:sz w:val="24"/>
                <w:szCs w:val="24"/>
                <w:lang w:eastAsia="zh-CN"/>
              </w:rPr>
            </w:pPr>
          </w:p>
        </w:tc>
        <w:tc>
          <w:tcPr>
            <w:tcW w:w="708"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hideMark/>
          </w:tcPr>
          <w:p w:rsidR="004873C9" w:rsidRPr="005158B5" w:rsidRDefault="004873C9" w:rsidP="004873C9">
            <w:pPr>
              <w:suppressAutoHyphens/>
              <w:snapToGrid w:val="0"/>
              <w:spacing w:after="120" w:line="240" w:lineRule="auto"/>
              <w:jc w:val="center"/>
              <w:rPr>
                <w:rFonts w:ascii="Arial" w:hAnsi="Arial" w:cs="Arial"/>
                <w:b/>
                <w:sz w:val="24"/>
                <w:szCs w:val="24"/>
                <w:lang w:eastAsia="zh-CN"/>
              </w:rPr>
            </w:pPr>
            <w:r w:rsidRPr="005158B5">
              <w:rPr>
                <w:rFonts w:ascii="Arial" w:hAnsi="Arial" w:cs="Arial"/>
                <w:b/>
                <w:sz w:val="24"/>
                <w:szCs w:val="24"/>
              </w:rPr>
              <w:t>Kód</w:t>
            </w:r>
          </w:p>
        </w:tc>
        <w:tc>
          <w:tcPr>
            <w:tcW w:w="5246" w:type="dxa"/>
            <w:tcBorders>
              <w:top w:val="single" w:sz="12" w:space="0" w:color="auto"/>
              <w:left w:val="single" w:sz="12" w:space="0" w:color="auto"/>
              <w:bottom w:val="single" w:sz="12" w:space="0" w:color="auto"/>
              <w:right w:val="nil"/>
            </w:tcBorders>
            <w:shd w:val="clear" w:color="auto" w:fill="EEECE1" w:themeFill="background2"/>
            <w:vAlign w:val="center"/>
            <w:hideMark/>
          </w:tcPr>
          <w:p w:rsidR="004873C9" w:rsidRPr="005158B5" w:rsidRDefault="004873C9" w:rsidP="004873C9">
            <w:pPr>
              <w:suppressAutoHyphens/>
              <w:snapToGrid w:val="0"/>
              <w:spacing w:after="120" w:line="240" w:lineRule="auto"/>
              <w:jc w:val="center"/>
              <w:rPr>
                <w:rFonts w:ascii="Arial" w:hAnsi="Arial" w:cs="Arial"/>
                <w:b/>
                <w:sz w:val="24"/>
                <w:szCs w:val="24"/>
                <w:lang w:eastAsia="zh-CN"/>
              </w:rPr>
            </w:pPr>
            <w:r w:rsidRPr="005158B5">
              <w:rPr>
                <w:rFonts w:ascii="Arial" w:hAnsi="Arial" w:cs="Arial"/>
                <w:b/>
                <w:sz w:val="24"/>
                <w:szCs w:val="24"/>
              </w:rPr>
              <w:t>Název</w:t>
            </w:r>
          </w:p>
        </w:tc>
        <w:tc>
          <w:tcPr>
            <w:tcW w:w="720" w:type="dxa"/>
            <w:tcBorders>
              <w:top w:val="single" w:sz="12" w:space="0" w:color="auto"/>
              <w:left w:val="single" w:sz="4" w:space="0" w:color="000000"/>
              <w:bottom w:val="single" w:sz="12" w:space="0" w:color="auto"/>
              <w:right w:val="single" w:sz="12" w:space="0" w:color="auto"/>
            </w:tcBorders>
            <w:shd w:val="clear" w:color="auto" w:fill="EEECE1" w:themeFill="background2"/>
            <w:vAlign w:val="center"/>
            <w:hideMark/>
          </w:tcPr>
          <w:p w:rsidR="004873C9" w:rsidRPr="005158B5" w:rsidRDefault="004873C9" w:rsidP="004873C9">
            <w:pPr>
              <w:suppressAutoHyphens/>
              <w:snapToGrid w:val="0"/>
              <w:spacing w:after="120" w:line="240" w:lineRule="auto"/>
              <w:jc w:val="center"/>
              <w:rPr>
                <w:rFonts w:ascii="Arial" w:hAnsi="Arial" w:cs="Arial"/>
                <w:b/>
                <w:sz w:val="24"/>
                <w:szCs w:val="24"/>
                <w:lang w:eastAsia="zh-CN"/>
              </w:rPr>
            </w:pPr>
            <w:proofErr w:type="gramStart"/>
            <w:r w:rsidRPr="005158B5">
              <w:rPr>
                <w:rFonts w:ascii="Arial" w:hAnsi="Arial" w:cs="Arial"/>
                <w:b/>
                <w:sz w:val="24"/>
                <w:szCs w:val="24"/>
              </w:rPr>
              <w:t>od</w:t>
            </w:r>
            <w:proofErr w:type="gramEnd"/>
          </w:p>
        </w:tc>
        <w:tc>
          <w:tcPr>
            <w:tcW w:w="770" w:type="dxa"/>
            <w:tcBorders>
              <w:top w:val="single" w:sz="12" w:space="0" w:color="auto"/>
              <w:left w:val="single" w:sz="12" w:space="0" w:color="auto"/>
              <w:bottom w:val="single" w:sz="12" w:space="0" w:color="auto"/>
              <w:right w:val="single" w:sz="4" w:space="0" w:color="000000"/>
            </w:tcBorders>
            <w:shd w:val="clear" w:color="auto" w:fill="EEECE1" w:themeFill="background2"/>
            <w:vAlign w:val="center"/>
            <w:hideMark/>
          </w:tcPr>
          <w:p w:rsidR="004873C9" w:rsidRPr="005158B5" w:rsidRDefault="004873C9" w:rsidP="004873C9">
            <w:pPr>
              <w:suppressAutoHyphens/>
              <w:snapToGrid w:val="0"/>
              <w:spacing w:after="120" w:line="240" w:lineRule="auto"/>
              <w:jc w:val="center"/>
              <w:rPr>
                <w:rFonts w:ascii="Arial" w:hAnsi="Arial" w:cs="Arial"/>
                <w:b/>
                <w:sz w:val="24"/>
                <w:szCs w:val="24"/>
                <w:lang w:eastAsia="zh-CN"/>
              </w:rPr>
            </w:pPr>
            <w:proofErr w:type="gramStart"/>
            <w:r w:rsidRPr="005158B5">
              <w:rPr>
                <w:rFonts w:ascii="Arial" w:hAnsi="Arial" w:cs="Arial"/>
                <w:b/>
                <w:sz w:val="24"/>
                <w:szCs w:val="24"/>
              </w:rPr>
              <w:t>do</w:t>
            </w:r>
            <w:proofErr w:type="gramEnd"/>
          </w:p>
        </w:tc>
      </w:tr>
      <w:tr w:rsidR="004873C9" w:rsidRPr="005158B5" w:rsidTr="00DF44C9">
        <w:tc>
          <w:tcPr>
            <w:tcW w:w="2265" w:type="dxa"/>
            <w:tcBorders>
              <w:top w:val="single" w:sz="12" w:space="0" w:color="auto"/>
              <w:left w:val="single" w:sz="4" w:space="0" w:color="000000"/>
              <w:bottom w:val="single" w:sz="4" w:space="0" w:color="000000"/>
              <w:right w:val="nil"/>
            </w:tcBorders>
            <w:vAlign w:val="center"/>
            <w:hideMark/>
          </w:tcPr>
          <w:p w:rsidR="004873C9" w:rsidRPr="005158B5" w:rsidRDefault="00020929" w:rsidP="00020929">
            <w:pPr>
              <w:suppressAutoHyphens/>
              <w:snapToGrid w:val="0"/>
              <w:spacing w:after="120" w:line="240" w:lineRule="auto"/>
              <w:rPr>
                <w:rFonts w:ascii="Arial" w:hAnsi="Arial" w:cs="Arial"/>
                <w:sz w:val="24"/>
                <w:szCs w:val="24"/>
                <w:lang w:eastAsia="zh-CN"/>
              </w:rPr>
            </w:pPr>
            <w:r w:rsidRPr="005158B5">
              <w:rPr>
                <w:rFonts w:ascii="Arial" w:hAnsi="Arial" w:cs="Arial"/>
                <w:sz w:val="24"/>
                <w:szCs w:val="24"/>
              </w:rPr>
              <w:t>MŠMT</w:t>
            </w:r>
            <w:r w:rsidR="004873C9" w:rsidRPr="005158B5">
              <w:rPr>
                <w:rFonts w:ascii="Arial" w:hAnsi="Arial" w:cs="Arial"/>
                <w:sz w:val="24"/>
                <w:szCs w:val="24"/>
              </w:rPr>
              <w:t xml:space="preserve"> </w:t>
            </w:r>
          </w:p>
        </w:tc>
        <w:tc>
          <w:tcPr>
            <w:tcW w:w="708" w:type="dxa"/>
            <w:tcBorders>
              <w:top w:val="single" w:sz="12" w:space="0" w:color="auto"/>
              <w:left w:val="single" w:sz="4" w:space="0" w:color="000000"/>
              <w:bottom w:val="single" w:sz="4" w:space="0" w:color="000000"/>
              <w:right w:val="nil"/>
            </w:tcBorders>
            <w:vAlign w:val="center"/>
            <w:hideMark/>
          </w:tcPr>
          <w:p w:rsidR="004873C9" w:rsidRPr="005158B5" w:rsidRDefault="00020929" w:rsidP="005158B5">
            <w:pPr>
              <w:suppressAutoHyphens/>
              <w:snapToGrid w:val="0"/>
              <w:spacing w:after="120" w:line="240" w:lineRule="auto"/>
              <w:jc w:val="center"/>
              <w:rPr>
                <w:rFonts w:ascii="Arial" w:hAnsi="Arial" w:cs="Arial"/>
                <w:sz w:val="24"/>
                <w:szCs w:val="24"/>
                <w:lang w:eastAsia="zh-CN"/>
              </w:rPr>
            </w:pPr>
            <w:r w:rsidRPr="005158B5">
              <w:rPr>
                <w:rFonts w:ascii="Arial" w:hAnsi="Arial" w:cs="Arial"/>
                <w:sz w:val="24"/>
                <w:szCs w:val="24"/>
              </w:rPr>
              <w:t>L</w:t>
            </w:r>
            <w:r w:rsidR="005158B5" w:rsidRPr="005158B5">
              <w:rPr>
                <w:rFonts w:ascii="Arial" w:hAnsi="Arial" w:cs="Arial"/>
                <w:sz w:val="24"/>
                <w:szCs w:val="24"/>
              </w:rPr>
              <w:t>O</w:t>
            </w:r>
          </w:p>
        </w:tc>
        <w:tc>
          <w:tcPr>
            <w:tcW w:w="5246" w:type="dxa"/>
            <w:tcBorders>
              <w:top w:val="single" w:sz="12" w:space="0" w:color="auto"/>
              <w:left w:val="single" w:sz="4" w:space="0" w:color="000000"/>
              <w:bottom w:val="single" w:sz="4" w:space="0" w:color="000000"/>
              <w:right w:val="nil"/>
            </w:tcBorders>
            <w:vAlign w:val="center"/>
            <w:hideMark/>
          </w:tcPr>
          <w:p w:rsidR="004873C9" w:rsidRPr="005158B5" w:rsidRDefault="005158B5" w:rsidP="005158B5">
            <w:pPr>
              <w:suppressAutoHyphens/>
              <w:snapToGrid w:val="0"/>
              <w:spacing w:after="120" w:line="240" w:lineRule="auto"/>
              <w:jc w:val="both"/>
              <w:rPr>
                <w:rFonts w:ascii="Arial" w:hAnsi="Arial" w:cs="Arial"/>
                <w:sz w:val="24"/>
                <w:szCs w:val="24"/>
                <w:lang w:eastAsia="zh-CN"/>
              </w:rPr>
            </w:pPr>
            <w:r w:rsidRPr="005158B5">
              <w:rPr>
                <w:rFonts w:ascii="Arial" w:hAnsi="Arial" w:cs="Arial"/>
                <w:sz w:val="24"/>
                <w:szCs w:val="24"/>
              </w:rPr>
              <w:t>NP</w:t>
            </w:r>
            <w:r w:rsidR="007F38B4">
              <w:rPr>
                <w:rFonts w:ascii="Arial" w:hAnsi="Arial" w:cs="Arial"/>
                <w:sz w:val="24"/>
                <w:szCs w:val="24"/>
              </w:rPr>
              <w:t>U</w:t>
            </w:r>
            <w:r w:rsidRPr="005158B5">
              <w:rPr>
                <w:rFonts w:ascii="Arial" w:hAnsi="Arial" w:cs="Arial"/>
                <w:sz w:val="24"/>
                <w:szCs w:val="24"/>
              </w:rPr>
              <w:t xml:space="preserve"> </w:t>
            </w:r>
            <w:r w:rsidR="007F38B4">
              <w:rPr>
                <w:rFonts w:ascii="Arial" w:hAnsi="Arial" w:cs="Arial"/>
                <w:sz w:val="24"/>
                <w:szCs w:val="24"/>
              </w:rPr>
              <w:t>I</w:t>
            </w:r>
          </w:p>
        </w:tc>
        <w:tc>
          <w:tcPr>
            <w:tcW w:w="720" w:type="dxa"/>
            <w:tcBorders>
              <w:top w:val="single" w:sz="12" w:space="0" w:color="auto"/>
              <w:left w:val="single" w:sz="4" w:space="0" w:color="000000"/>
              <w:bottom w:val="single" w:sz="4" w:space="0" w:color="000000"/>
              <w:right w:val="nil"/>
            </w:tcBorders>
            <w:vAlign w:val="center"/>
            <w:hideMark/>
          </w:tcPr>
          <w:p w:rsidR="004873C9" w:rsidRPr="005158B5" w:rsidRDefault="004873C9" w:rsidP="005158B5">
            <w:pPr>
              <w:suppressAutoHyphens/>
              <w:snapToGrid w:val="0"/>
              <w:spacing w:after="120" w:line="240" w:lineRule="auto"/>
              <w:jc w:val="center"/>
              <w:rPr>
                <w:rFonts w:ascii="Arial" w:hAnsi="Arial" w:cs="Arial"/>
                <w:sz w:val="24"/>
                <w:szCs w:val="24"/>
                <w:lang w:eastAsia="zh-CN"/>
              </w:rPr>
            </w:pPr>
            <w:r w:rsidRPr="005158B5">
              <w:rPr>
                <w:rFonts w:ascii="Arial" w:hAnsi="Arial" w:cs="Arial"/>
                <w:sz w:val="24"/>
                <w:szCs w:val="24"/>
              </w:rPr>
              <w:t>201</w:t>
            </w:r>
            <w:r w:rsidR="005158B5" w:rsidRPr="005158B5">
              <w:rPr>
                <w:rFonts w:ascii="Arial" w:hAnsi="Arial" w:cs="Arial"/>
                <w:sz w:val="24"/>
                <w:szCs w:val="24"/>
              </w:rPr>
              <w:t>3</w:t>
            </w:r>
          </w:p>
        </w:tc>
        <w:tc>
          <w:tcPr>
            <w:tcW w:w="770" w:type="dxa"/>
            <w:tcBorders>
              <w:top w:val="single" w:sz="12" w:space="0" w:color="auto"/>
              <w:left w:val="single" w:sz="4" w:space="0" w:color="000000"/>
              <w:bottom w:val="single" w:sz="4" w:space="0" w:color="000000"/>
              <w:right w:val="single" w:sz="4" w:space="0" w:color="000000"/>
            </w:tcBorders>
            <w:vAlign w:val="center"/>
            <w:hideMark/>
          </w:tcPr>
          <w:p w:rsidR="004873C9" w:rsidRPr="005158B5" w:rsidRDefault="004873C9" w:rsidP="005158B5">
            <w:pPr>
              <w:suppressAutoHyphens/>
              <w:snapToGrid w:val="0"/>
              <w:spacing w:after="120" w:line="240" w:lineRule="auto"/>
              <w:jc w:val="center"/>
              <w:rPr>
                <w:rFonts w:ascii="Arial" w:hAnsi="Arial" w:cs="Arial"/>
                <w:sz w:val="24"/>
                <w:szCs w:val="24"/>
                <w:lang w:eastAsia="zh-CN"/>
              </w:rPr>
            </w:pPr>
            <w:r w:rsidRPr="005158B5">
              <w:rPr>
                <w:rFonts w:ascii="Arial" w:hAnsi="Arial" w:cs="Arial"/>
                <w:sz w:val="24"/>
                <w:szCs w:val="24"/>
              </w:rPr>
              <w:t>20</w:t>
            </w:r>
            <w:r w:rsidR="005158B5" w:rsidRPr="005158B5">
              <w:rPr>
                <w:rFonts w:ascii="Arial" w:hAnsi="Arial" w:cs="Arial"/>
                <w:sz w:val="24"/>
                <w:szCs w:val="24"/>
              </w:rPr>
              <w:t>20</w:t>
            </w:r>
          </w:p>
        </w:tc>
      </w:tr>
      <w:tr w:rsidR="004873C9" w:rsidRPr="005158B5" w:rsidTr="00DF44C9">
        <w:tc>
          <w:tcPr>
            <w:tcW w:w="2265" w:type="dxa"/>
            <w:tcBorders>
              <w:top w:val="single" w:sz="4" w:space="0" w:color="000000"/>
              <w:left w:val="single" w:sz="4" w:space="0" w:color="000000"/>
              <w:bottom w:val="single" w:sz="4" w:space="0" w:color="000000"/>
              <w:right w:val="nil"/>
            </w:tcBorders>
            <w:vAlign w:val="center"/>
          </w:tcPr>
          <w:p w:rsidR="004873C9" w:rsidRPr="005158B5" w:rsidRDefault="005158B5" w:rsidP="005158B5">
            <w:pPr>
              <w:suppressAutoHyphens/>
              <w:snapToGrid w:val="0"/>
              <w:spacing w:after="120" w:line="240" w:lineRule="auto"/>
              <w:rPr>
                <w:rFonts w:ascii="Arial" w:hAnsi="Arial" w:cs="Arial"/>
                <w:sz w:val="24"/>
                <w:szCs w:val="24"/>
              </w:rPr>
            </w:pPr>
            <w:r w:rsidRPr="005158B5">
              <w:rPr>
                <w:rFonts w:ascii="Arial" w:hAnsi="Arial" w:cs="Arial"/>
                <w:sz w:val="24"/>
                <w:szCs w:val="24"/>
              </w:rPr>
              <w:t>MŠMT</w:t>
            </w:r>
          </w:p>
        </w:tc>
        <w:tc>
          <w:tcPr>
            <w:tcW w:w="708" w:type="dxa"/>
            <w:tcBorders>
              <w:top w:val="single" w:sz="4" w:space="0" w:color="000000"/>
              <w:left w:val="single" w:sz="4" w:space="0" w:color="000000"/>
              <w:bottom w:val="single" w:sz="4" w:space="0" w:color="000000"/>
              <w:right w:val="nil"/>
            </w:tcBorders>
            <w:vAlign w:val="center"/>
          </w:tcPr>
          <w:p w:rsidR="004873C9" w:rsidRPr="005158B5" w:rsidRDefault="005158B5" w:rsidP="005158B5">
            <w:pPr>
              <w:suppressAutoHyphens/>
              <w:snapToGrid w:val="0"/>
              <w:spacing w:after="120" w:line="240" w:lineRule="auto"/>
              <w:jc w:val="center"/>
              <w:rPr>
                <w:rFonts w:ascii="Arial" w:hAnsi="Arial" w:cs="Arial"/>
                <w:sz w:val="24"/>
                <w:szCs w:val="24"/>
              </w:rPr>
            </w:pPr>
            <w:r w:rsidRPr="005158B5">
              <w:rPr>
                <w:rFonts w:ascii="Arial" w:hAnsi="Arial" w:cs="Arial"/>
                <w:sz w:val="24"/>
                <w:szCs w:val="24"/>
              </w:rPr>
              <w:t>LQ</w:t>
            </w:r>
            <w:r w:rsidR="00DF44C9" w:rsidRPr="005158B5">
              <w:rPr>
                <w:rFonts w:ascii="Arial" w:hAnsi="Arial" w:cs="Arial"/>
                <w:sz w:val="24"/>
                <w:szCs w:val="24"/>
              </w:rPr>
              <w:t xml:space="preserve"> </w:t>
            </w:r>
          </w:p>
        </w:tc>
        <w:tc>
          <w:tcPr>
            <w:tcW w:w="5246" w:type="dxa"/>
            <w:tcBorders>
              <w:top w:val="single" w:sz="4" w:space="0" w:color="000000"/>
              <w:left w:val="single" w:sz="4" w:space="0" w:color="000000"/>
              <w:bottom w:val="single" w:sz="4" w:space="0" w:color="000000"/>
              <w:right w:val="nil"/>
            </w:tcBorders>
            <w:vAlign w:val="center"/>
          </w:tcPr>
          <w:p w:rsidR="004873C9" w:rsidRPr="005158B5" w:rsidRDefault="005158B5" w:rsidP="005158B5">
            <w:pPr>
              <w:suppressAutoHyphens/>
              <w:snapToGrid w:val="0"/>
              <w:spacing w:after="120" w:line="240" w:lineRule="auto"/>
              <w:jc w:val="both"/>
              <w:rPr>
                <w:rFonts w:ascii="Arial" w:hAnsi="Arial" w:cs="Arial"/>
                <w:sz w:val="24"/>
                <w:szCs w:val="24"/>
              </w:rPr>
            </w:pPr>
            <w:r w:rsidRPr="005158B5">
              <w:rPr>
                <w:rFonts w:ascii="Arial" w:hAnsi="Arial" w:cs="Arial"/>
                <w:sz w:val="24"/>
                <w:szCs w:val="24"/>
              </w:rPr>
              <w:t>NP</w:t>
            </w:r>
            <w:r w:rsidR="007F38B4">
              <w:rPr>
                <w:rFonts w:ascii="Arial" w:hAnsi="Arial" w:cs="Arial"/>
                <w:sz w:val="24"/>
                <w:szCs w:val="24"/>
              </w:rPr>
              <w:t>U</w:t>
            </w:r>
            <w:r w:rsidRPr="005158B5">
              <w:rPr>
                <w:rFonts w:ascii="Arial" w:hAnsi="Arial" w:cs="Arial"/>
                <w:sz w:val="24"/>
                <w:szCs w:val="24"/>
              </w:rPr>
              <w:t xml:space="preserve"> </w:t>
            </w:r>
            <w:r w:rsidR="007F38B4">
              <w:rPr>
                <w:rFonts w:ascii="Arial" w:hAnsi="Arial" w:cs="Arial"/>
                <w:sz w:val="24"/>
                <w:szCs w:val="24"/>
              </w:rPr>
              <w:t>II</w:t>
            </w:r>
          </w:p>
        </w:tc>
        <w:tc>
          <w:tcPr>
            <w:tcW w:w="720" w:type="dxa"/>
            <w:tcBorders>
              <w:top w:val="single" w:sz="4" w:space="0" w:color="000000"/>
              <w:left w:val="single" w:sz="4" w:space="0" w:color="000000"/>
              <w:bottom w:val="single" w:sz="4" w:space="0" w:color="000000"/>
              <w:right w:val="nil"/>
            </w:tcBorders>
            <w:vAlign w:val="center"/>
          </w:tcPr>
          <w:p w:rsidR="004873C9" w:rsidRPr="005158B5" w:rsidRDefault="004873C9" w:rsidP="005158B5">
            <w:pPr>
              <w:suppressAutoHyphens/>
              <w:snapToGrid w:val="0"/>
              <w:spacing w:after="120" w:line="240" w:lineRule="auto"/>
              <w:jc w:val="center"/>
              <w:rPr>
                <w:rFonts w:ascii="Arial" w:hAnsi="Arial" w:cs="Arial"/>
                <w:sz w:val="24"/>
                <w:szCs w:val="24"/>
              </w:rPr>
            </w:pPr>
            <w:r w:rsidRPr="005158B5">
              <w:rPr>
                <w:rFonts w:ascii="Arial" w:hAnsi="Arial" w:cs="Arial"/>
                <w:sz w:val="24"/>
                <w:szCs w:val="24"/>
              </w:rPr>
              <w:t>20</w:t>
            </w:r>
            <w:r w:rsidR="00DF44C9" w:rsidRPr="005158B5">
              <w:rPr>
                <w:rFonts w:ascii="Arial" w:hAnsi="Arial" w:cs="Arial"/>
                <w:sz w:val="24"/>
                <w:szCs w:val="24"/>
              </w:rPr>
              <w:t>1</w:t>
            </w:r>
            <w:r w:rsidR="005158B5" w:rsidRPr="005158B5">
              <w:rPr>
                <w:rFonts w:ascii="Arial" w:hAnsi="Arial" w:cs="Arial"/>
                <w:sz w:val="24"/>
                <w:szCs w:val="24"/>
              </w:rPr>
              <w:t>6</w:t>
            </w:r>
          </w:p>
        </w:tc>
        <w:tc>
          <w:tcPr>
            <w:tcW w:w="770" w:type="dxa"/>
            <w:tcBorders>
              <w:top w:val="single" w:sz="4" w:space="0" w:color="000000"/>
              <w:left w:val="single" w:sz="4" w:space="0" w:color="000000"/>
              <w:bottom w:val="single" w:sz="4" w:space="0" w:color="000000"/>
              <w:right w:val="single" w:sz="4" w:space="0" w:color="000000"/>
            </w:tcBorders>
            <w:vAlign w:val="center"/>
          </w:tcPr>
          <w:p w:rsidR="004873C9" w:rsidRPr="005158B5" w:rsidRDefault="004873C9" w:rsidP="005158B5">
            <w:pPr>
              <w:suppressAutoHyphens/>
              <w:snapToGrid w:val="0"/>
              <w:spacing w:after="120" w:line="240" w:lineRule="auto"/>
              <w:jc w:val="center"/>
              <w:rPr>
                <w:rFonts w:ascii="Arial" w:hAnsi="Arial" w:cs="Arial"/>
                <w:sz w:val="24"/>
                <w:szCs w:val="24"/>
              </w:rPr>
            </w:pPr>
            <w:r w:rsidRPr="005158B5">
              <w:rPr>
                <w:rFonts w:ascii="Arial" w:hAnsi="Arial" w:cs="Arial"/>
                <w:sz w:val="24"/>
                <w:szCs w:val="24"/>
              </w:rPr>
              <w:t>20</w:t>
            </w:r>
            <w:r w:rsidR="005158B5" w:rsidRPr="005158B5">
              <w:rPr>
                <w:rFonts w:ascii="Arial" w:hAnsi="Arial" w:cs="Arial"/>
                <w:sz w:val="24"/>
                <w:szCs w:val="24"/>
              </w:rPr>
              <w:t>20</w:t>
            </w:r>
          </w:p>
        </w:tc>
      </w:tr>
    </w:tbl>
    <w:p w:rsidR="00263E64" w:rsidRDefault="00263E64" w:rsidP="00D13290">
      <w:pPr>
        <w:spacing w:after="120" w:line="240" w:lineRule="auto"/>
        <w:jc w:val="both"/>
        <w:rPr>
          <w:rFonts w:ascii="Arial" w:hAnsi="Arial" w:cs="Arial"/>
          <w:sz w:val="24"/>
          <w:szCs w:val="24"/>
        </w:rPr>
      </w:pPr>
    </w:p>
    <w:sectPr w:rsidR="00263E64" w:rsidSect="004873C9">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146" w:rsidRDefault="00143146" w:rsidP="004873C9">
      <w:pPr>
        <w:spacing w:after="0" w:line="240" w:lineRule="auto"/>
      </w:pPr>
      <w:r>
        <w:separator/>
      </w:r>
    </w:p>
  </w:endnote>
  <w:endnote w:type="continuationSeparator" w:id="0">
    <w:p w:rsidR="00143146" w:rsidRDefault="00143146" w:rsidP="0048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00086"/>
      <w:docPartObj>
        <w:docPartGallery w:val="Page Numbers (Bottom of Page)"/>
        <w:docPartUnique/>
      </w:docPartObj>
    </w:sdtPr>
    <w:sdtEndPr/>
    <w:sdtContent>
      <w:sdt>
        <w:sdtPr>
          <w:id w:val="860082579"/>
          <w:docPartObj>
            <w:docPartGallery w:val="Page Numbers (Top of Page)"/>
            <w:docPartUnique/>
          </w:docPartObj>
        </w:sdtPr>
        <w:sdtEndPr/>
        <w:sdtContent>
          <w:p w:rsidR="00FC2D32" w:rsidRDefault="00FC2D32">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E834EE">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834EE">
              <w:rPr>
                <w:b/>
                <w:bCs/>
                <w:noProof/>
              </w:rPr>
              <w:t>2</w:t>
            </w:r>
            <w:r>
              <w:rPr>
                <w:b/>
                <w:bCs/>
                <w:sz w:val="24"/>
                <w:szCs w:val="24"/>
              </w:rPr>
              <w:fldChar w:fldCharType="end"/>
            </w:r>
          </w:p>
        </w:sdtContent>
      </w:sdt>
    </w:sdtContent>
  </w:sdt>
  <w:p w:rsidR="00FC2D32" w:rsidRPr="00426AEB" w:rsidRDefault="00FC2D32">
    <w:pPr>
      <w:pStyle w:val="Zpa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034021"/>
      <w:docPartObj>
        <w:docPartGallery w:val="Page Numbers (Bottom of Page)"/>
        <w:docPartUnique/>
      </w:docPartObj>
    </w:sdtPr>
    <w:sdtEndPr/>
    <w:sdtContent>
      <w:sdt>
        <w:sdtPr>
          <w:id w:val="1376582532"/>
          <w:docPartObj>
            <w:docPartGallery w:val="Page Numbers (Top of Page)"/>
            <w:docPartUnique/>
          </w:docPartObj>
        </w:sdtPr>
        <w:sdtEndPr/>
        <w:sdtContent>
          <w:p w:rsidR="00FC2D32" w:rsidRDefault="00FC2D32">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E834EE">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834EE">
              <w:rPr>
                <w:b/>
                <w:bCs/>
                <w:noProof/>
              </w:rPr>
              <w:t>2</w:t>
            </w:r>
            <w:r>
              <w:rPr>
                <w:b/>
                <w:bCs/>
                <w:sz w:val="24"/>
                <w:szCs w:val="24"/>
              </w:rPr>
              <w:fldChar w:fldCharType="end"/>
            </w:r>
          </w:p>
        </w:sdtContent>
      </w:sdt>
    </w:sdtContent>
  </w:sdt>
  <w:p w:rsidR="00FC2D32" w:rsidRDefault="00FC2D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146" w:rsidRDefault="00143146" w:rsidP="004873C9">
      <w:pPr>
        <w:spacing w:after="0" w:line="240" w:lineRule="auto"/>
      </w:pPr>
      <w:r>
        <w:separator/>
      </w:r>
    </w:p>
  </w:footnote>
  <w:footnote w:type="continuationSeparator" w:id="0">
    <w:p w:rsidR="00143146" w:rsidRDefault="00143146" w:rsidP="00487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747" w:type="dxa"/>
      <w:tblLook w:val="04A0" w:firstRow="1" w:lastRow="0" w:firstColumn="1" w:lastColumn="0" w:noHBand="0" w:noVBand="1"/>
    </w:tblPr>
    <w:tblGrid>
      <w:gridCol w:w="8188"/>
      <w:gridCol w:w="1559"/>
    </w:tblGrid>
    <w:tr w:rsidR="00D13290" w:rsidTr="00A53AC0">
      <w:trPr>
        <w:trHeight w:val="686"/>
      </w:trPr>
      <w:tc>
        <w:tcPr>
          <w:tcW w:w="8188" w:type="dxa"/>
          <w:tcBorders>
            <w:top w:val="nil"/>
            <w:left w:val="nil"/>
            <w:bottom w:val="nil"/>
            <w:right w:val="single" w:sz="6" w:space="0" w:color="auto"/>
          </w:tcBorders>
          <w:vAlign w:val="center"/>
        </w:tcPr>
        <w:p w:rsidR="00D13290" w:rsidRPr="009758E5" w:rsidRDefault="00D13290" w:rsidP="00F55080">
          <w:pPr>
            <w:pStyle w:val="Zhlav"/>
            <w:rPr>
              <w:rFonts w:ascii="Arial" w:hAnsi="Arial" w:cs="Arial"/>
              <w:b/>
              <w:color w:val="0B38B5"/>
            </w:rPr>
          </w:pPr>
          <w:r w:rsidRPr="00A51417">
            <w:rPr>
              <w:rFonts w:ascii="Arial" w:hAnsi="Arial" w:cs="Arial"/>
              <w:b/>
              <w:noProof/>
              <w:color w:val="0B38B5"/>
              <w:lang w:eastAsia="cs-CZ"/>
            </w:rPr>
            <w:drawing>
              <wp:anchor distT="0" distB="0" distL="114300" distR="114300" simplePos="0" relativeHeight="251659264" behindDoc="0" locked="0" layoutInCell="1" allowOverlap="1" wp14:anchorId="3D5B05A3" wp14:editId="67F40D90">
                <wp:simplePos x="0" y="0"/>
                <wp:positionH relativeFrom="column">
                  <wp:posOffset>635</wp:posOffset>
                </wp:positionH>
                <wp:positionV relativeFrom="paragraph">
                  <wp:posOffset>-68638</wp:posOffset>
                </wp:positionV>
                <wp:extent cx="914760" cy="277200"/>
                <wp:effectExtent l="0" t="0" r="0" b="889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4760" cy="277200"/>
                        </a:xfrm>
                        <a:prstGeom prst="rect">
                          <a:avLst/>
                        </a:prstGeom>
                      </pic:spPr>
                    </pic:pic>
                  </a:graphicData>
                </a:graphic>
                <wp14:sizeRelV relativeFrom="margin">
                  <wp14:pctHeight>0</wp14:pctHeight>
                </wp14:sizeRelV>
              </wp:anchor>
            </w:drawing>
          </w:r>
          <w:r>
            <w:rPr>
              <w:rFonts w:ascii="Arial" w:hAnsi="Arial" w:cs="Arial"/>
              <w:b/>
            </w:rPr>
            <w:t xml:space="preserve">                       </w:t>
          </w:r>
          <w:r w:rsidRPr="00D27C56">
            <w:rPr>
              <w:rFonts w:ascii="Arial" w:hAnsi="Arial" w:cs="Arial"/>
              <w:b/>
            </w:rPr>
            <w:t>Rada pro výzkum, vývoj a inova</w:t>
          </w:r>
          <w:r w:rsidRPr="009758E5">
            <w:rPr>
              <w:rFonts w:ascii="Arial" w:hAnsi="Arial" w:cs="Arial"/>
              <w:b/>
            </w:rPr>
            <w:t>ce</w:t>
          </w:r>
        </w:p>
      </w:tc>
      <w:tc>
        <w:tcPr>
          <w:tcW w:w="1559"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rsidR="00D13290" w:rsidRPr="00C12F55" w:rsidRDefault="00D13290" w:rsidP="00327108">
          <w:pPr>
            <w:pStyle w:val="Zhlav"/>
            <w:jc w:val="center"/>
            <w:rPr>
              <w:rFonts w:ascii="Arial" w:hAnsi="Arial" w:cs="Arial"/>
              <w:b/>
              <w:color w:val="0070C0"/>
              <w:sz w:val="28"/>
              <w:szCs w:val="28"/>
            </w:rPr>
          </w:pPr>
          <w:r>
            <w:rPr>
              <w:rFonts w:ascii="Arial" w:hAnsi="Arial" w:cs="Arial"/>
              <w:b/>
              <w:color w:val="0070C0"/>
              <w:sz w:val="28"/>
              <w:szCs w:val="28"/>
            </w:rPr>
            <w:t>3</w:t>
          </w:r>
          <w:r w:rsidR="00327108">
            <w:rPr>
              <w:rFonts w:ascii="Arial" w:hAnsi="Arial" w:cs="Arial"/>
              <w:b/>
              <w:color w:val="0070C0"/>
              <w:sz w:val="28"/>
              <w:szCs w:val="28"/>
            </w:rPr>
            <w:t>7</w:t>
          </w:r>
          <w:r w:rsidR="00E559E1">
            <w:rPr>
              <w:rFonts w:ascii="Arial" w:hAnsi="Arial" w:cs="Arial"/>
              <w:b/>
              <w:color w:val="0070C0"/>
              <w:sz w:val="28"/>
              <w:szCs w:val="28"/>
            </w:rPr>
            <w:t>4</w:t>
          </w:r>
          <w:r w:rsidRPr="00C12F55">
            <w:rPr>
              <w:rFonts w:ascii="Arial" w:hAnsi="Arial" w:cs="Arial"/>
              <w:b/>
              <w:color w:val="0070C0"/>
              <w:sz w:val="28"/>
              <w:szCs w:val="28"/>
            </w:rPr>
            <w:t>/C</w:t>
          </w:r>
          <w:r w:rsidR="00E559E1">
            <w:rPr>
              <w:rFonts w:ascii="Arial" w:hAnsi="Arial" w:cs="Arial"/>
              <w:b/>
              <w:color w:val="0070C0"/>
              <w:sz w:val="28"/>
              <w:szCs w:val="28"/>
            </w:rPr>
            <w:t>8</w:t>
          </w:r>
        </w:p>
      </w:tc>
    </w:tr>
  </w:tbl>
  <w:p w:rsidR="00D13290" w:rsidRDefault="00D132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85B399"/>
    <w:multiLevelType w:val="hybridMultilevel"/>
    <w:tmpl w:val="8B3E5D3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A"/>
    <w:multiLevelType w:val="singleLevel"/>
    <w:tmpl w:val="0000000A"/>
    <w:name w:val="WW8Num26"/>
    <w:lvl w:ilvl="0">
      <w:start w:val="1"/>
      <w:numFmt w:val="lowerLetter"/>
      <w:lvlText w:val="%1)"/>
      <w:lvlJc w:val="left"/>
      <w:pPr>
        <w:tabs>
          <w:tab w:val="num" w:pos="0"/>
        </w:tabs>
        <w:ind w:left="720" w:hanging="360"/>
      </w:pPr>
    </w:lvl>
  </w:abstractNum>
  <w:abstractNum w:abstractNumId="2" w15:restartNumberingAfterBreak="0">
    <w:nsid w:val="01747338"/>
    <w:multiLevelType w:val="hybridMultilevel"/>
    <w:tmpl w:val="7EAAC3DA"/>
    <w:lvl w:ilvl="0" w:tplc="0409000F">
      <w:start w:val="1"/>
      <w:numFmt w:val="decimal"/>
      <w:lvlText w:val="%1."/>
      <w:lvlJc w:val="left"/>
      <w:pPr>
        <w:ind w:left="786" w:hanging="360"/>
      </w:pPr>
    </w:lvl>
    <w:lvl w:ilvl="1" w:tplc="0409000F">
      <w:start w:val="1"/>
      <w:numFmt w:val="decimal"/>
      <w:lvlText w:val="%2."/>
      <w:lvlJc w:val="left"/>
      <w:pPr>
        <w:ind w:left="1440" w:hanging="360"/>
      </w:pPr>
    </w:lvl>
    <w:lvl w:ilvl="2" w:tplc="3CBA301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75A1B"/>
    <w:multiLevelType w:val="multilevel"/>
    <w:tmpl w:val="84B6AE8A"/>
    <w:lvl w:ilvl="0">
      <w:start w:val="1"/>
      <w:numFmt w:val="decimal"/>
      <w:pStyle w:val="Nadpis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146" w:hanging="720"/>
      </w:pPr>
      <w:rPr>
        <w:rFonts w:ascii="Symbol" w:hAnsi="Symbol" w:hint="default"/>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086953E8"/>
    <w:multiLevelType w:val="hybridMultilevel"/>
    <w:tmpl w:val="70ACF08C"/>
    <w:lvl w:ilvl="0" w:tplc="DC2ADEFE">
      <w:start w:val="1"/>
      <w:numFmt w:val="bullet"/>
      <w:lvlText w:val=""/>
      <w:lvlJc w:val="left"/>
      <w:pPr>
        <w:tabs>
          <w:tab w:val="num" w:pos="340"/>
        </w:tabs>
        <w:ind w:left="340" w:hanging="34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FB3D41"/>
    <w:multiLevelType w:val="hybridMultilevel"/>
    <w:tmpl w:val="7772CB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311B6E"/>
    <w:multiLevelType w:val="multilevel"/>
    <w:tmpl w:val="0405001D"/>
    <w:styleLink w:val="Styl2"/>
    <w:lvl w:ilvl="0">
      <w:start w:val="1"/>
      <w:numFmt w:val="decimal"/>
      <w:lvlText w:val="%1)"/>
      <w:lvlJc w:val="left"/>
      <w:pPr>
        <w:ind w:left="360" w:hanging="360"/>
      </w:pPr>
    </w:lvl>
    <w:lvl w:ilvl="1">
      <w:start w:val="1"/>
      <w:numFmt w:val="lowerLetter"/>
      <w:lvlText w:val="%2)"/>
      <w:lvlJc w:val="left"/>
      <w:pPr>
        <w:ind w:left="720" w:hanging="360"/>
      </w:pPr>
      <w:rPr>
        <w:rFonts w:ascii="Arial" w:hAnsi="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A2E3D6A"/>
    <w:multiLevelType w:val="hybridMultilevel"/>
    <w:tmpl w:val="B24C8414"/>
    <w:lvl w:ilvl="0" w:tplc="3EF238A4">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786082"/>
    <w:multiLevelType w:val="hybridMultilevel"/>
    <w:tmpl w:val="3CC25F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A024A4"/>
    <w:multiLevelType w:val="multilevel"/>
    <w:tmpl w:val="A44A30F8"/>
    <w:numStyleLink w:val="Styl3"/>
  </w:abstractNum>
  <w:abstractNum w:abstractNumId="10" w15:restartNumberingAfterBreak="0">
    <w:nsid w:val="3D2C7AD2"/>
    <w:multiLevelType w:val="hybridMultilevel"/>
    <w:tmpl w:val="EAAEBE26"/>
    <w:lvl w:ilvl="0" w:tplc="3EF238A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403156"/>
    <w:multiLevelType w:val="hybridMultilevel"/>
    <w:tmpl w:val="625E135E"/>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ECDE0A"/>
    <w:multiLevelType w:val="hybridMultilevel"/>
    <w:tmpl w:val="F30CBD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AAE0B7A"/>
    <w:multiLevelType w:val="hybridMultilevel"/>
    <w:tmpl w:val="2B547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BE24873"/>
    <w:multiLevelType w:val="multilevel"/>
    <w:tmpl w:val="A44A30F8"/>
    <w:styleLink w:val="Styl3"/>
    <w:lvl w:ilvl="0">
      <w:start w:val="7"/>
      <w:numFmt w:val="decimal"/>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F1329B3"/>
    <w:multiLevelType w:val="hybridMultilevel"/>
    <w:tmpl w:val="85E2B226"/>
    <w:lvl w:ilvl="0" w:tplc="2680558E">
      <w:start w:val="1"/>
      <w:numFmt w:val="lowerLetter"/>
      <w:lvlText w:val="%1)"/>
      <w:lvlJc w:val="left"/>
      <w:pPr>
        <w:ind w:left="1068" w:hanging="360"/>
      </w:pPr>
      <w:rPr>
        <w:rFonts w:ascii="Arial" w:hAnsi="Arial" w:cs="Aria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5715993"/>
    <w:multiLevelType w:val="hybridMultilevel"/>
    <w:tmpl w:val="6FFA48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7D4C02"/>
    <w:multiLevelType w:val="hybridMultilevel"/>
    <w:tmpl w:val="75F25B9E"/>
    <w:lvl w:ilvl="0" w:tplc="D12412D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3C93117"/>
    <w:multiLevelType w:val="hybridMultilevel"/>
    <w:tmpl w:val="F308FC08"/>
    <w:lvl w:ilvl="0" w:tplc="7772E050">
      <w:numFmt w:val="bullet"/>
      <w:lvlText w:val="-"/>
      <w:lvlJc w:val="left"/>
      <w:pPr>
        <w:ind w:left="720" w:hanging="360"/>
      </w:pPr>
      <w:rPr>
        <w:rFonts w:ascii="Times New Roman" w:eastAsia="Batang"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89FEE42"/>
    <w:multiLevelType w:val="hybridMultilevel"/>
    <w:tmpl w:val="7A00B30C"/>
    <w:lvl w:ilvl="0" w:tplc="FFFFFFFF">
      <w:start w:val="1"/>
      <w:numFmt w:val="ideographDigital"/>
      <w:lvlText w:val="."/>
      <w:lvlJc w:val="left"/>
    </w:lvl>
    <w:lvl w:ilvl="1" w:tplc="0405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6"/>
  </w:num>
  <w:num w:numId="3">
    <w:abstractNumId w:val="9"/>
  </w:num>
  <w:num w:numId="4">
    <w:abstractNumId w:val="14"/>
  </w:num>
  <w:num w:numId="5">
    <w:abstractNumId w:val="8"/>
  </w:num>
  <w:num w:numId="6">
    <w:abstractNumId w:val="10"/>
  </w:num>
  <w:num w:numId="7">
    <w:abstractNumId w:val="15"/>
  </w:num>
  <w:num w:numId="8">
    <w:abstractNumId w:val="4"/>
  </w:num>
  <w:num w:numId="9">
    <w:abstractNumId w:val="0"/>
  </w:num>
  <w:num w:numId="10">
    <w:abstractNumId w:val="12"/>
  </w:num>
  <w:num w:numId="11">
    <w:abstractNumId w:val="19"/>
  </w:num>
  <w:num w:numId="12">
    <w:abstractNumId w:val="2"/>
  </w:num>
  <w:num w:numId="13">
    <w:abstractNumId w:val="4"/>
  </w:num>
  <w:num w:numId="14">
    <w:abstractNumId w:val="5"/>
  </w:num>
  <w:num w:numId="15">
    <w:abstractNumId w:val="16"/>
  </w:num>
  <w:num w:numId="16">
    <w:abstractNumId w:val="11"/>
  </w:num>
  <w:num w:numId="17">
    <w:abstractNumId w:val="7"/>
  </w:num>
  <w:num w:numId="18">
    <w:abstractNumId w:val="13"/>
  </w:num>
  <w:num w:numId="19">
    <w:abstractNumId w:val="18"/>
  </w:num>
  <w:num w:numId="20">
    <w:abstractNumId w:val="1"/>
  </w:num>
  <w:num w:numId="2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3C9"/>
    <w:rsid w:val="0000059D"/>
    <w:rsid w:val="00001F92"/>
    <w:rsid w:val="000030AC"/>
    <w:rsid w:val="00012019"/>
    <w:rsid w:val="00015944"/>
    <w:rsid w:val="00020929"/>
    <w:rsid w:val="000351D7"/>
    <w:rsid w:val="00042627"/>
    <w:rsid w:val="000554E8"/>
    <w:rsid w:val="00063305"/>
    <w:rsid w:val="00064B57"/>
    <w:rsid w:val="00066497"/>
    <w:rsid w:val="0007270B"/>
    <w:rsid w:val="000823DF"/>
    <w:rsid w:val="000A3883"/>
    <w:rsid w:val="000A668A"/>
    <w:rsid w:val="000B4674"/>
    <w:rsid w:val="000B4B69"/>
    <w:rsid w:val="000C0180"/>
    <w:rsid w:val="000C3000"/>
    <w:rsid w:val="000D0A00"/>
    <w:rsid w:val="000E3EE0"/>
    <w:rsid w:val="000F2A7E"/>
    <w:rsid w:val="000F56E4"/>
    <w:rsid w:val="00101151"/>
    <w:rsid w:val="00114751"/>
    <w:rsid w:val="001273EC"/>
    <w:rsid w:val="00127D7D"/>
    <w:rsid w:val="00143146"/>
    <w:rsid w:val="00147F17"/>
    <w:rsid w:val="00154726"/>
    <w:rsid w:val="00155D37"/>
    <w:rsid w:val="00167744"/>
    <w:rsid w:val="00173392"/>
    <w:rsid w:val="00177A6B"/>
    <w:rsid w:val="001850B4"/>
    <w:rsid w:val="00186067"/>
    <w:rsid w:val="001A4423"/>
    <w:rsid w:val="001B168A"/>
    <w:rsid w:val="001B2EA9"/>
    <w:rsid w:val="001B5691"/>
    <w:rsid w:val="001B7EE7"/>
    <w:rsid w:val="001D1BE6"/>
    <w:rsid w:val="001D3C76"/>
    <w:rsid w:val="001D639C"/>
    <w:rsid w:val="001D7B3F"/>
    <w:rsid w:val="001D7DD4"/>
    <w:rsid w:val="001E51F0"/>
    <w:rsid w:val="001E711B"/>
    <w:rsid w:val="001F024D"/>
    <w:rsid w:val="001F13CD"/>
    <w:rsid w:val="001F2971"/>
    <w:rsid w:val="001F60C4"/>
    <w:rsid w:val="001F6320"/>
    <w:rsid w:val="00202CD6"/>
    <w:rsid w:val="002038E2"/>
    <w:rsid w:val="00204EA2"/>
    <w:rsid w:val="00214C22"/>
    <w:rsid w:val="00220BFC"/>
    <w:rsid w:val="00237C9D"/>
    <w:rsid w:val="00237D25"/>
    <w:rsid w:val="00245B40"/>
    <w:rsid w:val="002507DC"/>
    <w:rsid w:val="00253865"/>
    <w:rsid w:val="0025586A"/>
    <w:rsid w:val="00261485"/>
    <w:rsid w:val="00263E64"/>
    <w:rsid w:val="00265BA4"/>
    <w:rsid w:val="00272AC6"/>
    <w:rsid w:val="0027387B"/>
    <w:rsid w:val="00283159"/>
    <w:rsid w:val="00285A25"/>
    <w:rsid w:val="00290272"/>
    <w:rsid w:val="00290F38"/>
    <w:rsid w:val="00292E58"/>
    <w:rsid w:val="002A142B"/>
    <w:rsid w:val="002A4136"/>
    <w:rsid w:val="002A6F43"/>
    <w:rsid w:val="002B0025"/>
    <w:rsid w:val="002B0341"/>
    <w:rsid w:val="002B1711"/>
    <w:rsid w:val="002B5C91"/>
    <w:rsid w:val="002C03BE"/>
    <w:rsid w:val="002D3448"/>
    <w:rsid w:val="002D6520"/>
    <w:rsid w:val="002E2A49"/>
    <w:rsid w:val="002F0DE8"/>
    <w:rsid w:val="002F35D0"/>
    <w:rsid w:val="002F47EF"/>
    <w:rsid w:val="0030091F"/>
    <w:rsid w:val="003018C4"/>
    <w:rsid w:val="00303D32"/>
    <w:rsid w:val="00305512"/>
    <w:rsid w:val="00315A92"/>
    <w:rsid w:val="0031619E"/>
    <w:rsid w:val="00316B44"/>
    <w:rsid w:val="00316D90"/>
    <w:rsid w:val="00321969"/>
    <w:rsid w:val="00323480"/>
    <w:rsid w:val="00327108"/>
    <w:rsid w:val="00332290"/>
    <w:rsid w:val="00335000"/>
    <w:rsid w:val="0034189D"/>
    <w:rsid w:val="0034221B"/>
    <w:rsid w:val="00350A80"/>
    <w:rsid w:val="00352EF1"/>
    <w:rsid w:val="0035428D"/>
    <w:rsid w:val="0035545F"/>
    <w:rsid w:val="0035637D"/>
    <w:rsid w:val="0036357B"/>
    <w:rsid w:val="003802F8"/>
    <w:rsid w:val="003A2131"/>
    <w:rsid w:val="003A6319"/>
    <w:rsid w:val="003B2BDF"/>
    <w:rsid w:val="003B36F8"/>
    <w:rsid w:val="003C7BA7"/>
    <w:rsid w:val="003E57F2"/>
    <w:rsid w:val="003F0329"/>
    <w:rsid w:val="003F19AD"/>
    <w:rsid w:val="003F6B2A"/>
    <w:rsid w:val="00400FED"/>
    <w:rsid w:val="00403923"/>
    <w:rsid w:val="004138EA"/>
    <w:rsid w:val="00417A51"/>
    <w:rsid w:val="00432EDB"/>
    <w:rsid w:val="00434E2E"/>
    <w:rsid w:val="0043520D"/>
    <w:rsid w:val="0043543D"/>
    <w:rsid w:val="00443D43"/>
    <w:rsid w:val="00446CEB"/>
    <w:rsid w:val="00453101"/>
    <w:rsid w:val="004562E4"/>
    <w:rsid w:val="00466AD1"/>
    <w:rsid w:val="00474742"/>
    <w:rsid w:val="004760BC"/>
    <w:rsid w:val="004772B4"/>
    <w:rsid w:val="00483F3D"/>
    <w:rsid w:val="004873C9"/>
    <w:rsid w:val="00487C81"/>
    <w:rsid w:val="004A211B"/>
    <w:rsid w:val="004A4002"/>
    <w:rsid w:val="004A4392"/>
    <w:rsid w:val="004A5FBC"/>
    <w:rsid w:val="004B0CEB"/>
    <w:rsid w:val="004B0FC2"/>
    <w:rsid w:val="004C0E36"/>
    <w:rsid w:val="004C3B8E"/>
    <w:rsid w:val="004C5CA3"/>
    <w:rsid w:val="004D1C01"/>
    <w:rsid w:val="004E214F"/>
    <w:rsid w:val="004F0285"/>
    <w:rsid w:val="004F3A41"/>
    <w:rsid w:val="00500654"/>
    <w:rsid w:val="00500814"/>
    <w:rsid w:val="005027F2"/>
    <w:rsid w:val="00507103"/>
    <w:rsid w:val="00511D27"/>
    <w:rsid w:val="005158B5"/>
    <w:rsid w:val="00517FBA"/>
    <w:rsid w:val="00531673"/>
    <w:rsid w:val="00541BC4"/>
    <w:rsid w:val="00543871"/>
    <w:rsid w:val="0054479E"/>
    <w:rsid w:val="00546B42"/>
    <w:rsid w:val="00551E0B"/>
    <w:rsid w:val="00571660"/>
    <w:rsid w:val="00574B9F"/>
    <w:rsid w:val="005775AC"/>
    <w:rsid w:val="005862B9"/>
    <w:rsid w:val="00591A46"/>
    <w:rsid w:val="00593A39"/>
    <w:rsid w:val="00595535"/>
    <w:rsid w:val="005978C0"/>
    <w:rsid w:val="005A0B03"/>
    <w:rsid w:val="005A5CB5"/>
    <w:rsid w:val="005A6000"/>
    <w:rsid w:val="005B5F54"/>
    <w:rsid w:val="005B617F"/>
    <w:rsid w:val="005D6144"/>
    <w:rsid w:val="005D615E"/>
    <w:rsid w:val="005E1A77"/>
    <w:rsid w:val="005E36B4"/>
    <w:rsid w:val="005E416F"/>
    <w:rsid w:val="005E52C4"/>
    <w:rsid w:val="005E6588"/>
    <w:rsid w:val="0061100F"/>
    <w:rsid w:val="00611E5F"/>
    <w:rsid w:val="006212AE"/>
    <w:rsid w:val="00622D46"/>
    <w:rsid w:val="00642DB6"/>
    <w:rsid w:val="00644F04"/>
    <w:rsid w:val="00652E15"/>
    <w:rsid w:val="00661689"/>
    <w:rsid w:val="00661920"/>
    <w:rsid w:val="0066317E"/>
    <w:rsid w:val="006633CB"/>
    <w:rsid w:val="00664688"/>
    <w:rsid w:val="00667678"/>
    <w:rsid w:val="00670AF1"/>
    <w:rsid w:val="00670E47"/>
    <w:rsid w:val="00687681"/>
    <w:rsid w:val="006B14E3"/>
    <w:rsid w:val="006D6790"/>
    <w:rsid w:val="006E0DC0"/>
    <w:rsid w:val="006E2D77"/>
    <w:rsid w:val="006E5573"/>
    <w:rsid w:val="006E645B"/>
    <w:rsid w:val="006E6852"/>
    <w:rsid w:val="006E766E"/>
    <w:rsid w:val="007127C3"/>
    <w:rsid w:val="00713CD8"/>
    <w:rsid w:val="00730274"/>
    <w:rsid w:val="007323E6"/>
    <w:rsid w:val="00740920"/>
    <w:rsid w:val="007452F6"/>
    <w:rsid w:val="00754210"/>
    <w:rsid w:val="0075467D"/>
    <w:rsid w:val="00754801"/>
    <w:rsid w:val="007730CD"/>
    <w:rsid w:val="007930EA"/>
    <w:rsid w:val="00793ABD"/>
    <w:rsid w:val="007B2ADB"/>
    <w:rsid w:val="007C18A1"/>
    <w:rsid w:val="007D0434"/>
    <w:rsid w:val="007D23AA"/>
    <w:rsid w:val="007D2BC9"/>
    <w:rsid w:val="007D35F6"/>
    <w:rsid w:val="007E2CD3"/>
    <w:rsid w:val="007F26AE"/>
    <w:rsid w:val="007F38B4"/>
    <w:rsid w:val="007F402A"/>
    <w:rsid w:val="00802BF6"/>
    <w:rsid w:val="00806A62"/>
    <w:rsid w:val="00807A48"/>
    <w:rsid w:val="00813C6F"/>
    <w:rsid w:val="008238B4"/>
    <w:rsid w:val="00823C39"/>
    <w:rsid w:val="00825082"/>
    <w:rsid w:val="00825345"/>
    <w:rsid w:val="00832F43"/>
    <w:rsid w:val="008506B5"/>
    <w:rsid w:val="00851BB1"/>
    <w:rsid w:val="00856EFB"/>
    <w:rsid w:val="00857726"/>
    <w:rsid w:val="008633C1"/>
    <w:rsid w:val="00872941"/>
    <w:rsid w:val="00872C47"/>
    <w:rsid w:val="00881DF0"/>
    <w:rsid w:val="008A0487"/>
    <w:rsid w:val="008A4C98"/>
    <w:rsid w:val="008A6D12"/>
    <w:rsid w:val="008B1FBA"/>
    <w:rsid w:val="008B27BA"/>
    <w:rsid w:val="008C7784"/>
    <w:rsid w:val="008D130F"/>
    <w:rsid w:val="008D6360"/>
    <w:rsid w:val="008E01F0"/>
    <w:rsid w:val="008E6DE1"/>
    <w:rsid w:val="008F5F03"/>
    <w:rsid w:val="00904081"/>
    <w:rsid w:val="009261B7"/>
    <w:rsid w:val="0092780F"/>
    <w:rsid w:val="00927C8B"/>
    <w:rsid w:val="009320FD"/>
    <w:rsid w:val="00936314"/>
    <w:rsid w:val="0093717C"/>
    <w:rsid w:val="009468B0"/>
    <w:rsid w:val="009566B3"/>
    <w:rsid w:val="00962B91"/>
    <w:rsid w:val="0096407D"/>
    <w:rsid w:val="00965352"/>
    <w:rsid w:val="0096710F"/>
    <w:rsid w:val="00977A12"/>
    <w:rsid w:val="00977B0A"/>
    <w:rsid w:val="00982C75"/>
    <w:rsid w:val="00985B22"/>
    <w:rsid w:val="00997557"/>
    <w:rsid w:val="009A0258"/>
    <w:rsid w:val="009B1DC4"/>
    <w:rsid w:val="009B2B01"/>
    <w:rsid w:val="009B3B25"/>
    <w:rsid w:val="009C1A14"/>
    <w:rsid w:val="009C6870"/>
    <w:rsid w:val="009C6AF2"/>
    <w:rsid w:val="009C72F6"/>
    <w:rsid w:val="009D3662"/>
    <w:rsid w:val="009D4236"/>
    <w:rsid w:val="009E22F8"/>
    <w:rsid w:val="009E2D72"/>
    <w:rsid w:val="009E2EE5"/>
    <w:rsid w:val="009E4DD8"/>
    <w:rsid w:val="009F08D6"/>
    <w:rsid w:val="009F5DFB"/>
    <w:rsid w:val="00A0489A"/>
    <w:rsid w:val="00A07A3D"/>
    <w:rsid w:val="00A11C4B"/>
    <w:rsid w:val="00A143E7"/>
    <w:rsid w:val="00A14C41"/>
    <w:rsid w:val="00A227AF"/>
    <w:rsid w:val="00A240DD"/>
    <w:rsid w:val="00A31E9F"/>
    <w:rsid w:val="00A321D1"/>
    <w:rsid w:val="00A36C99"/>
    <w:rsid w:val="00A3738B"/>
    <w:rsid w:val="00A47C49"/>
    <w:rsid w:val="00A5014B"/>
    <w:rsid w:val="00A53AC0"/>
    <w:rsid w:val="00A62812"/>
    <w:rsid w:val="00A648F3"/>
    <w:rsid w:val="00A65712"/>
    <w:rsid w:val="00A735C7"/>
    <w:rsid w:val="00A73839"/>
    <w:rsid w:val="00A740AE"/>
    <w:rsid w:val="00A8139F"/>
    <w:rsid w:val="00A84CAD"/>
    <w:rsid w:val="00A863DF"/>
    <w:rsid w:val="00A86F4B"/>
    <w:rsid w:val="00A877DE"/>
    <w:rsid w:val="00AA1A8B"/>
    <w:rsid w:val="00AC13F4"/>
    <w:rsid w:val="00AC306D"/>
    <w:rsid w:val="00AC3C7B"/>
    <w:rsid w:val="00AC6D84"/>
    <w:rsid w:val="00AD5814"/>
    <w:rsid w:val="00AE5701"/>
    <w:rsid w:val="00AF27DF"/>
    <w:rsid w:val="00AF35AD"/>
    <w:rsid w:val="00B02F4F"/>
    <w:rsid w:val="00B03B42"/>
    <w:rsid w:val="00B13EEB"/>
    <w:rsid w:val="00B21D5B"/>
    <w:rsid w:val="00B33A13"/>
    <w:rsid w:val="00B50362"/>
    <w:rsid w:val="00B529DC"/>
    <w:rsid w:val="00B538E5"/>
    <w:rsid w:val="00B57A37"/>
    <w:rsid w:val="00B71833"/>
    <w:rsid w:val="00B743D8"/>
    <w:rsid w:val="00B839F0"/>
    <w:rsid w:val="00B87B83"/>
    <w:rsid w:val="00B915F7"/>
    <w:rsid w:val="00B91A76"/>
    <w:rsid w:val="00BC7156"/>
    <w:rsid w:val="00BD25E1"/>
    <w:rsid w:val="00BD2796"/>
    <w:rsid w:val="00BF1DC1"/>
    <w:rsid w:val="00BF3C41"/>
    <w:rsid w:val="00BF4DBD"/>
    <w:rsid w:val="00BF6DBB"/>
    <w:rsid w:val="00BF7E08"/>
    <w:rsid w:val="00C04996"/>
    <w:rsid w:val="00C1666A"/>
    <w:rsid w:val="00C17788"/>
    <w:rsid w:val="00C24981"/>
    <w:rsid w:val="00C24FFD"/>
    <w:rsid w:val="00C2667C"/>
    <w:rsid w:val="00C27CA9"/>
    <w:rsid w:val="00C3114E"/>
    <w:rsid w:val="00C35B43"/>
    <w:rsid w:val="00C36F88"/>
    <w:rsid w:val="00C37409"/>
    <w:rsid w:val="00C400A0"/>
    <w:rsid w:val="00C4445E"/>
    <w:rsid w:val="00C53D78"/>
    <w:rsid w:val="00C56227"/>
    <w:rsid w:val="00C63C67"/>
    <w:rsid w:val="00C741F8"/>
    <w:rsid w:val="00C82565"/>
    <w:rsid w:val="00C870AA"/>
    <w:rsid w:val="00C877C6"/>
    <w:rsid w:val="00C92661"/>
    <w:rsid w:val="00C94610"/>
    <w:rsid w:val="00C96FCC"/>
    <w:rsid w:val="00CA062F"/>
    <w:rsid w:val="00CA2003"/>
    <w:rsid w:val="00CB2567"/>
    <w:rsid w:val="00CB3DA4"/>
    <w:rsid w:val="00CB3F3A"/>
    <w:rsid w:val="00CB4B94"/>
    <w:rsid w:val="00CB7085"/>
    <w:rsid w:val="00CB7736"/>
    <w:rsid w:val="00CC0B9A"/>
    <w:rsid w:val="00CC1B7E"/>
    <w:rsid w:val="00CC5AF5"/>
    <w:rsid w:val="00CD4597"/>
    <w:rsid w:val="00CD63DD"/>
    <w:rsid w:val="00CD711E"/>
    <w:rsid w:val="00CE7AA1"/>
    <w:rsid w:val="00D02D8B"/>
    <w:rsid w:val="00D03E2D"/>
    <w:rsid w:val="00D074FE"/>
    <w:rsid w:val="00D13290"/>
    <w:rsid w:val="00D175D4"/>
    <w:rsid w:val="00D17BB4"/>
    <w:rsid w:val="00D305FB"/>
    <w:rsid w:val="00D31827"/>
    <w:rsid w:val="00D359D4"/>
    <w:rsid w:val="00D36ECE"/>
    <w:rsid w:val="00D43ECC"/>
    <w:rsid w:val="00D56947"/>
    <w:rsid w:val="00D60333"/>
    <w:rsid w:val="00D72F52"/>
    <w:rsid w:val="00D72F92"/>
    <w:rsid w:val="00D74CA6"/>
    <w:rsid w:val="00D77026"/>
    <w:rsid w:val="00D8104E"/>
    <w:rsid w:val="00D93A7F"/>
    <w:rsid w:val="00D95BFA"/>
    <w:rsid w:val="00DA2B9F"/>
    <w:rsid w:val="00DA6F06"/>
    <w:rsid w:val="00DB3FBE"/>
    <w:rsid w:val="00DB4F0D"/>
    <w:rsid w:val="00DC091E"/>
    <w:rsid w:val="00DC749D"/>
    <w:rsid w:val="00DD526A"/>
    <w:rsid w:val="00DE6133"/>
    <w:rsid w:val="00DE7AAA"/>
    <w:rsid w:val="00DF44C9"/>
    <w:rsid w:val="00E01C2C"/>
    <w:rsid w:val="00E06B89"/>
    <w:rsid w:val="00E12DD2"/>
    <w:rsid w:val="00E21586"/>
    <w:rsid w:val="00E21D32"/>
    <w:rsid w:val="00E2557F"/>
    <w:rsid w:val="00E434BC"/>
    <w:rsid w:val="00E509EB"/>
    <w:rsid w:val="00E559E1"/>
    <w:rsid w:val="00E63FC2"/>
    <w:rsid w:val="00E71BF5"/>
    <w:rsid w:val="00E81507"/>
    <w:rsid w:val="00E834EE"/>
    <w:rsid w:val="00EA1B9E"/>
    <w:rsid w:val="00EA3A4D"/>
    <w:rsid w:val="00EA40F3"/>
    <w:rsid w:val="00EB3AA2"/>
    <w:rsid w:val="00EB6728"/>
    <w:rsid w:val="00ED1DA2"/>
    <w:rsid w:val="00ED5194"/>
    <w:rsid w:val="00EE000C"/>
    <w:rsid w:val="00EE22FB"/>
    <w:rsid w:val="00EE7720"/>
    <w:rsid w:val="00F0486A"/>
    <w:rsid w:val="00F2381A"/>
    <w:rsid w:val="00F245F3"/>
    <w:rsid w:val="00F30440"/>
    <w:rsid w:val="00F314D8"/>
    <w:rsid w:val="00F31A64"/>
    <w:rsid w:val="00F324A4"/>
    <w:rsid w:val="00F32DAB"/>
    <w:rsid w:val="00F42A12"/>
    <w:rsid w:val="00F45F7F"/>
    <w:rsid w:val="00F61EB6"/>
    <w:rsid w:val="00F67C37"/>
    <w:rsid w:val="00F76EC3"/>
    <w:rsid w:val="00F83316"/>
    <w:rsid w:val="00F84F3D"/>
    <w:rsid w:val="00F8590F"/>
    <w:rsid w:val="00F93762"/>
    <w:rsid w:val="00F96999"/>
    <w:rsid w:val="00FA00AB"/>
    <w:rsid w:val="00FA4AF6"/>
    <w:rsid w:val="00FB2A2D"/>
    <w:rsid w:val="00FB4919"/>
    <w:rsid w:val="00FB6252"/>
    <w:rsid w:val="00FC2D32"/>
    <w:rsid w:val="00FD23A9"/>
    <w:rsid w:val="00FD6DEA"/>
    <w:rsid w:val="00FE3E40"/>
    <w:rsid w:val="00FF0F2C"/>
    <w:rsid w:val="00FF2C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3687"/>
  <w15:docId w15:val="{026CC51D-A0CC-4957-94F7-5B0D95D5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73C9"/>
  </w:style>
  <w:style w:type="paragraph" w:styleId="Nadpis1">
    <w:name w:val="heading 1"/>
    <w:basedOn w:val="Normln"/>
    <w:next w:val="Normln"/>
    <w:link w:val="Nadpis1Char"/>
    <w:uiPriority w:val="9"/>
    <w:qFormat/>
    <w:rsid w:val="004873C9"/>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4873C9"/>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Nadpis3">
    <w:name w:val="heading 3"/>
    <w:basedOn w:val="Obsah1"/>
    <w:next w:val="Normln"/>
    <w:link w:val="Nadpis3Char"/>
    <w:qFormat/>
    <w:rsid w:val="00C04996"/>
    <w:pPr>
      <w:keepNext/>
      <w:keepLines/>
      <w:spacing w:before="200" w:after="0"/>
      <w:outlineLvl w:val="2"/>
    </w:pPr>
    <w:rPr>
      <w:rFonts w:ascii="Arial" w:eastAsiaTheme="majorEastAsia" w:hAnsi="Arial" w:cstheme="majorBidi"/>
      <w:b/>
      <w:bCs/>
      <w:color w:val="4F81BD"/>
      <w:sz w:val="24"/>
      <w:lang w:eastAsia="cs-CZ"/>
    </w:rPr>
  </w:style>
  <w:style w:type="paragraph" w:styleId="Nadpis4">
    <w:name w:val="heading 4"/>
    <w:basedOn w:val="Normln"/>
    <w:next w:val="Normln"/>
    <w:link w:val="Nadpis4Char"/>
    <w:uiPriority w:val="9"/>
    <w:qFormat/>
    <w:rsid w:val="004873C9"/>
    <w:pPr>
      <w:keepNext/>
      <w:keepLines/>
      <w:numPr>
        <w:ilvl w:val="3"/>
        <w:numId w:val="1"/>
      </w:numPr>
      <w:spacing w:before="200" w:after="0"/>
      <w:outlineLvl w:val="3"/>
    </w:pPr>
    <w:rPr>
      <w:rFonts w:asciiTheme="majorHAnsi" w:eastAsiaTheme="majorEastAsia" w:hAnsiTheme="majorHAnsi" w:cstheme="majorBidi"/>
      <w:b/>
      <w:bCs/>
      <w:i/>
      <w:iCs/>
      <w:color w:val="4F81BD"/>
      <w:lang w:eastAsia="cs-CZ"/>
    </w:rPr>
  </w:style>
  <w:style w:type="paragraph" w:styleId="Nadpis5">
    <w:name w:val="heading 5"/>
    <w:basedOn w:val="Normln"/>
    <w:next w:val="Normln"/>
    <w:link w:val="Nadpis5Char"/>
    <w:uiPriority w:val="9"/>
    <w:qFormat/>
    <w:rsid w:val="004873C9"/>
    <w:pPr>
      <w:keepNext/>
      <w:keepLines/>
      <w:numPr>
        <w:ilvl w:val="4"/>
        <w:numId w:val="1"/>
      </w:numPr>
      <w:spacing w:before="200" w:after="0"/>
      <w:outlineLvl w:val="4"/>
    </w:pPr>
    <w:rPr>
      <w:rFonts w:asciiTheme="majorHAnsi" w:eastAsiaTheme="majorEastAsia" w:hAnsiTheme="majorHAnsi" w:cstheme="majorBidi"/>
      <w:color w:val="243F60"/>
      <w:lang w:eastAsia="cs-CZ"/>
    </w:rPr>
  </w:style>
  <w:style w:type="paragraph" w:styleId="Nadpis6">
    <w:name w:val="heading 6"/>
    <w:basedOn w:val="Normln"/>
    <w:next w:val="Normln"/>
    <w:link w:val="Nadpis6Char"/>
    <w:uiPriority w:val="9"/>
    <w:qFormat/>
    <w:rsid w:val="004873C9"/>
    <w:pPr>
      <w:keepNext/>
      <w:keepLines/>
      <w:numPr>
        <w:ilvl w:val="5"/>
        <w:numId w:val="1"/>
      </w:numPr>
      <w:spacing w:before="200" w:after="0"/>
      <w:outlineLvl w:val="5"/>
    </w:pPr>
    <w:rPr>
      <w:rFonts w:asciiTheme="majorHAnsi" w:eastAsiaTheme="majorEastAsia" w:hAnsiTheme="majorHAnsi" w:cstheme="majorBidi"/>
      <w:i/>
      <w:iCs/>
      <w:color w:val="243F60"/>
      <w:lang w:eastAsia="cs-CZ"/>
    </w:rPr>
  </w:style>
  <w:style w:type="paragraph" w:styleId="Nadpis7">
    <w:name w:val="heading 7"/>
    <w:basedOn w:val="Normln"/>
    <w:next w:val="Normln"/>
    <w:link w:val="Nadpis7Char"/>
    <w:uiPriority w:val="9"/>
    <w:qFormat/>
    <w:rsid w:val="004873C9"/>
    <w:pPr>
      <w:keepNext/>
      <w:keepLines/>
      <w:numPr>
        <w:ilvl w:val="6"/>
        <w:numId w:val="1"/>
      </w:numPr>
      <w:spacing w:before="200" w:after="0"/>
      <w:outlineLvl w:val="6"/>
    </w:pPr>
    <w:rPr>
      <w:rFonts w:asciiTheme="majorHAnsi" w:eastAsiaTheme="majorEastAsia" w:hAnsiTheme="majorHAnsi" w:cstheme="majorBidi"/>
      <w:i/>
      <w:iCs/>
      <w:color w:val="404040"/>
      <w:lang w:eastAsia="cs-CZ"/>
    </w:rPr>
  </w:style>
  <w:style w:type="paragraph" w:styleId="Nadpis8">
    <w:name w:val="heading 8"/>
    <w:basedOn w:val="Normln"/>
    <w:next w:val="Normln"/>
    <w:link w:val="Nadpis8Char"/>
    <w:uiPriority w:val="9"/>
    <w:qFormat/>
    <w:rsid w:val="004873C9"/>
    <w:pPr>
      <w:keepNext/>
      <w:keepLines/>
      <w:numPr>
        <w:ilvl w:val="7"/>
        <w:numId w:val="1"/>
      </w:numPr>
      <w:spacing w:before="200" w:after="0"/>
      <w:outlineLvl w:val="7"/>
    </w:pPr>
    <w:rPr>
      <w:rFonts w:asciiTheme="majorHAnsi" w:eastAsiaTheme="majorEastAsia" w:hAnsiTheme="majorHAnsi" w:cstheme="majorBidi"/>
      <w:color w:val="404040"/>
      <w:sz w:val="20"/>
      <w:szCs w:val="20"/>
      <w:lang w:eastAsia="cs-CZ"/>
    </w:rPr>
  </w:style>
  <w:style w:type="paragraph" w:styleId="Nadpis9">
    <w:name w:val="heading 9"/>
    <w:basedOn w:val="Normln"/>
    <w:next w:val="Normln"/>
    <w:link w:val="Nadpis9Char"/>
    <w:uiPriority w:val="9"/>
    <w:qFormat/>
    <w:rsid w:val="004873C9"/>
    <w:pPr>
      <w:keepNext/>
      <w:keepLines/>
      <w:numPr>
        <w:ilvl w:val="8"/>
        <w:numId w:val="1"/>
      </w:numPr>
      <w:spacing w:before="200" w:after="0"/>
      <w:outlineLvl w:val="8"/>
    </w:pPr>
    <w:rPr>
      <w:rFonts w:asciiTheme="majorHAnsi" w:eastAsiaTheme="majorEastAsia" w:hAnsiTheme="majorHAnsi" w:cstheme="majorBidi"/>
      <w:i/>
      <w:iCs/>
      <w:color w:val="40404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873C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rsid w:val="004873C9"/>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rsid w:val="00C04996"/>
    <w:rPr>
      <w:rFonts w:ascii="Arial" w:eastAsiaTheme="majorEastAsia" w:hAnsi="Arial" w:cstheme="majorBidi"/>
      <w:b/>
      <w:bCs/>
      <w:color w:val="4F81BD"/>
      <w:sz w:val="24"/>
      <w:lang w:eastAsia="cs-CZ"/>
    </w:rPr>
  </w:style>
  <w:style w:type="character" w:customStyle="1" w:styleId="Nadpis4Char">
    <w:name w:val="Nadpis 4 Char"/>
    <w:basedOn w:val="Standardnpsmoodstavce"/>
    <w:link w:val="Nadpis4"/>
    <w:uiPriority w:val="9"/>
    <w:rsid w:val="004873C9"/>
    <w:rPr>
      <w:rFonts w:asciiTheme="majorHAnsi" w:eastAsiaTheme="majorEastAsia" w:hAnsiTheme="majorHAnsi" w:cstheme="majorBidi"/>
      <w:b/>
      <w:bCs/>
      <w:i/>
      <w:iCs/>
      <w:color w:val="4F81BD"/>
      <w:lang w:eastAsia="cs-CZ"/>
    </w:rPr>
  </w:style>
  <w:style w:type="character" w:customStyle="1" w:styleId="Nadpis5Char">
    <w:name w:val="Nadpis 5 Char"/>
    <w:basedOn w:val="Standardnpsmoodstavce"/>
    <w:link w:val="Nadpis5"/>
    <w:uiPriority w:val="9"/>
    <w:rsid w:val="004873C9"/>
    <w:rPr>
      <w:rFonts w:asciiTheme="majorHAnsi" w:eastAsiaTheme="majorEastAsia" w:hAnsiTheme="majorHAnsi" w:cstheme="majorBidi"/>
      <w:color w:val="243F60"/>
      <w:lang w:eastAsia="cs-CZ"/>
    </w:rPr>
  </w:style>
  <w:style w:type="character" w:customStyle="1" w:styleId="Nadpis6Char">
    <w:name w:val="Nadpis 6 Char"/>
    <w:basedOn w:val="Standardnpsmoodstavce"/>
    <w:link w:val="Nadpis6"/>
    <w:uiPriority w:val="9"/>
    <w:rsid w:val="004873C9"/>
    <w:rPr>
      <w:rFonts w:asciiTheme="majorHAnsi" w:eastAsiaTheme="majorEastAsia" w:hAnsiTheme="majorHAnsi" w:cstheme="majorBidi"/>
      <w:i/>
      <w:iCs/>
      <w:color w:val="243F60"/>
      <w:lang w:eastAsia="cs-CZ"/>
    </w:rPr>
  </w:style>
  <w:style w:type="character" w:customStyle="1" w:styleId="Nadpis7Char">
    <w:name w:val="Nadpis 7 Char"/>
    <w:basedOn w:val="Standardnpsmoodstavce"/>
    <w:link w:val="Nadpis7"/>
    <w:uiPriority w:val="9"/>
    <w:rsid w:val="004873C9"/>
    <w:rPr>
      <w:rFonts w:asciiTheme="majorHAnsi" w:eastAsiaTheme="majorEastAsia" w:hAnsiTheme="majorHAnsi" w:cstheme="majorBidi"/>
      <w:i/>
      <w:iCs/>
      <w:color w:val="404040"/>
      <w:lang w:eastAsia="cs-CZ"/>
    </w:rPr>
  </w:style>
  <w:style w:type="character" w:customStyle="1" w:styleId="Nadpis8Char">
    <w:name w:val="Nadpis 8 Char"/>
    <w:basedOn w:val="Standardnpsmoodstavce"/>
    <w:link w:val="Nadpis8"/>
    <w:uiPriority w:val="9"/>
    <w:rsid w:val="004873C9"/>
    <w:rPr>
      <w:rFonts w:asciiTheme="majorHAnsi" w:eastAsiaTheme="majorEastAsia" w:hAnsiTheme="majorHAnsi" w:cstheme="majorBidi"/>
      <w:color w:val="404040"/>
      <w:sz w:val="20"/>
      <w:szCs w:val="20"/>
      <w:lang w:eastAsia="cs-CZ"/>
    </w:rPr>
  </w:style>
  <w:style w:type="character" w:customStyle="1" w:styleId="Nadpis9Char">
    <w:name w:val="Nadpis 9 Char"/>
    <w:basedOn w:val="Standardnpsmoodstavce"/>
    <w:link w:val="Nadpis9"/>
    <w:uiPriority w:val="9"/>
    <w:rsid w:val="004873C9"/>
    <w:rPr>
      <w:rFonts w:asciiTheme="majorHAnsi" w:eastAsiaTheme="majorEastAsia" w:hAnsiTheme="majorHAnsi" w:cstheme="majorBidi"/>
      <w:i/>
      <w:iCs/>
      <w:color w:val="404040"/>
      <w:sz w:val="20"/>
      <w:szCs w:val="20"/>
      <w:lang w:eastAsia="cs-CZ"/>
    </w:rPr>
  </w:style>
  <w:style w:type="paragraph" w:styleId="Odstavecseseznamem">
    <w:name w:val="List Paragraph"/>
    <w:basedOn w:val="Normln"/>
    <w:qFormat/>
    <w:rsid w:val="004873C9"/>
    <w:pPr>
      <w:ind w:left="720"/>
      <w:contextualSpacing/>
    </w:pPr>
    <w:rPr>
      <w:rFonts w:ascii="Calibri" w:eastAsia="Calibri" w:hAnsi="Calibri" w:cs="Times New Roman"/>
    </w:rPr>
  </w:style>
  <w:style w:type="paragraph" w:styleId="Textpoznpodarou">
    <w:name w:val="footnote text"/>
    <w:aliases w:val="Schriftart: 9 pt,Schriftart: 10 pt,Schriftart: 8 pt,Footnote,Text poznámky pod čiarou 007,Fußnotentextf,Geneva 9,Font: Geneva 9,Boston 10,f,Text pozn. pod čarou Char2,Text pozn. pod čarou Char Char,Text pozn. pod čarou Char1 Char"/>
    <w:basedOn w:val="Normln"/>
    <w:link w:val="TextpoznpodarouChar"/>
    <w:rsid w:val="004873C9"/>
    <w:pPr>
      <w:spacing w:after="0" w:line="240" w:lineRule="auto"/>
    </w:pPr>
    <w:rPr>
      <w:rFonts w:ascii="Calibri" w:eastAsia="Calibri" w:hAnsi="Calibri" w:cs="Times New Roman"/>
      <w:sz w:val="20"/>
      <w:szCs w:val="20"/>
    </w:rPr>
  </w:style>
  <w:style w:type="character" w:customStyle="1" w:styleId="TextpoznpodarouChar">
    <w:name w:val="Text pozn. pod čarou Char"/>
    <w:aliases w:val="Schriftart: 9 pt Char,Schriftart: 10 pt Char,Schriftart: 8 pt Char,Footnote Char,Text poznámky pod čiarou 007 Char,Fußnotentextf Char,Geneva 9 Char,Font: Geneva 9 Char,Boston 10 Char,f Char,Text pozn. pod čarou Char2 Char"/>
    <w:basedOn w:val="Standardnpsmoodstavce"/>
    <w:link w:val="Textpoznpodarou"/>
    <w:rsid w:val="004873C9"/>
    <w:rPr>
      <w:rFonts w:ascii="Calibri" w:eastAsia="Calibri" w:hAnsi="Calibri" w:cs="Times New Roman"/>
      <w:sz w:val="20"/>
      <w:szCs w:val="20"/>
    </w:rPr>
  </w:style>
  <w:style w:type="character" w:styleId="Znakapoznpodarou">
    <w:name w:val="footnote reference"/>
    <w:aliases w:val="EN Footnote Reference,PGI Fußnote Ziffer + Times New Roman,12 b.,Zúžené o ...,PGI Fußnote Ziffer"/>
    <w:rsid w:val="004873C9"/>
    <w:rPr>
      <w:rFonts w:cs="Times New Roman"/>
      <w:vertAlign w:val="superscript"/>
    </w:rPr>
  </w:style>
  <w:style w:type="paragraph" w:styleId="Textbubliny">
    <w:name w:val="Balloon Text"/>
    <w:basedOn w:val="Normln"/>
    <w:link w:val="TextbublinyChar"/>
    <w:uiPriority w:val="99"/>
    <w:semiHidden/>
    <w:unhideWhenUsed/>
    <w:rsid w:val="004873C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73C9"/>
    <w:rPr>
      <w:rFonts w:ascii="Tahoma" w:hAnsi="Tahoma" w:cs="Tahoma"/>
      <w:sz w:val="16"/>
      <w:szCs w:val="16"/>
    </w:rPr>
  </w:style>
  <w:style w:type="paragraph" w:styleId="Zhlav">
    <w:name w:val="header"/>
    <w:basedOn w:val="Normln"/>
    <w:link w:val="ZhlavChar"/>
    <w:uiPriority w:val="99"/>
    <w:unhideWhenUsed/>
    <w:rsid w:val="004873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73C9"/>
  </w:style>
  <w:style w:type="paragraph" w:styleId="Zpat">
    <w:name w:val="footer"/>
    <w:basedOn w:val="Normln"/>
    <w:link w:val="ZpatChar"/>
    <w:uiPriority w:val="99"/>
    <w:unhideWhenUsed/>
    <w:rsid w:val="004873C9"/>
    <w:pPr>
      <w:tabs>
        <w:tab w:val="center" w:pos="4536"/>
        <w:tab w:val="right" w:pos="9072"/>
      </w:tabs>
      <w:spacing w:after="0" w:line="240" w:lineRule="auto"/>
    </w:pPr>
  </w:style>
  <w:style w:type="character" w:customStyle="1" w:styleId="ZpatChar">
    <w:name w:val="Zápatí Char"/>
    <w:basedOn w:val="Standardnpsmoodstavce"/>
    <w:link w:val="Zpat"/>
    <w:uiPriority w:val="99"/>
    <w:rsid w:val="004873C9"/>
  </w:style>
  <w:style w:type="paragraph" w:styleId="Zkladntext3">
    <w:name w:val="Body Text 3"/>
    <w:basedOn w:val="Normln"/>
    <w:link w:val="Zkladntext3Char"/>
    <w:rsid w:val="004873C9"/>
    <w:pPr>
      <w:spacing w:after="0" w:line="240" w:lineRule="auto"/>
      <w:jc w:val="both"/>
    </w:pPr>
    <w:rPr>
      <w:rFonts w:ascii="Times New Roman" w:eastAsia="Times New Roman" w:hAnsi="Times New Roman" w:cs="Times New Roman"/>
      <w:b/>
      <w:sz w:val="24"/>
      <w:szCs w:val="20"/>
      <w:lang w:eastAsia="cs-CZ"/>
    </w:rPr>
  </w:style>
  <w:style w:type="character" w:customStyle="1" w:styleId="Zkladntext3Char">
    <w:name w:val="Základní text 3 Char"/>
    <w:basedOn w:val="Standardnpsmoodstavce"/>
    <w:link w:val="Zkladntext3"/>
    <w:rsid w:val="004873C9"/>
    <w:rPr>
      <w:rFonts w:ascii="Times New Roman" w:eastAsia="Times New Roman" w:hAnsi="Times New Roman" w:cs="Times New Roman"/>
      <w:b/>
      <w:sz w:val="24"/>
      <w:szCs w:val="20"/>
      <w:lang w:eastAsia="cs-CZ"/>
    </w:rPr>
  </w:style>
  <w:style w:type="paragraph" w:styleId="Zkladntext2">
    <w:name w:val="Body Text 2"/>
    <w:basedOn w:val="Normln"/>
    <w:link w:val="Zkladntext2Char"/>
    <w:rsid w:val="004873C9"/>
    <w:pPr>
      <w:spacing w:before="120"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4873C9"/>
    <w:rPr>
      <w:rFonts w:ascii="Times New Roman" w:eastAsia="Times New Roman" w:hAnsi="Times New Roman" w:cs="Times New Roman"/>
      <w:sz w:val="24"/>
      <w:szCs w:val="20"/>
      <w:lang w:eastAsia="cs-CZ"/>
    </w:rPr>
  </w:style>
  <w:style w:type="paragraph" w:customStyle="1" w:styleId="Default">
    <w:name w:val="Default"/>
    <w:rsid w:val="004873C9"/>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4873C9"/>
    <w:rPr>
      <w:sz w:val="16"/>
      <w:szCs w:val="16"/>
    </w:rPr>
  </w:style>
  <w:style w:type="paragraph" w:styleId="Textkomente">
    <w:name w:val="annotation text"/>
    <w:basedOn w:val="Normln"/>
    <w:link w:val="TextkomenteChar"/>
    <w:uiPriority w:val="99"/>
    <w:semiHidden/>
    <w:unhideWhenUsed/>
    <w:rsid w:val="004873C9"/>
    <w:pPr>
      <w:spacing w:line="240" w:lineRule="auto"/>
    </w:pPr>
    <w:rPr>
      <w:sz w:val="20"/>
      <w:szCs w:val="20"/>
    </w:rPr>
  </w:style>
  <w:style w:type="character" w:customStyle="1" w:styleId="TextkomenteChar">
    <w:name w:val="Text komentáře Char"/>
    <w:basedOn w:val="Standardnpsmoodstavce"/>
    <w:link w:val="Textkomente"/>
    <w:uiPriority w:val="99"/>
    <w:semiHidden/>
    <w:rsid w:val="004873C9"/>
    <w:rPr>
      <w:sz w:val="20"/>
      <w:szCs w:val="20"/>
    </w:rPr>
  </w:style>
  <w:style w:type="paragraph" w:styleId="Pedmtkomente">
    <w:name w:val="annotation subject"/>
    <w:basedOn w:val="Textkomente"/>
    <w:next w:val="Textkomente"/>
    <w:link w:val="PedmtkomenteChar"/>
    <w:uiPriority w:val="99"/>
    <w:semiHidden/>
    <w:unhideWhenUsed/>
    <w:rsid w:val="004873C9"/>
    <w:rPr>
      <w:b/>
      <w:bCs/>
    </w:rPr>
  </w:style>
  <w:style w:type="character" w:customStyle="1" w:styleId="PedmtkomenteChar">
    <w:name w:val="Předmět komentáře Char"/>
    <w:basedOn w:val="TextkomenteChar"/>
    <w:link w:val="Pedmtkomente"/>
    <w:uiPriority w:val="99"/>
    <w:semiHidden/>
    <w:rsid w:val="004873C9"/>
    <w:rPr>
      <w:b/>
      <w:bCs/>
      <w:sz w:val="20"/>
      <w:szCs w:val="20"/>
    </w:rPr>
  </w:style>
  <w:style w:type="paragraph" w:styleId="Zkladntext">
    <w:name w:val="Body Text"/>
    <w:basedOn w:val="Normln"/>
    <w:link w:val="ZkladntextChar"/>
    <w:uiPriority w:val="99"/>
    <w:semiHidden/>
    <w:unhideWhenUsed/>
    <w:rsid w:val="004873C9"/>
    <w:pPr>
      <w:spacing w:after="120"/>
    </w:pPr>
  </w:style>
  <w:style w:type="character" w:customStyle="1" w:styleId="ZkladntextChar">
    <w:name w:val="Základní text Char"/>
    <w:basedOn w:val="Standardnpsmoodstavce"/>
    <w:link w:val="Zkladntext"/>
    <w:uiPriority w:val="99"/>
    <w:semiHidden/>
    <w:rsid w:val="004873C9"/>
  </w:style>
  <w:style w:type="table" w:styleId="Mkatabulky">
    <w:name w:val="Table Grid"/>
    <w:basedOn w:val="Normlntabulka"/>
    <w:uiPriority w:val="59"/>
    <w:rsid w:val="00487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
    <w:link w:val="Styl1Char"/>
    <w:rsid w:val="004873C9"/>
    <w:pPr>
      <w:spacing w:after="120" w:line="240" w:lineRule="auto"/>
      <w:ind w:firstLine="709"/>
      <w:jc w:val="both"/>
    </w:pPr>
    <w:rPr>
      <w:rFonts w:ascii="Times New Roman" w:eastAsia="Calibri" w:hAnsi="Times New Roman" w:cs="Times New Roman"/>
      <w:sz w:val="24"/>
      <w:szCs w:val="24"/>
      <w:lang w:val="en-US" w:bidi="en-US"/>
    </w:rPr>
  </w:style>
  <w:style w:type="character" w:customStyle="1" w:styleId="Styl1Char">
    <w:name w:val="Styl1 Char"/>
    <w:link w:val="Styl1"/>
    <w:rsid w:val="004873C9"/>
    <w:rPr>
      <w:rFonts w:ascii="Times New Roman" w:eastAsia="Calibri" w:hAnsi="Times New Roman" w:cs="Times New Roman"/>
      <w:sz w:val="24"/>
      <w:szCs w:val="24"/>
      <w:lang w:val="en-US" w:bidi="en-US"/>
    </w:rPr>
  </w:style>
  <w:style w:type="paragraph" w:customStyle="1" w:styleId="CharCharCharCharCharCharCharCharCharCharCharCharCharCharChar1CharCharCharCharCharCharCharCharCharCharCharChar1CharCharCharCharCharChar1CharChar">
    <w:name w:val="Char Char Char Char Char Char Char Char Char Char Char Char Char Char Char1 Char Char Char Char Char Char Char Char Char Char Char Char1 Char Char Char Char Char Char1 Char Char"/>
    <w:basedOn w:val="Normln"/>
    <w:rsid w:val="004873C9"/>
    <w:pPr>
      <w:spacing w:after="160" w:line="240" w:lineRule="exact"/>
    </w:pPr>
    <w:rPr>
      <w:rFonts w:ascii="Tahoma" w:eastAsia="Times New Roman" w:hAnsi="Tahoma" w:cs="Times New Roman"/>
      <w:sz w:val="20"/>
      <w:szCs w:val="20"/>
      <w:lang w:val="en-US"/>
    </w:rPr>
  </w:style>
  <w:style w:type="paragraph" w:customStyle="1" w:styleId="Char1CharCharCharCharCharCharCharCharCharCharCharCharCharCharCharCharCharChar">
    <w:name w:val="Char1 Char Char Char Char Char Char Char Char Char Char Char Char Char Char Char Char Char Char"/>
    <w:basedOn w:val="Normln"/>
    <w:rsid w:val="004873C9"/>
    <w:pPr>
      <w:spacing w:after="160" w:line="240" w:lineRule="exact"/>
    </w:pPr>
    <w:rPr>
      <w:rFonts w:ascii="Tahoma" w:eastAsia="Times New Roman" w:hAnsi="Tahoma" w:cs="Times New Roman"/>
      <w:sz w:val="20"/>
      <w:szCs w:val="20"/>
      <w:lang w:val="en-US"/>
    </w:rPr>
  </w:style>
  <w:style w:type="paragraph" w:customStyle="1" w:styleId="Text">
    <w:name w:val="Text"/>
    <w:basedOn w:val="Normln"/>
    <w:rsid w:val="004873C9"/>
    <w:pPr>
      <w:spacing w:after="0" w:line="360" w:lineRule="auto"/>
      <w:ind w:firstLine="284"/>
      <w:jc w:val="both"/>
    </w:pPr>
    <w:rPr>
      <w:rFonts w:ascii="Times New Roman" w:eastAsia="Times New Roman" w:hAnsi="Times New Roman" w:cs="Times New Roman"/>
      <w:sz w:val="24"/>
      <w:szCs w:val="20"/>
      <w:lang w:eastAsia="cs-CZ"/>
    </w:rPr>
  </w:style>
  <w:style w:type="paragraph" w:styleId="Bezmezer">
    <w:name w:val="No Spacing"/>
    <w:uiPriority w:val="1"/>
    <w:qFormat/>
    <w:rsid w:val="004873C9"/>
    <w:pPr>
      <w:spacing w:after="0" w:line="240" w:lineRule="auto"/>
    </w:pPr>
  </w:style>
  <w:style w:type="character" w:styleId="Hypertextovodkaz">
    <w:name w:val="Hyperlink"/>
    <w:basedOn w:val="Standardnpsmoodstavce"/>
    <w:uiPriority w:val="99"/>
    <w:semiHidden/>
    <w:unhideWhenUsed/>
    <w:rsid w:val="004873C9"/>
    <w:rPr>
      <w:color w:val="0000FF"/>
      <w:u w:val="single"/>
    </w:rPr>
  </w:style>
  <w:style w:type="character" w:customStyle="1" w:styleId="s76label">
    <w:name w:val="s76label"/>
    <w:basedOn w:val="Standardnpsmoodstavce"/>
    <w:rsid w:val="004873C9"/>
  </w:style>
  <w:style w:type="character" w:styleId="Siln">
    <w:name w:val="Strong"/>
    <w:basedOn w:val="Standardnpsmoodstavce"/>
    <w:uiPriority w:val="22"/>
    <w:qFormat/>
    <w:rsid w:val="004873C9"/>
    <w:rPr>
      <w:b/>
      <w:bCs/>
    </w:rPr>
  </w:style>
  <w:style w:type="character" w:styleId="Zdraznn">
    <w:name w:val="Emphasis"/>
    <w:basedOn w:val="Standardnpsmoodstavce"/>
    <w:uiPriority w:val="20"/>
    <w:qFormat/>
    <w:rsid w:val="004873C9"/>
    <w:rPr>
      <w:i/>
      <w:iCs/>
    </w:rPr>
  </w:style>
  <w:style w:type="paragraph" w:customStyle="1" w:styleId="font9">
    <w:name w:val="font_9"/>
    <w:basedOn w:val="Normln"/>
    <w:rsid w:val="004873C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7">
    <w:name w:val="font_7"/>
    <w:basedOn w:val="Normln"/>
    <w:rsid w:val="004873C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4873C9"/>
  </w:style>
  <w:style w:type="character" w:customStyle="1" w:styleId="color2">
    <w:name w:val="color_2"/>
    <w:basedOn w:val="Standardnpsmoodstavce"/>
    <w:rsid w:val="004873C9"/>
  </w:style>
  <w:style w:type="paragraph" w:customStyle="1" w:styleId="font8">
    <w:name w:val="font_8"/>
    <w:basedOn w:val="Normln"/>
    <w:rsid w:val="004873C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olor14">
    <w:name w:val="color_14"/>
    <w:basedOn w:val="Standardnpsmoodstavce"/>
    <w:rsid w:val="004873C9"/>
  </w:style>
  <w:style w:type="numbering" w:customStyle="1" w:styleId="Styl2">
    <w:name w:val="Styl2"/>
    <w:uiPriority w:val="99"/>
    <w:rsid w:val="004873C9"/>
    <w:pPr>
      <w:numPr>
        <w:numId w:val="2"/>
      </w:numPr>
    </w:pPr>
  </w:style>
  <w:style w:type="paragraph" w:styleId="Obsah1">
    <w:name w:val="toc 1"/>
    <w:basedOn w:val="Normln"/>
    <w:next w:val="Normln"/>
    <w:autoRedefine/>
    <w:uiPriority w:val="39"/>
    <w:semiHidden/>
    <w:unhideWhenUsed/>
    <w:rsid w:val="00C04996"/>
    <w:pPr>
      <w:spacing w:after="100"/>
    </w:pPr>
  </w:style>
  <w:style w:type="paragraph" w:customStyle="1" w:styleId="note">
    <w:name w:val="note"/>
    <w:basedOn w:val="Normln"/>
    <w:rsid w:val="002D6520"/>
    <w:pPr>
      <w:spacing w:before="100" w:beforeAutospacing="1" w:after="100" w:afterAutospacing="1" w:line="240" w:lineRule="auto"/>
    </w:pPr>
    <w:rPr>
      <w:rFonts w:ascii="Times New Roman" w:eastAsia="Times New Roman" w:hAnsi="Times New Roman" w:cs="Times New Roman"/>
      <w:sz w:val="24"/>
      <w:szCs w:val="24"/>
      <w:lang w:eastAsia="cs-CZ"/>
    </w:rPr>
  </w:style>
  <w:style w:type="numbering" w:customStyle="1" w:styleId="Styl3">
    <w:name w:val="Styl3"/>
    <w:uiPriority w:val="99"/>
    <w:rsid w:val="00F76EC3"/>
    <w:pPr>
      <w:numPr>
        <w:numId w:val="4"/>
      </w:numPr>
    </w:pPr>
  </w:style>
  <w:style w:type="character" w:customStyle="1" w:styleId="st1">
    <w:name w:val="st1"/>
    <w:basedOn w:val="Standardnpsmoodstavce"/>
    <w:rsid w:val="00C870AA"/>
  </w:style>
  <w:style w:type="paragraph" w:styleId="Textvysvtlivek">
    <w:name w:val="endnote text"/>
    <w:basedOn w:val="Normln"/>
    <w:link w:val="TextvysvtlivekChar"/>
    <w:uiPriority w:val="99"/>
    <w:semiHidden/>
    <w:unhideWhenUsed/>
    <w:rsid w:val="0015472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54726"/>
    <w:rPr>
      <w:sz w:val="20"/>
      <w:szCs w:val="20"/>
    </w:rPr>
  </w:style>
  <w:style w:type="character" w:styleId="Odkaznavysvtlivky">
    <w:name w:val="endnote reference"/>
    <w:basedOn w:val="Standardnpsmoodstavce"/>
    <w:uiPriority w:val="99"/>
    <w:semiHidden/>
    <w:unhideWhenUsed/>
    <w:rsid w:val="00154726"/>
    <w:rPr>
      <w:vertAlign w:val="superscript"/>
    </w:rPr>
  </w:style>
  <w:style w:type="paragraph" w:styleId="Revize">
    <w:name w:val="Revision"/>
    <w:hidden/>
    <w:uiPriority w:val="99"/>
    <w:semiHidden/>
    <w:rsid w:val="003F19AD"/>
    <w:pPr>
      <w:spacing w:after="0" w:line="240" w:lineRule="auto"/>
    </w:pPr>
  </w:style>
  <w:style w:type="paragraph" w:customStyle="1" w:styleId="Textodstavce">
    <w:name w:val="Text odstavce"/>
    <w:basedOn w:val="Default"/>
    <w:next w:val="Default"/>
    <w:uiPriority w:val="99"/>
    <w:rsid w:val="004A211B"/>
    <w:rPr>
      <w:color w:val="auto"/>
    </w:rPr>
  </w:style>
  <w:style w:type="paragraph" w:customStyle="1" w:styleId="StylZkladntextCalibri">
    <w:name w:val="Styl +Základní text Calibri"/>
    <w:basedOn w:val="Normln"/>
    <w:rsid w:val="00A11C4B"/>
    <w:pPr>
      <w:suppressAutoHyphens/>
      <w:spacing w:before="120" w:after="120" w:line="240" w:lineRule="auto"/>
      <w:jc w:val="both"/>
    </w:pPr>
    <w:rPr>
      <w:rFonts w:ascii="Calibri" w:eastAsia="Times New Roman" w:hAnsi="Calibri"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2502">
      <w:bodyDiv w:val="1"/>
      <w:marLeft w:val="0"/>
      <w:marRight w:val="0"/>
      <w:marTop w:val="0"/>
      <w:marBottom w:val="0"/>
      <w:divBdr>
        <w:top w:val="none" w:sz="0" w:space="0" w:color="auto"/>
        <w:left w:val="none" w:sz="0" w:space="0" w:color="auto"/>
        <w:bottom w:val="none" w:sz="0" w:space="0" w:color="auto"/>
        <w:right w:val="none" w:sz="0" w:space="0" w:color="auto"/>
      </w:divBdr>
      <w:divsChild>
        <w:div w:id="494994478">
          <w:marLeft w:val="0"/>
          <w:marRight w:val="0"/>
          <w:marTop w:val="0"/>
          <w:marBottom w:val="0"/>
          <w:divBdr>
            <w:top w:val="none" w:sz="0" w:space="0" w:color="auto"/>
            <w:left w:val="none" w:sz="0" w:space="0" w:color="auto"/>
            <w:bottom w:val="none" w:sz="0" w:space="0" w:color="auto"/>
            <w:right w:val="none" w:sz="0" w:space="0" w:color="auto"/>
          </w:divBdr>
          <w:divsChild>
            <w:div w:id="735474800">
              <w:marLeft w:val="0"/>
              <w:marRight w:val="0"/>
              <w:marTop w:val="0"/>
              <w:marBottom w:val="0"/>
              <w:divBdr>
                <w:top w:val="single" w:sz="6" w:space="7" w:color="DDDDDD"/>
                <w:left w:val="single" w:sz="6" w:space="5" w:color="DDDDDD"/>
                <w:bottom w:val="single" w:sz="6" w:space="7" w:color="DDDDDD"/>
                <w:right w:val="single" w:sz="6" w:space="5" w:color="DDDDDD"/>
              </w:divBdr>
            </w:div>
            <w:div w:id="289940366">
              <w:marLeft w:val="0"/>
              <w:marRight w:val="0"/>
              <w:marTop w:val="0"/>
              <w:marBottom w:val="0"/>
              <w:divBdr>
                <w:top w:val="single" w:sz="6" w:space="6" w:color="DDDDDD"/>
                <w:left w:val="single" w:sz="6" w:space="9" w:color="DDDDDD"/>
                <w:bottom w:val="single" w:sz="6" w:space="6" w:color="DDDDDD"/>
                <w:right w:val="single" w:sz="6" w:space="9" w:color="DDDDDD"/>
              </w:divBdr>
            </w:div>
          </w:divsChild>
        </w:div>
        <w:div w:id="711996246">
          <w:marLeft w:val="0"/>
          <w:marRight w:val="0"/>
          <w:marTop w:val="0"/>
          <w:marBottom w:val="0"/>
          <w:divBdr>
            <w:top w:val="none" w:sz="0" w:space="0" w:color="auto"/>
            <w:left w:val="none" w:sz="0" w:space="0" w:color="auto"/>
            <w:bottom w:val="none" w:sz="0" w:space="0" w:color="auto"/>
            <w:right w:val="none" w:sz="0" w:space="0" w:color="auto"/>
          </w:divBdr>
          <w:divsChild>
            <w:div w:id="1939292232">
              <w:marLeft w:val="0"/>
              <w:marRight w:val="0"/>
              <w:marTop w:val="0"/>
              <w:marBottom w:val="0"/>
              <w:divBdr>
                <w:top w:val="single" w:sz="6" w:space="7" w:color="DDDDDD"/>
                <w:left w:val="single" w:sz="6" w:space="5" w:color="DDDDDD"/>
                <w:bottom w:val="single" w:sz="6" w:space="7" w:color="DDDDDD"/>
                <w:right w:val="single" w:sz="6" w:space="5" w:color="DDDDDD"/>
              </w:divBdr>
            </w:div>
            <w:div w:id="733819478">
              <w:marLeft w:val="0"/>
              <w:marRight w:val="0"/>
              <w:marTop w:val="0"/>
              <w:marBottom w:val="0"/>
              <w:divBdr>
                <w:top w:val="single" w:sz="6" w:space="6" w:color="DDDDDD"/>
                <w:left w:val="single" w:sz="6" w:space="9" w:color="DDDDDD"/>
                <w:bottom w:val="single" w:sz="6" w:space="6" w:color="DDDDDD"/>
                <w:right w:val="single" w:sz="6" w:space="9" w:color="DDDDDD"/>
              </w:divBdr>
            </w:div>
          </w:divsChild>
        </w:div>
        <w:div w:id="1041443198">
          <w:marLeft w:val="0"/>
          <w:marRight w:val="0"/>
          <w:marTop w:val="0"/>
          <w:marBottom w:val="0"/>
          <w:divBdr>
            <w:top w:val="none" w:sz="0" w:space="0" w:color="auto"/>
            <w:left w:val="none" w:sz="0" w:space="0" w:color="auto"/>
            <w:bottom w:val="none" w:sz="0" w:space="0" w:color="auto"/>
            <w:right w:val="none" w:sz="0" w:space="0" w:color="auto"/>
          </w:divBdr>
          <w:divsChild>
            <w:div w:id="204412122">
              <w:marLeft w:val="0"/>
              <w:marRight w:val="0"/>
              <w:marTop w:val="0"/>
              <w:marBottom w:val="0"/>
              <w:divBdr>
                <w:top w:val="single" w:sz="6" w:space="7" w:color="DDDDDD"/>
                <w:left w:val="single" w:sz="6" w:space="5" w:color="DDDDDD"/>
                <w:bottom w:val="single" w:sz="6" w:space="7" w:color="DDDDDD"/>
                <w:right w:val="single" w:sz="6" w:space="5" w:color="DDDDDD"/>
              </w:divBdr>
            </w:div>
            <w:div w:id="2071338641">
              <w:marLeft w:val="0"/>
              <w:marRight w:val="0"/>
              <w:marTop w:val="0"/>
              <w:marBottom w:val="0"/>
              <w:divBdr>
                <w:top w:val="single" w:sz="6" w:space="6" w:color="DDDDDD"/>
                <w:left w:val="single" w:sz="6" w:space="9" w:color="DDDDDD"/>
                <w:bottom w:val="single" w:sz="6" w:space="6" w:color="DDDDDD"/>
                <w:right w:val="single" w:sz="6" w:space="9" w:color="DDDDDD"/>
              </w:divBdr>
            </w:div>
          </w:divsChild>
        </w:div>
        <w:div w:id="63767220">
          <w:marLeft w:val="0"/>
          <w:marRight w:val="0"/>
          <w:marTop w:val="0"/>
          <w:marBottom w:val="0"/>
          <w:divBdr>
            <w:top w:val="none" w:sz="0" w:space="0" w:color="auto"/>
            <w:left w:val="none" w:sz="0" w:space="0" w:color="auto"/>
            <w:bottom w:val="none" w:sz="0" w:space="0" w:color="auto"/>
            <w:right w:val="none" w:sz="0" w:space="0" w:color="auto"/>
          </w:divBdr>
          <w:divsChild>
            <w:div w:id="1738243660">
              <w:marLeft w:val="0"/>
              <w:marRight w:val="0"/>
              <w:marTop w:val="0"/>
              <w:marBottom w:val="0"/>
              <w:divBdr>
                <w:top w:val="single" w:sz="6" w:space="7" w:color="DDDDDD"/>
                <w:left w:val="single" w:sz="6" w:space="5" w:color="DDDDDD"/>
                <w:bottom w:val="single" w:sz="6" w:space="7" w:color="DDDDDD"/>
                <w:right w:val="single" w:sz="6" w:space="5" w:color="DDDDDD"/>
              </w:divBdr>
            </w:div>
            <w:div w:id="1218248927">
              <w:marLeft w:val="0"/>
              <w:marRight w:val="0"/>
              <w:marTop w:val="0"/>
              <w:marBottom w:val="0"/>
              <w:divBdr>
                <w:top w:val="single" w:sz="6" w:space="6" w:color="DDDDDD"/>
                <w:left w:val="single" w:sz="6" w:space="9" w:color="DDDDDD"/>
                <w:bottom w:val="single" w:sz="6" w:space="6" w:color="DDDDDD"/>
                <w:right w:val="single" w:sz="6" w:space="9" w:color="DDDDDD"/>
              </w:divBdr>
            </w:div>
          </w:divsChild>
        </w:div>
        <w:div w:id="541287164">
          <w:marLeft w:val="0"/>
          <w:marRight w:val="0"/>
          <w:marTop w:val="0"/>
          <w:marBottom w:val="0"/>
          <w:divBdr>
            <w:top w:val="none" w:sz="0" w:space="0" w:color="auto"/>
            <w:left w:val="none" w:sz="0" w:space="0" w:color="auto"/>
            <w:bottom w:val="none" w:sz="0" w:space="0" w:color="auto"/>
            <w:right w:val="none" w:sz="0" w:space="0" w:color="auto"/>
          </w:divBdr>
          <w:divsChild>
            <w:div w:id="995038419">
              <w:marLeft w:val="0"/>
              <w:marRight w:val="0"/>
              <w:marTop w:val="0"/>
              <w:marBottom w:val="0"/>
              <w:divBdr>
                <w:top w:val="single" w:sz="6" w:space="7" w:color="DDDDDD"/>
                <w:left w:val="single" w:sz="6" w:space="5" w:color="DDDDDD"/>
                <w:bottom w:val="single" w:sz="6" w:space="7" w:color="DDDDDD"/>
                <w:right w:val="single" w:sz="6" w:space="5" w:color="DDDDDD"/>
              </w:divBdr>
            </w:div>
            <w:div w:id="1917670650">
              <w:marLeft w:val="0"/>
              <w:marRight w:val="0"/>
              <w:marTop w:val="0"/>
              <w:marBottom w:val="0"/>
              <w:divBdr>
                <w:top w:val="single" w:sz="6" w:space="6" w:color="DDDDDD"/>
                <w:left w:val="single" w:sz="6" w:space="9" w:color="DDDDDD"/>
                <w:bottom w:val="single" w:sz="6" w:space="6" w:color="DDDDDD"/>
                <w:right w:val="single" w:sz="6" w:space="9" w:color="DDDDDD"/>
              </w:divBdr>
            </w:div>
          </w:divsChild>
        </w:div>
        <w:div w:id="1951936692">
          <w:marLeft w:val="0"/>
          <w:marRight w:val="0"/>
          <w:marTop w:val="0"/>
          <w:marBottom w:val="0"/>
          <w:divBdr>
            <w:top w:val="none" w:sz="0" w:space="0" w:color="auto"/>
            <w:left w:val="none" w:sz="0" w:space="0" w:color="auto"/>
            <w:bottom w:val="none" w:sz="0" w:space="0" w:color="auto"/>
            <w:right w:val="none" w:sz="0" w:space="0" w:color="auto"/>
          </w:divBdr>
          <w:divsChild>
            <w:div w:id="122817054">
              <w:marLeft w:val="0"/>
              <w:marRight w:val="0"/>
              <w:marTop w:val="0"/>
              <w:marBottom w:val="0"/>
              <w:divBdr>
                <w:top w:val="single" w:sz="6" w:space="7" w:color="DDDDDD"/>
                <w:left w:val="single" w:sz="6" w:space="5" w:color="DDDDDD"/>
                <w:bottom w:val="single" w:sz="6" w:space="7" w:color="DDDDDD"/>
                <w:right w:val="single" w:sz="6" w:space="5" w:color="DDDDDD"/>
              </w:divBdr>
            </w:div>
            <w:div w:id="461506774">
              <w:marLeft w:val="0"/>
              <w:marRight w:val="0"/>
              <w:marTop w:val="0"/>
              <w:marBottom w:val="0"/>
              <w:divBdr>
                <w:top w:val="single" w:sz="6" w:space="6" w:color="DDDDDD"/>
                <w:left w:val="single" w:sz="6" w:space="9" w:color="DDDDDD"/>
                <w:bottom w:val="single" w:sz="6" w:space="6" w:color="DDDDDD"/>
                <w:right w:val="single" w:sz="6" w:space="9" w:color="DDDDDD"/>
              </w:divBdr>
            </w:div>
          </w:divsChild>
        </w:div>
      </w:divsChild>
    </w:div>
    <w:div w:id="196432142">
      <w:bodyDiv w:val="1"/>
      <w:marLeft w:val="0"/>
      <w:marRight w:val="0"/>
      <w:marTop w:val="0"/>
      <w:marBottom w:val="0"/>
      <w:divBdr>
        <w:top w:val="none" w:sz="0" w:space="0" w:color="auto"/>
        <w:left w:val="none" w:sz="0" w:space="0" w:color="auto"/>
        <w:bottom w:val="none" w:sz="0" w:space="0" w:color="auto"/>
        <w:right w:val="none" w:sz="0" w:space="0" w:color="auto"/>
      </w:divBdr>
    </w:div>
    <w:div w:id="314338135">
      <w:bodyDiv w:val="1"/>
      <w:marLeft w:val="0"/>
      <w:marRight w:val="0"/>
      <w:marTop w:val="0"/>
      <w:marBottom w:val="0"/>
      <w:divBdr>
        <w:top w:val="none" w:sz="0" w:space="0" w:color="auto"/>
        <w:left w:val="none" w:sz="0" w:space="0" w:color="auto"/>
        <w:bottom w:val="none" w:sz="0" w:space="0" w:color="auto"/>
        <w:right w:val="none" w:sz="0" w:space="0" w:color="auto"/>
      </w:divBdr>
    </w:div>
    <w:div w:id="7632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FD49B-EA67-48AE-9657-AB4AF2E5E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3745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Marta</dc:creator>
  <cp:lastModifiedBy>Kureková Lucie</cp:lastModifiedBy>
  <cp:revision>3</cp:revision>
  <cp:lastPrinted>2019-12-10T13:44:00Z</cp:lastPrinted>
  <dcterms:created xsi:type="dcterms:W3CDTF">2021-12-01T11:27:00Z</dcterms:created>
  <dcterms:modified xsi:type="dcterms:W3CDTF">2021-12-01T11:27:00Z</dcterms:modified>
</cp:coreProperties>
</file>