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204" w:rsidRDefault="00A92204" w:rsidP="00D460B5">
      <w:pPr>
        <w:jc w:val="center"/>
        <w:rPr>
          <w:b/>
          <w:sz w:val="24"/>
          <w:szCs w:val="24"/>
        </w:rPr>
      </w:pPr>
    </w:p>
    <w:p w:rsidR="00A92204" w:rsidRDefault="00A92204" w:rsidP="00D460B5">
      <w:pPr>
        <w:jc w:val="center"/>
        <w:rPr>
          <w:b/>
          <w:sz w:val="24"/>
          <w:szCs w:val="24"/>
        </w:rPr>
      </w:pPr>
    </w:p>
    <w:p w:rsidR="00F20B0D" w:rsidRDefault="00F20B0D" w:rsidP="00F20B0D">
      <w:pPr>
        <w:jc w:val="center"/>
        <w:rPr>
          <w:b/>
          <w:bCs/>
          <w:caps/>
          <w:sz w:val="28"/>
          <w:szCs w:val="28"/>
        </w:rPr>
      </w:pPr>
    </w:p>
    <w:p w:rsidR="00F20B0D" w:rsidRDefault="00F20B0D" w:rsidP="00F20B0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předsednictví čr v radě eu v 2. pol. roku 2022</w:t>
      </w:r>
    </w:p>
    <w:p w:rsidR="00F20B0D" w:rsidRPr="00B52990" w:rsidRDefault="00F20B0D" w:rsidP="00F20B0D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policy brief k prioritám agendy výzkumu</w:t>
      </w:r>
    </w:p>
    <w:p w:rsidR="00F20B0D" w:rsidRDefault="00F20B0D" w:rsidP="00F20B0D">
      <w:pPr>
        <w:jc w:val="both"/>
        <w:rPr>
          <w:b/>
          <w:bCs/>
          <w:u w:val="single"/>
        </w:rPr>
      </w:pPr>
    </w:p>
    <w:p w:rsidR="00F20B0D" w:rsidRDefault="00F20B0D" w:rsidP="00F20B0D">
      <w:pPr>
        <w:jc w:val="both"/>
        <w:rPr>
          <w:b/>
          <w:bCs/>
          <w:u w:val="single"/>
        </w:rPr>
      </w:pPr>
    </w:p>
    <w:p w:rsidR="00F20B0D" w:rsidRPr="00F20B0D" w:rsidRDefault="00F20B0D" w:rsidP="00F20B0D">
      <w:pPr>
        <w:jc w:val="both"/>
        <w:rPr>
          <w:b/>
          <w:bCs/>
          <w:caps/>
          <w:u w:val="single"/>
        </w:rPr>
      </w:pPr>
      <w:r w:rsidRPr="00F20B0D">
        <w:rPr>
          <w:b/>
          <w:bCs/>
          <w:caps/>
          <w:u w:val="single"/>
        </w:rPr>
        <w:t>Politický kontext</w:t>
      </w:r>
    </w:p>
    <w:p w:rsidR="00F20B0D" w:rsidRDefault="00F20B0D" w:rsidP="00F20B0D">
      <w:pPr>
        <w:jc w:val="both"/>
      </w:pPr>
    </w:p>
    <w:p w:rsidR="00F20B0D" w:rsidRDefault="00F20B0D" w:rsidP="00F20B0D">
      <w:pPr>
        <w:jc w:val="both"/>
      </w:pPr>
      <w:r>
        <w:t xml:space="preserve">Stěžejní politické dokumenty, stanovující směry budoucího rozvoje Evropského výzkumného prostoru (dále jen „ERA“) v období let 2022–2024, představují </w:t>
      </w:r>
      <w:hyperlink r:id="rId7" w:history="1">
        <w:r w:rsidRPr="00FC6F4F">
          <w:rPr>
            <w:rStyle w:val="Hypertextovodkaz"/>
            <w:b/>
            <w:bCs/>
            <w:i/>
            <w:iCs/>
          </w:rPr>
          <w:t>„Doporučení Rady o Paktu pro výzkum a inovace v Evropě</w:t>
        </w:r>
        <w:r>
          <w:rPr>
            <w:rStyle w:val="Hypertextovodkaz"/>
            <w:b/>
            <w:bCs/>
          </w:rPr>
          <w:t>“</w:t>
        </w:r>
      </w:hyperlink>
      <w:r>
        <w:t xml:space="preserve"> a </w:t>
      </w:r>
      <w:hyperlink r:id="rId8" w:history="1">
        <w:r>
          <w:rPr>
            <w:rStyle w:val="Hypertextovodkaz"/>
            <w:b/>
            <w:bCs/>
          </w:rPr>
          <w:t>„</w:t>
        </w:r>
        <w:r w:rsidRPr="00FC6F4F">
          <w:rPr>
            <w:rStyle w:val="Hypertextovodkaz"/>
            <w:b/>
            <w:bCs/>
            <w:i/>
            <w:iCs/>
          </w:rPr>
          <w:t>Závěry Rady k řízení Evropského výzkumného prostoru v budoucnosti“</w:t>
        </w:r>
      </w:hyperlink>
      <w:r>
        <w:t xml:space="preserve">, schválené dne 26. listopadu 2021 Radou pro konkurenceschopnost EU zasedající ve formaci ministrů členských států EU odpovědných za agendu výzkumu. Doporučení a Závěry Rady přináší principy kýženého rozvoje ERA a politickou agendu ERA pro nadcházející tříleté období, která obsahuje celkem 20 tzv. ERA akcí, jejichž implementace má zásadním způsobem přispět k naplnění cílů </w:t>
      </w:r>
      <w:hyperlink r:id="rId9" w:history="1">
        <w:r w:rsidRPr="00923353">
          <w:rPr>
            <w:rStyle w:val="Hypertextovodkaz"/>
            <w:b/>
            <w:bCs/>
          </w:rPr>
          <w:t>nového ERA</w:t>
        </w:r>
      </w:hyperlink>
      <w:r>
        <w:t>. Doporučení a Závěry Rady tak přináší politický rámec nadcházející etapy budování ERA a tím mj. i východiska pro stanovení priorit předsednického tria Francie, ČR a Švédsk</w:t>
      </w:r>
      <w:r w:rsidR="007B7A06">
        <w:t>a</w:t>
      </w:r>
      <w:r>
        <w:t>, jež se ujme předsednictví Rady EU po dobu 18 kalendářních měsíců počínaje 1. lednem 2022</w:t>
      </w:r>
      <w:r w:rsidR="007B7A06">
        <w:t>,</w:t>
      </w:r>
      <w:r>
        <w:t xml:space="preserve"> konče 30. červnem 2023.</w:t>
      </w:r>
    </w:p>
    <w:p w:rsidR="00F20B0D" w:rsidRDefault="00F20B0D" w:rsidP="00F20B0D">
      <w:pPr>
        <w:jc w:val="both"/>
      </w:pPr>
    </w:p>
    <w:p w:rsidR="00F20B0D" w:rsidRPr="00F20B0D" w:rsidRDefault="00F20B0D" w:rsidP="00F20B0D">
      <w:pPr>
        <w:jc w:val="both"/>
        <w:rPr>
          <w:b/>
          <w:bCs/>
          <w:caps/>
          <w:u w:val="single"/>
        </w:rPr>
      </w:pPr>
      <w:r w:rsidRPr="00F20B0D">
        <w:rPr>
          <w:b/>
          <w:bCs/>
          <w:caps/>
          <w:u w:val="single"/>
        </w:rPr>
        <w:t>Prioritní témata</w:t>
      </w:r>
    </w:p>
    <w:p w:rsidR="00F20B0D" w:rsidRDefault="00F20B0D" w:rsidP="00F20B0D">
      <w:pPr>
        <w:jc w:val="both"/>
      </w:pPr>
    </w:p>
    <w:p w:rsidR="00F20B0D" w:rsidRDefault="00233350" w:rsidP="00F20B0D">
      <w:pPr>
        <w:jc w:val="both"/>
      </w:pPr>
      <w:r>
        <w:t>Hlavními</w:t>
      </w:r>
      <w:r w:rsidR="00F20B0D">
        <w:t xml:space="preserve"> prioritami ČR pro předsednictví v Radě EU v průběhu 2. pol. roku 2022 jsou, co do výzkumné agendy, </w:t>
      </w:r>
      <w:r>
        <w:t xml:space="preserve">témata </w:t>
      </w:r>
      <w:r w:rsidR="00F20B0D" w:rsidRPr="00255174">
        <w:rPr>
          <w:b/>
          <w:bCs/>
        </w:rPr>
        <w:t>výzkumn</w:t>
      </w:r>
      <w:r w:rsidRPr="00255174">
        <w:rPr>
          <w:b/>
          <w:bCs/>
        </w:rPr>
        <w:t>ých</w:t>
      </w:r>
      <w:r w:rsidR="00F20B0D" w:rsidRPr="00255174">
        <w:rPr>
          <w:b/>
          <w:bCs/>
        </w:rPr>
        <w:t xml:space="preserve"> infrastruktur</w:t>
      </w:r>
      <w:r w:rsidR="00F20B0D">
        <w:t xml:space="preserve"> a </w:t>
      </w:r>
      <w:r w:rsidR="00F20B0D" w:rsidRPr="00255174">
        <w:rPr>
          <w:b/>
          <w:bCs/>
        </w:rPr>
        <w:t>synergi</w:t>
      </w:r>
      <w:r w:rsidRPr="00255174">
        <w:rPr>
          <w:b/>
          <w:bCs/>
        </w:rPr>
        <w:t xml:space="preserve">í </w:t>
      </w:r>
      <w:r w:rsidR="00255174">
        <w:rPr>
          <w:b/>
          <w:bCs/>
        </w:rPr>
        <w:t>ve</w:t>
      </w:r>
      <w:r w:rsidRPr="00255174">
        <w:rPr>
          <w:b/>
          <w:bCs/>
        </w:rPr>
        <w:t xml:space="preserve"> financování výzkumu, vývoje a inovací</w:t>
      </w:r>
      <w:r w:rsidR="00F20B0D">
        <w:t xml:space="preserve">. </w:t>
      </w:r>
      <w:r>
        <w:t>Takto definované p</w:t>
      </w:r>
      <w:r w:rsidR="00F20B0D">
        <w:t xml:space="preserve">riority ČR vyplývají </w:t>
      </w:r>
      <w:r>
        <w:t xml:space="preserve">nejen </w:t>
      </w:r>
      <w:r w:rsidR="00F20B0D">
        <w:t xml:space="preserve">ze společného </w:t>
      </w:r>
      <w:r>
        <w:t xml:space="preserve">předsednického </w:t>
      </w:r>
      <w:r w:rsidR="00F20B0D">
        <w:t>programu Francie, ČR a Švédska</w:t>
      </w:r>
      <w:r>
        <w:t>,</w:t>
      </w:r>
      <w:r w:rsidR="00F20B0D">
        <w:t xml:space="preserve"> a</w:t>
      </w:r>
      <w:r>
        <w:t>le</w:t>
      </w:r>
      <w:r w:rsidR="00F20B0D">
        <w:t xml:space="preserve"> v</w:t>
      </w:r>
      <w:r>
        <w:t xml:space="preserve"> uvedených </w:t>
      </w:r>
      <w:r w:rsidR="00F20B0D">
        <w:t xml:space="preserve">politických </w:t>
      </w:r>
      <w:r>
        <w:t>doménách</w:t>
      </w:r>
      <w:r w:rsidR="00F20B0D">
        <w:t xml:space="preserve"> navazují </w:t>
      </w:r>
      <w:r>
        <w:t xml:space="preserve">i </w:t>
      </w:r>
      <w:r w:rsidR="00F20B0D">
        <w:t xml:space="preserve">na politickou agendu ERA a </w:t>
      </w:r>
      <w:r>
        <w:t xml:space="preserve">tzv. </w:t>
      </w:r>
      <w:r w:rsidR="00F20B0D">
        <w:t>ERA akce</w:t>
      </w:r>
      <w:r>
        <w:t>,</w:t>
      </w:r>
      <w:r w:rsidR="00F20B0D">
        <w:t xml:space="preserve"> </w:t>
      </w:r>
      <w:r>
        <w:t>které budou</w:t>
      </w:r>
      <w:r w:rsidR="00F20B0D">
        <w:t xml:space="preserve"> implement</w:t>
      </w:r>
      <w:r>
        <w:t>ovány</w:t>
      </w:r>
      <w:r w:rsidR="00F20B0D">
        <w:t xml:space="preserve"> v letech 2022–2024. Zatímco problematiku výzkumných infrastruktur adresuje </w:t>
      </w:r>
      <w:r w:rsidR="00F20B0D" w:rsidRPr="00FC6F4F">
        <w:t>ERA akce</w:t>
      </w:r>
      <w:r w:rsidR="00F20B0D">
        <w:t xml:space="preserve"> č.</w:t>
      </w:r>
      <w:r w:rsidR="00F20B0D" w:rsidRPr="00FC6F4F">
        <w:t xml:space="preserve"> </w:t>
      </w:r>
      <w:r w:rsidR="00F20B0D">
        <w:t>8</w:t>
      </w:r>
      <w:r w:rsidR="00F20B0D" w:rsidRPr="00FC6F4F">
        <w:t xml:space="preserve"> </w:t>
      </w:r>
      <w:r>
        <w:t>určující</w:t>
      </w:r>
      <w:r w:rsidR="00F20B0D">
        <w:t xml:space="preserve"> cíl </w:t>
      </w:r>
      <w:r w:rsidR="00F20B0D" w:rsidRPr="00FC6F4F">
        <w:rPr>
          <w:i/>
          <w:iCs/>
        </w:rPr>
        <w:t>„Posílit udržitelnost, dostupnost a odolnost výzkumných infrastruktur v Evropském výzkumném prostoru“</w:t>
      </w:r>
      <w:r w:rsidR="00F20B0D">
        <w:t>, synergický přístup k financování výzkumu</w:t>
      </w:r>
      <w:r>
        <w:t>, vývoje</w:t>
      </w:r>
      <w:r w:rsidR="00F20B0D">
        <w:t xml:space="preserve"> inovací v</w:t>
      </w:r>
      <w:r>
        <w:t xml:space="preserve"> rámci </w:t>
      </w:r>
      <w:r w:rsidR="00F20B0D">
        <w:t>E</w:t>
      </w:r>
      <w:r>
        <w:t>RA</w:t>
      </w:r>
      <w:r w:rsidR="00F20B0D">
        <w:t xml:space="preserve"> při využití různorodých </w:t>
      </w:r>
      <w:r w:rsidR="005144C1">
        <w:t>finančních nástrojů</w:t>
      </w:r>
      <w:r w:rsidR="00F20B0D">
        <w:t xml:space="preserve"> navazuje mj. na ERA akci č. 10 „</w:t>
      </w:r>
      <w:r w:rsidR="00F20B0D" w:rsidRPr="00766B37">
        <w:rPr>
          <w:i/>
          <w:iCs/>
        </w:rPr>
        <w:t>Učinit z misí a partnerství EU v oblasti výzkumu a inovací klíčové přispěvatele do Evropského výzkumného prostoru</w:t>
      </w:r>
      <w:r w:rsidR="00F20B0D">
        <w:t xml:space="preserve">“. </w:t>
      </w:r>
      <w:r>
        <w:t>O</w:t>
      </w:r>
      <w:r w:rsidR="00F20B0D">
        <w:t>bě témata lze</w:t>
      </w:r>
      <w:r>
        <w:t xml:space="preserve"> nicméně</w:t>
      </w:r>
      <w:r w:rsidR="00F20B0D">
        <w:t xml:space="preserve"> považovat za průřezová</w:t>
      </w:r>
      <w:r>
        <w:t xml:space="preserve"> s vazbou na větší počet tzv. ERA akcí.</w:t>
      </w:r>
      <w:r w:rsidR="00F20B0D">
        <w:t xml:space="preserve"> </w:t>
      </w:r>
      <w:r>
        <w:t>N</w:t>
      </w:r>
      <w:r w:rsidR="00F20B0D">
        <w:t>aplnění cílů předsednictví ČR v Radě EU tak nese značný potenciál</w:t>
      </w:r>
      <w:r w:rsidR="007B7A06">
        <w:t xml:space="preserve"> i</w:t>
      </w:r>
      <w:r>
        <w:t xml:space="preserve">, co do </w:t>
      </w:r>
      <w:r w:rsidR="00F20B0D">
        <w:t>přispě</w:t>
      </w:r>
      <w:r>
        <w:t>ní</w:t>
      </w:r>
      <w:r w:rsidR="00F20B0D">
        <w:t xml:space="preserve"> k naplnění řad</w:t>
      </w:r>
      <w:r>
        <w:t>y</w:t>
      </w:r>
      <w:r w:rsidR="00F20B0D">
        <w:t xml:space="preserve"> cílů budoucího rozvoje ERA.</w:t>
      </w:r>
    </w:p>
    <w:p w:rsidR="00F20B0D" w:rsidRDefault="00F20B0D" w:rsidP="00F20B0D">
      <w:pPr>
        <w:jc w:val="both"/>
      </w:pPr>
    </w:p>
    <w:p w:rsidR="00F20B0D" w:rsidRPr="00F20B0D" w:rsidRDefault="00F20B0D" w:rsidP="00F20B0D">
      <w:pPr>
        <w:jc w:val="both"/>
        <w:rPr>
          <w:b/>
          <w:bCs/>
          <w:caps/>
          <w:u w:val="single"/>
        </w:rPr>
      </w:pPr>
      <w:r w:rsidRPr="00F20B0D">
        <w:rPr>
          <w:b/>
          <w:bCs/>
          <w:caps/>
          <w:u w:val="single"/>
        </w:rPr>
        <w:t>Výzkumné infrastruktury</w:t>
      </w:r>
    </w:p>
    <w:p w:rsidR="00F20B0D" w:rsidRDefault="00F20B0D" w:rsidP="00F20B0D">
      <w:pPr>
        <w:jc w:val="both"/>
      </w:pPr>
    </w:p>
    <w:p w:rsidR="00463864" w:rsidRDefault="00463864" w:rsidP="00463864">
      <w:pPr>
        <w:jc w:val="both"/>
      </w:pPr>
      <w:r>
        <w:t xml:space="preserve">Výzkumné infrastruktury tvoří páteřní infrastrukturní síť zařízení pro provádění špičkového základního a aplikovaného výzkumu, posouvajícího hranice lidského poznání za dosud známé horizonty. Jsou také platformou pro vývoj nejvyspělejších technologií, vykazujících vysokou znalostní náročnost a </w:t>
      </w:r>
      <w:r w:rsidR="00504A07">
        <w:t xml:space="preserve">potenciál </w:t>
      </w:r>
      <w:r w:rsidR="005144C1">
        <w:t xml:space="preserve">k </w:t>
      </w:r>
      <w:r w:rsidR="00504A07">
        <w:t>uplatnění</w:t>
      </w:r>
      <w:r>
        <w:t xml:space="preserve"> v inovativních řešeních s vysokou přidanou hodnotou. Výzkumné infrastruktury </w:t>
      </w:r>
      <w:r w:rsidR="007C2D27">
        <w:t>proto</w:t>
      </w:r>
      <w:r>
        <w:t xml:space="preserve"> mají i značné přesahy mimo sektorovou oblast vědy a přináší znalostní a technologické předpoklady k řešení velkých socioekonomických výzev. Svým zapojením do krizového managementu pandemie </w:t>
      </w:r>
      <w:r w:rsidR="007C2D27">
        <w:t>coronaviru</w:t>
      </w:r>
      <w:r>
        <w:t xml:space="preserve"> SARS-CoV-2</w:t>
      </w:r>
      <w:r w:rsidR="007C2D27">
        <w:t>, resp.</w:t>
      </w:r>
      <w:r>
        <w:t xml:space="preserve"> </w:t>
      </w:r>
      <w:r w:rsidR="007C2D27">
        <w:t>onemocnění Covid-19</w:t>
      </w:r>
      <w:r w:rsidR="005144C1">
        <w:t>,</w:t>
      </w:r>
      <w:r>
        <w:t xml:space="preserve"> </w:t>
      </w:r>
      <w:r w:rsidR="007C2D27">
        <w:t>výzkumné infrastruktury prokázaly svou nezpochybnitelnou roli nedílné součásti kri</w:t>
      </w:r>
      <w:r w:rsidR="005144C1">
        <w:t>tické</w:t>
      </w:r>
      <w:r w:rsidR="007C2D27">
        <w:t xml:space="preserve"> infrastruktury, jejíž </w:t>
      </w:r>
      <w:r w:rsidR="00A74909">
        <w:t>připravenost</w:t>
      </w:r>
      <w:r w:rsidR="007C2D27">
        <w:t xml:space="preserve"> ovlivňuje </w:t>
      </w:r>
      <w:r w:rsidR="00A74909">
        <w:t>schopnost</w:t>
      </w:r>
      <w:r w:rsidR="007C2D27">
        <w:t xml:space="preserve"> společnosti reagovat na jakékoliv krizové scénáře žádající si znalostní řešení. Výzkumné infrastruktury </w:t>
      </w:r>
      <w:r w:rsidR="00A74909">
        <w:t xml:space="preserve">jsou </w:t>
      </w:r>
      <w:r w:rsidR="005144C1">
        <w:t>tak</w:t>
      </w:r>
      <w:r w:rsidR="00A74909">
        <w:t xml:space="preserve"> strategickou investicí, která přispívá či přímo determinuje </w:t>
      </w:r>
      <w:r w:rsidR="005144C1">
        <w:t xml:space="preserve">mj. </w:t>
      </w:r>
      <w:r w:rsidR="007B7A06">
        <w:t>také</w:t>
      </w:r>
      <w:r w:rsidR="005144C1">
        <w:t xml:space="preserve"> makro-</w:t>
      </w:r>
      <w:r w:rsidR="00A74909">
        <w:t xml:space="preserve">regionální rozvoj. Nad rámec poskytování nejpokročilejší </w:t>
      </w:r>
      <w:r w:rsidR="005144C1">
        <w:t xml:space="preserve">vědecké </w:t>
      </w:r>
      <w:r w:rsidR="00A74909">
        <w:t>instrumentace nakládají</w:t>
      </w:r>
      <w:r w:rsidR="007C2D27">
        <w:t xml:space="preserve"> </w:t>
      </w:r>
      <w:r w:rsidR="00A74909">
        <w:t xml:space="preserve">výzkumné infrastruktury </w:t>
      </w:r>
      <w:r w:rsidR="005144C1">
        <w:t>i</w:t>
      </w:r>
      <w:r w:rsidR="00A74909">
        <w:t xml:space="preserve"> </w:t>
      </w:r>
      <w:r w:rsidR="007C2D27">
        <w:t xml:space="preserve">s nepřeberným množstvím informací a dat, </w:t>
      </w:r>
      <w:r w:rsidR="005144C1">
        <w:t>která</w:t>
      </w:r>
      <w:r w:rsidR="007C2D27">
        <w:t xml:space="preserve"> zprostředkovávají pro vědecké </w:t>
      </w:r>
      <w:r w:rsidR="005144C1">
        <w:t>experimenty a studie</w:t>
      </w:r>
      <w:r w:rsidR="007C2D27">
        <w:t xml:space="preserve">. </w:t>
      </w:r>
      <w:r w:rsidR="00A74909">
        <w:t xml:space="preserve">Jsou </w:t>
      </w:r>
      <w:r w:rsidR="005144C1">
        <w:t xml:space="preserve">přirozeným </w:t>
      </w:r>
      <w:r w:rsidR="00A74909">
        <w:t xml:space="preserve">místem </w:t>
      </w:r>
      <w:r w:rsidR="005144C1">
        <w:t xml:space="preserve">pro </w:t>
      </w:r>
      <w:r w:rsidR="00A74909">
        <w:t xml:space="preserve">setkávání stakeholderů z různorodých </w:t>
      </w:r>
      <w:r w:rsidR="005144C1">
        <w:t>hospodářských</w:t>
      </w:r>
      <w:r w:rsidR="00A74909">
        <w:t xml:space="preserve"> domén a katalyzátorem vědeckého poznání </w:t>
      </w:r>
      <w:r w:rsidR="005144C1">
        <w:t>a </w:t>
      </w:r>
      <w:r w:rsidR="00A74909">
        <w:t xml:space="preserve">průmyslových inovací. Poskytováním svých </w:t>
      </w:r>
      <w:r w:rsidR="00504A07">
        <w:t>služeb</w:t>
      </w:r>
      <w:r w:rsidR="00A74909">
        <w:t xml:space="preserve"> na bázi otevřeného přístupu </w:t>
      </w:r>
      <w:r w:rsidR="00504A07">
        <w:t>představují</w:t>
      </w:r>
      <w:r w:rsidR="00A74909">
        <w:t xml:space="preserve"> výzkumné infrastruktury </w:t>
      </w:r>
      <w:r w:rsidR="00504A07">
        <w:t>vlajkovou iniciativu</w:t>
      </w:r>
      <w:r w:rsidR="00A74909">
        <w:t xml:space="preserve"> politiky otevřené vědy</w:t>
      </w:r>
      <w:r w:rsidR="005144C1">
        <w:t xml:space="preserve"> v Evropě.</w:t>
      </w:r>
    </w:p>
    <w:p w:rsidR="00CB5D54" w:rsidRDefault="00F20B0D" w:rsidP="00F20B0D">
      <w:pPr>
        <w:jc w:val="both"/>
        <w:rPr>
          <w:lang w:val="en-GB"/>
        </w:rPr>
      </w:pPr>
      <w:r>
        <w:t xml:space="preserve">Východisky pro adresování výzkumných infrastruktur jako jedné z priorit předsednictví ČR v Radě EU jsou výstupy aktivit Evropského strategického fóra pro výzkumné infrastruktury (dále jen „ESFRI“), jichž bylo dosaženo v letech 2019–2021 za předsednictví RNDr. Jana Hrušáka, CSc., zmocněnce Ministerstva školství, mládeže a tělovýchovy </w:t>
      </w:r>
      <w:r w:rsidR="00233350">
        <w:t xml:space="preserve">(dále jen „MŠMT“) </w:t>
      </w:r>
      <w:r>
        <w:t>pro výzkumné infrastruktury, a to</w:t>
      </w:r>
      <w:r w:rsidR="00233350">
        <w:t xml:space="preserve"> </w:t>
      </w:r>
      <w:r w:rsidR="00CB5D54">
        <w:t>konkrétně</w:t>
      </w:r>
      <w:r>
        <w:t xml:space="preserve"> </w:t>
      </w:r>
      <w:hyperlink r:id="rId10" w:history="1">
        <w:r>
          <w:rPr>
            <w:rStyle w:val="Hypertextovodkaz"/>
            <w:b/>
            <w:bCs/>
            <w:i/>
            <w:iCs/>
          </w:rPr>
          <w:t>„</w:t>
        </w:r>
        <w:r w:rsidRPr="00C62B96">
          <w:rPr>
            <w:rStyle w:val="Hypertextovodkaz"/>
            <w:b/>
            <w:bCs/>
            <w:i/>
            <w:iCs/>
            <w:lang w:val="en-GB"/>
          </w:rPr>
          <w:t>ESFRI White Paper 2020: Making Science Happen – A New Ambition for Research Infrastructures in the European Research Area</w:t>
        </w:r>
        <w:r>
          <w:rPr>
            <w:rStyle w:val="Hypertextovodkaz"/>
            <w:b/>
            <w:bCs/>
          </w:rPr>
          <w:t>“</w:t>
        </w:r>
      </w:hyperlink>
      <w:r w:rsidR="00233350">
        <w:t>,</w:t>
      </w:r>
      <w:r w:rsidR="007B7A06">
        <w:t xml:space="preserve"> a</w:t>
      </w:r>
      <w:r>
        <w:t xml:space="preserve"> </w:t>
      </w:r>
      <w:hyperlink r:id="rId11" w:history="1">
        <w:r w:rsidRPr="00C62B96">
          <w:rPr>
            <w:rStyle w:val="Hypertextovodkaz"/>
            <w:b/>
            <w:bCs/>
            <w:i/>
            <w:iCs/>
            <w:lang w:val="en-GB"/>
          </w:rPr>
          <w:t xml:space="preserve">„Strategy Report </w:t>
        </w:r>
        <w:r w:rsidR="00CB5D54">
          <w:rPr>
            <w:rStyle w:val="Hypertextovodkaz"/>
            <w:b/>
            <w:bCs/>
            <w:i/>
            <w:iCs/>
            <w:lang w:val="en-GB"/>
          </w:rPr>
          <w:t>on Research Infrastructures:</w:t>
        </w:r>
        <w:r w:rsidRPr="00C62B96">
          <w:rPr>
            <w:rStyle w:val="Hypertextovodkaz"/>
            <w:b/>
            <w:bCs/>
            <w:i/>
            <w:iCs/>
            <w:lang w:val="en-GB"/>
          </w:rPr>
          <w:t xml:space="preserve"> Roadmap of European Strategy Forum on Research Infrastructures 2021“</w:t>
        </w:r>
      </w:hyperlink>
      <w:r>
        <w:rPr>
          <w:lang w:val="en-GB"/>
        </w:rPr>
        <w:t xml:space="preserve">. </w:t>
      </w:r>
    </w:p>
    <w:p w:rsidR="00CB5D54" w:rsidRDefault="00CB5D54" w:rsidP="00F20B0D">
      <w:pPr>
        <w:jc w:val="both"/>
        <w:rPr>
          <w:lang w:val="en-GB"/>
        </w:rPr>
      </w:pPr>
    </w:p>
    <w:p w:rsidR="00F20B0D" w:rsidRPr="00C62B96" w:rsidRDefault="00F20B0D" w:rsidP="00F20B0D">
      <w:pPr>
        <w:jc w:val="both"/>
      </w:pPr>
      <w:r w:rsidRPr="00C62B96">
        <w:t>Cíl</w:t>
      </w:r>
      <w:r>
        <w:t>em</w:t>
      </w:r>
      <w:r w:rsidRPr="00C62B96">
        <w:t xml:space="preserve"> </w:t>
      </w:r>
      <w:r>
        <w:t xml:space="preserve">předsednictví ČR </w:t>
      </w:r>
      <w:r w:rsidR="00233350">
        <w:t xml:space="preserve">v Radě EU </w:t>
      </w:r>
      <w:r>
        <w:t xml:space="preserve">v tomto kontextu je </w:t>
      </w:r>
      <w:r w:rsidR="00CB5D54">
        <w:t>přenést</w:t>
      </w:r>
      <w:r>
        <w:t xml:space="preserve"> priority </w:t>
      </w:r>
      <w:r w:rsidR="00CB5D54">
        <w:t xml:space="preserve">budoucího </w:t>
      </w:r>
      <w:r>
        <w:t xml:space="preserve">rozvoje evropského výzkumně-infrastrukturního ekosystému </w:t>
      </w:r>
      <w:r w:rsidR="00233350">
        <w:t xml:space="preserve">z úrovně agendy ESFRI na úroveň </w:t>
      </w:r>
      <w:r>
        <w:t xml:space="preserve">politické agendy ministrů členských států EU a přijmout závazek </w:t>
      </w:r>
      <w:r w:rsidR="00233350">
        <w:t xml:space="preserve">členských států EU </w:t>
      </w:r>
      <w:r>
        <w:t>k</w:t>
      </w:r>
      <w:r w:rsidR="00233350">
        <w:t xml:space="preserve"> dalšímu </w:t>
      </w:r>
      <w:r>
        <w:t xml:space="preserve">rozvoji </w:t>
      </w:r>
      <w:r w:rsidR="00233350">
        <w:t>výzkumně-infrastrukturního ekosystému</w:t>
      </w:r>
      <w:r>
        <w:t xml:space="preserve"> </w:t>
      </w:r>
      <w:r w:rsidR="00233350">
        <w:t xml:space="preserve">v </w:t>
      </w:r>
      <w:r>
        <w:t>E</w:t>
      </w:r>
      <w:r w:rsidR="00233350">
        <w:t>vropě</w:t>
      </w:r>
      <w:r>
        <w:t xml:space="preserve"> formou </w:t>
      </w:r>
      <w:r w:rsidRPr="00CB5D54">
        <w:rPr>
          <w:b/>
          <w:bCs/>
        </w:rPr>
        <w:t>Závěrů Rady</w:t>
      </w:r>
      <w:r w:rsidR="00CB5D54">
        <w:rPr>
          <w:b/>
          <w:bCs/>
        </w:rPr>
        <w:t xml:space="preserve"> EU</w:t>
      </w:r>
      <w:r w:rsidR="007B7A06" w:rsidRPr="007B7A06">
        <w:t xml:space="preserve">, </w:t>
      </w:r>
      <w:r w:rsidR="007B7A06">
        <w:t>stanovujících hlavní cíle a nástroje k jejich dosažení</w:t>
      </w:r>
      <w:r>
        <w:t xml:space="preserve">.  </w:t>
      </w:r>
    </w:p>
    <w:p w:rsidR="00F20B0D" w:rsidRPr="00EA3ACA" w:rsidRDefault="00F20B0D" w:rsidP="00F20B0D">
      <w:pPr>
        <w:jc w:val="both"/>
      </w:pPr>
    </w:p>
    <w:p w:rsidR="00F20B0D" w:rsidRDefault="00F20B0D" w:rsidP="00F20B0D">
      <w:pPr>
        <w:jc w:val="both"/>
      </w:pPr>
      <w:r w:rsidRPr="00EA3ACA">
        <w:t xml:space="preserve">Za účelem </w:t>
      </w:r>
      <w:r>
        <w:t xml:space="preserve">zprostředkování debat k otázkám budoucího rozvoje politiky výzkumných infrastruktur v EU a ve světě uspořádá MŠMT společně s Masarykovou univerzitou a </w:t>
      </w:r>
      <w:r w:rsidR="00CB5D54">
        <w:t xml:space="preserve">se </w:t>
      </w:r>
      <w:r>
        <w:t xml:space="preserve">Středoevropským technologickým institutem konferenci </w:t>
      </w:r>
      <w:hyperlink r:id="rId12" w:history="1">
        <w:r w:rsidRPr="002532BE">
          <w:rPr>
            <w:rStyle w:val="Hypertextovodkaz"/>
            <w:b/>
            <w:bCs/>
            <w:lang w:val="en-GB"/>
          </w:rPr>
          <w:t>ICRI 2022</w:t>
        </w:r>
      </w:hyperlink>
      <w:r w:rsidRPr="002532BE">
        <w:rPr>
          <w:lang w:val="en-GB"/>
        </w:rPr>
        <w:t xml:space="preserve"> (</w:t>
      </w:r>
      <w:r w:rsidRPr="002532BE">
        <w:rPr>
          <w:i/>
          <w:iCs/>
          <w:lang w:val="en-GB"/>
        </w:rPr>
        <w:t>International Conference on Research Infrastructures</w:t>
      </w:r>
      <w:r w:rsidRPr="002532BE">
        <w:rPr>
          <w:lang w:val="en-GB"/>
        </w:rPr>
        <w:t>)</w:t>
      </w:r>
      <w:r w:rsidRPr="002532BE">
        <w:t xml:space="preserve">, </w:t>
      </w:r>
      <w:r w:rsidR="00CB5D54">
        <w:t>jež</w:t>
      </w:r>
      <w:r w:rsidRPr="002532BE">
        <w:t xml:space="preserve"> </w:t>
      </w:r>
      <w:r>
        <w:t>proběhne</w:t>
      </w:r>
      <w:r w:rsidRPr="002532BE">
        <w:t xml:space="preserve"> </w:t>
      </w:r>
      <w:r>
        <w:t xml:space="preserve">ve dnech 19.–21. října 2022 v Brně návazně na plenární zasedání </w:t>
      </w:r>
      <w:hyperlink r:id="rId13" w:history="1">
        <w:r w:rsidRPr="00B52990">
          <w:rPr>
            <w:rStyle w:val="Hypertextovodkaz"/>
            <w:b/>
            <w:bCs/>
          </w:rPr>
          <w:t>ESFRI</w:t>
        </w:r>
      </w:hyperlink>
      <w:r>
        <w:t xml:space="preserve"> ve dnech 18.–19. října 2022.</w:t>
      </w:r>
    </w:p>
    <w:p w:rsidR="00504A07" w:rsidRDefault="00504A07" w:rsidP="00F20B0D">
      <w:pPr>
        <w:jc w:val="both"/>
      </w:pPr>
    </w:p>
    <w:p w:rsidR="00F20B0D" w:rsidRDefault="00F20B0D" w:rsidP="00F20B0D">
      <w:pPr>
        <w:jc w:val="both"/>
      </w:pPr>
      <w:r>
        <w:t>Nad rámec schválení Závěrů Rady k výzkumným infrastrukturám během předsednictví ČR v Radě EU, jejichž účelem je přijetí politického závazku členských států EU, co do budoucího směřování výzkumně-infrastrukturní politiky v EU, je ambicí ČR využít příležitost</w:t>
      </w:r>
      <w:r w:rsidR="00E6179C">
        <w:t>i</w:t>
      </w:r>
      <w:r>
        <w:t xml:space="preserve"> konání konference ICRI 2022 v ČR </w:t>
      </w:r>
      <w:r w:rsidR="00E6179C">
        <w:t>i</w:t>
      </w:r>
      <w:r>
        <w:t xml:space="preserve"> k přijetí </w:t>
      </w:r>
      <w:r w:rsidRPr="00CB5D54">
        <w:rPr>
          <w:b/>
          <w:bCs/>
        </w:rPr>
        <w:t>tzv. Brněnské deklarace k výzkumným infrastrukturám</w:t>
      </w:r>
      <w:r>
        <w:t xml:space="preserve">, </w:t>
      </w:r>
      <w:r w:rsidR="00E6179C">
        <w:t>jež v</w:t>
      </w:r>
      <w:r>
        <w:t xml:space="preserve">ytyčí cíle </w:t>
      </w:r>
      <w:r w:rsidR="00CB5D54">
        <w:t xml:space="preserve">pro </w:t>
      </w:r>
      <w:r>
        <w:t>rozvoj</w:t>
      </w:r>
      <w:r w:rsidR="00CB5D54">
        <w:t xml:space="preserve"> plně</w:t>
      </w:r>
      <w:r w:rsidR="00E6179C">
        <w:t xml:space="preserve"> integrovaného a interoperabilního </w:t>
      </w:r>
      <w:r>
        <w:t>celosvětového ekosystému výzkumných infrastruktur</w:t>
      </w:r>
      <w:r w:rsidR="00CB5D54">
        <w:t>,</w:t>
      </w:r>
      <w:r>
        <w:t xml:space="preserve"> jako </w:t>
      </w:r>
      <w:r w:rsidR="00E6179C">
        <w:t>klíčové</w:t>
      </w:r>
      <w:r>
        <w:t xml:space="preserve"> součásti kritické infrastruktury a nástroje k řešení velkých socioekonomických výzev pomocí znalostních řešení.</w:t>
      </w:r>
    </w:p>
    <w:p w:rsidR="00F20B0D" w:rsidRDefault="00F20B0D" w:rsidP="00F20B0D">
      <w:pPr>
        <w:jc w:val="both"/>
      </w:pPr>
    </w:p>
    <w:p w:rsidR="00F20B0D" w:rsidRPr="00F20B0D" w:rsidRDefault="00F20B0D" w:rsidP="00F20B0D">
      <w:pPr>
        <w:jc w:val="both"/>
        <w:rPr>
          <w:b/>
          <w:bCs/>
          <w:caps/>
          <w:u w:val="single"/>
        </w:rPr>
      </w:pPr>
      <w:bookmarkStart w:id="0" w:name="_Hlk90364253"/>
      <w:r w:rsidRPr="00F20B0D">
        <w:rPr>
          <w:b/>
          <w:bCs/>
          <w:caps/>
          <w:u w:val="single"/>
        </w:rPr>
        <w:t>Synergie ve financování</w:t>
      </w:r>
      <w:r w:rsidR="00E6179C">
        <w:rPr>
          <w:b/>
          <w:bCs/>
          <w:caps/>
          <w:u w:val="single"/>
        </w:rPr>
        <w:t xml:space="preserve"> výzkumu, vývoje a inovací</w:t>
      </w:r>
    </w:p>
    <w:bookmarkEnd w:id="0"/>
    <w:p w:rsidR="00F20B0D" w:rsidRPr="002532BE" w:rsidRDefault="00F20B0D" w:rsidP="00F20B0D">
      <w:pPr>
        <w:jc w:val="both"/>
      </w:pPr>
    </w:p>
    <w:p w:rsidR="005C28EE" w:rsidRDefault="00F20B0D" w:rsidP="003A0EF8">
      <w:pPr>
        <w:jc w:val="both"/>
      </w:pPr>
      <w:r>
        <w:t>Synergie ve financování výzkumu, vývoje a inovací</w:t>
      </w:r>
      <w:r w:rsidR="00E6179C">
        <w:t xml:space="preserve"> a</w:t>
      </w:r>
      <w:r>
        <w:t xml:space="preserve"> komplementární využívání různorodých finančních nástrojů národní a mezinárodní povahy je předpokladem efektivního nakládání s rozpočtovými zdroji</w:t>
      </w:r>
      <w:r w:rsidR="00E6179C">
        <w:t>, jakož</w:t>
      </w:r>
      <w:r>
        <w:t xml:space="preserve"> i</w:t>
      </w:r>
      <w:r w:rsidR="00E6179C">
        <w:t> </w:t>
      </w:r>
      <w:r>
        <w:t xml:space="preserve">maximalizace přínosů a dopadů </w:t>
      </w:r>
      <w:r w:rsidR="00E6179C">
        <w:t xml:space="preserve">investic vynakládaných </w:t>
      </w:r>
      <w:r w:rsidR="00CB5D54">
        <w:t>pro</w:t>
      </w:r>
      <w:r w:rsidR="00E6179C">
        <w:t> </w:t>
      </w:r>
      <w:r w:rsidR="0082333F">
        <w:t>provádění</w:t>
      </w:r>
      <w:r w:rsidR="00E6179C">
        <w:t xml:space="preserve"> </w:t>
      </w:r>
      <w:r>
        <w:t>výzkumných a inovačních politik</w:t>
      </w:r>
      <w:r w:rsidR="00E6179C">
        <w:t xml:space="preserve">. Jakkoliv problematika </w:t>
      </w:r>
      <w:r w:rsidR="0099464D">
        <w:t xml:space="preserve">tzv. </w:t>
      </w:r>
      <w:r w:rsidR="00E6179C">
        <w:t xml:space="preserve">synergií zahrnuje primárně otázky synergického využívání </w:t>
      </w:r>
      <w:r w:rsidR="0099464D">
        <w:t>prostředků</w:t>
      </w:r>
      <w:r w:rsidR="00E6179C">
        <w:t xml:space="preserve"> rámcových programů EU pro výzkum a inovace na straně jedné </w:t>
      </w:r>
      <w:r w:rsidR="0099464D">
        <w:t>a</w:t>
      </w:r>
      <w:r w:rsidR="00E6179C">
        <w:t> prostředk</w:t>
      </w:r>
      <w:r w:rsidR="0099464D">
        <w:t>ů</w:t>
      </w:r>
      <w:r w:rsidR="00E6179C">
        <w:t xml:space="preserve"> </w:t>
      </w:r>
      <w:r w:rsidR="008D369B">
        <w:rPr>
          <w:color w:val="000000"/>
          <w:lang w:eastAsia="cs-CZ"/>
        </w:rPr>
        <w:t xml:space="preserve">fondů politiky soudržnosti EU </w:t>
      </w:r>
      <w:r w:rsidR="003A0EF8">
        <w:t>na straně druhé</w:t>
      </w:r>
      <w:r w:rsidR="00E6179C">
        <w:t>, t</w:t>
      </w:r>
      <w:r w:rsidR="008D369B">
        <w:t>zn</w:t>
      </w:r>
      <w:r w:rsidR="003A0EF8">
        <w:t>.</w:t>
      </w:r>
      <w:r w:rsidR="008D369B">
        <w:t>,</w:t>
      </w:r>
      <w:r w:rsidR="00E6179C">
        <w:t xml:space="preserve"> </w:t>
      </w:r>
      <w:r w:rsidR="008D369B">
        <w:t>unijních</w:t>
      </w:r>
      <w:r w:rsidR="00E6179C">
        <w:t xml:space="preserve"> </w:t>
      </w:r>
      <w:r w:rsidR="003A0EF8">
        <w:t>programů</w:t>
      </w:r>
      <w:r w:rsidR="00E6179C">
        <w:t xml:space="preserve"> </w:t>
      </w:r>
      <w:r w:rsidR="008D369B">
        <w:t>a</w:t>
      </w:r>
      <w:r w:rsidR="00E6179C">
        <w:t xml:space="preserve"> nástroj</w:t>
      </w:r>
      <w:r w:rsidR="008D369B">
        <w:t>ů</w:t>
      </w:r>
      <w:r w:rsidR="00E6179C">
        <w:t xml:space="preserve"> politiky soudržnosti EU, v</w:t>
      </w:r>
      <w:r w:rsidR="0099464D">
        <w:t xml:space="preserve"> obecné</w:t>
      </w:r>
      <w:r w:rsidR="00E6179C">
        <w:t xml:space="preserve"> perspektivě zahrnují </w:t>
      </w:r>
      <w:r w:rsidR="0099464D">
        <w:t>tzv. synergie otázky</w:t>
      </w:r>
      <w:r w:rsidR="00E6179C">
        <w:t xml:space="preserve"> koordinované</w:t>
      </w:r>
      <w:r w:rsidR="0099464D">
        <w:t>ho</w:t>
      </w:r>
      <w:r w:rsidR="00E6179C">
        <w:t xml:space="preserve"> vy</w:t>
      </w:r>
      <w:r w:rsidR="0099464D">
        <w:t>užívání</w:t>
      </w:r>
      <w:r w:rsidR="00E6179C">
        <w:t xml:space="preserve"> národních </w:t>
      </w:r>
      <w:r w:rsidR="0099464D">
        <w:t xml:space="preserve">a evropských </w:t>
      </w:r>
      <w:r w:rsidR="008D369B">
        <w:t>i</w:t>
      </w:r>
      <w:r w:rsidR="0099464D">
        <w:t xml:space="preserve"> jiných mezinárodních </w:t>
      </w:r>
      <w:r w:rsidR="00E6179C">
        <w:t xml:space="preserve">rozpočtových </w:t>
      </w:r>
      <w:r w:rsidR="00D153BC">
        <w:t>prostředků</w:t>
      </w:r>
      <w:r w:rsidR="00E6179C">
        <w:t xml:space="preserve"> investovaných </w:t>
      </w:r>
      <w:r w:rsidR="007B7A06">
        <w:t>do</w:t>
      </w:r>
      <w:r w:rsidR="00E6179C">
        <w:t xml:space="preserve"> podpo</w:t>
      </w:r>
      <w:r w:rsidR="007B7A06">
        <w:t>ry</w:t>
      </w:r>
      <w:r w:rsidR="00E6179C">
        <w:t xml:space="preserve"> výzkumu, vývoje a inovací</w:t>
      </w:r>
      <w:r w:rsidR="00D153BC">
        <w:t>.</w:t>
      </w:r>
    </w:p>
    <w:p w:rsidR="005C28EE" w:rsidRDefault="005C28EE" w:rsidP="003A0EF8">
      <w:pPr>
        <w:jc w:val="both"/>
      </w:pPr>
    </w:p>
    <w:p w:rsidR="0082333F" w:rsidRDefault="003A0EF8" w:rsidP="003A0EF8">
      <w:pPr>
        <w:jc w:val="both"/>
      </w:pPr>
      <w:r>
        <w:t>Synergi</w:t>
      </w:r>
      <w:r w:rsidR="009D5BA6">
        <w:t xml:space="preserve">cké využívání </w:t>
      </w:r>
      <w:r w:rsidR="0099464D">
        <w:t xml:space="preserve">národních </w:t>
      </w:r>
      <w:r w:rsidR="00CB5D54">
        <w:t xml:space="preserve">a mezinárodních </w:t>
      </w:r>
      <w:r w:rsidR="009D5BA6">
        <w:t xml:space="preserve">finančních </w:t>
      </w:r>
      <w:r w:rsidR="00CB5D54">
        <w:t>zdrojů</w:t>
      </w:r>
      <w:r w:rsidR="009D5BA6">
        <w:t xml:space="preserve"> podpor</w:t>
      </w:r>
      <w:r w:rsidR="0099464D">
        <w:t>y</w:t>
      </w:r>
      <w:r w:rsidR="009D5BA6">
        <w:t xml:space="preserve"> výzkumu, vývoje a inovací </w:t>
      </w:r>
      <w:r w:rsidR="00CB5D54">
        <w:t>zpravidla</w:t>
      </w:r>
      <w:r w:rsidR="0099464D">
        <w:t xml:space="preserve"> </w:t>
      </w:r>
      <w:r w:rsidR="009D5BA6">
        <w:t xml:space="preserve">umožňuje </w:t>
      </w:r>
      <w:r w:rsidR="009D5BA6" w:rsidRPr="00CB5D54">
        <w:rPr>
          <w:b/>
          <w:bCs/>
        </w:rPr>
        <w:t xml:space="preserve">zapojení </w:t>
      </w:r>
      <w:r w:rsidR="0099464D" w:rsidRPr="00CB5D54">
        <w:rPr>
          <w:b/>
          <w:bCs/>
        </w:rPr>
        <w:t xml:space="preserve">národních </w:t>
      </w:r>
      <w:r w:rsidR="00CB5D54">
        <w:rPr>
          <w:b/>
          <w:bCs/>
        </w:rPr>
        <w:t xml:space="preserve">výzkumných a inovačních </w:t>
      </w:r>
      <w:r w:rsidR="0099464D" w:rsidRPr="00CB5D54">
        <w:rPr>
          <w:b/>
          <w:bCs/>
        </w:rPr>
        <w:t xml:space="preserve">aktérů </w:t>
      </w:r>
      <w:r w:rsidR="009D5BA6" w:rsidRPr="00CB5D54">
        <w:rPr>
          <w:b/>
          <w:bCs/>
        </w:rPr>
        <w:t xml:space="preserve">do mezinárodních iniciativ a programů, u </w:t>
      </w:r>
      <w:r w:rsidR="00CB5D54">
        <w:rPr>
          <w:b/>
          <w:bCs/>
        </w:rPr>
        <w:t>kterých</w:t>
      </w:r>
      <w:r w:rsidR="009D5BA6" w:rsidRPr="00CB5D54">
        <w:rPr>
          <w:b/>
          <w:bCs/>
        </w:rPr>
        <w:t xml:space="preserve"> nejsou způsobilé náklady projektů </w:t>
      </w:r>
      <w:r w:rsidR="00CB5D54">
        <w:rPr>
          <w:b/>
          <w:bCs/>
        </w:rPr>
        <w:t>ze 100 %</w:t>
      </w:r>
      <w:r w:rsidR="0082333F" w:rsidRPr="00CB5D54">
        <w:rPr>
          <w:b/>
          <w:bCs/>
        </w:rPr>
        <w:t xml:space="preserve"> hrazeny</w:t>
      </w:r>
      <w:r w:rsidR="009D5BA6" w:rsidRPr="00CB5D54">
        <w:rPr>
          <w:b/>
          <w:bCs/>
        </w:rPr>
        <w:t xml:space="preserve"> ze strany </w:t>
      </w:r>
      <w:r w:rsidR="0099464D" w:rsidRPr="00CB5D54">
        <w:rPr>
          <w:b/>
          <w:bCs/>
        </w:rPr>
        <w:t>mezinárodního</w:t>
      </w:r>
      <w:r w:rsidR="009D5BA6" w:rsidRPr="00CB5D54">
        <w:rPr>
          <w:b/>
          <w:bCs/>
        </w:rPr>
        <w:t xml:space="preserve"> poskytovatele</w:t>
      </w:r>
      <w:r w:rsidR="004C5228">
        <w:t>, t</w:t>
      </w:r>
      <w:r w:rsidR="0099464D">
        <w:t>zn</w:t>
      </w:r>
      <w:r w:rsidR="004C5228">
        <w:t>.,</w:t>
      </w:r>
      <w:r w:rsidR="009D5BA6">
        <w:t xml:space="preserve"> </w:t>
      </w:r>
      <w:r w:rsidR="00776ED6">
        <w:t xml:space="preserve">účast v projektech </w:t>
      </w:r>
      <w:r w:rsidR="009D5BA6">
        <w:t>vyžaduj</w:t>
      </w:r>
      <w:r w:rsidR="00776ED6">
        <w:t xml:space="preserve">e tzv. </w:t>
      </w:r>
      <w:r w:rsidR="009D5BA6" w:rsidRPr="00CB5D54">
        <w:t>kofinancování</w:t>
      </w:r>
      <w:r w:rsidR="009D5BA6">
        <w:t xml:space="preserve"> ze strany zúčastněných států</w:t>
      </w:r>
      <w:r w:rsidR="00776ED6">
        <w:t xml:space="preserve"> </w:t>
      </w:r>
      <w:r w:rsidR="0099464D">
        <w:t>jako nezbytnou podmínku samotné účasti</w:t>
      </w:r>
      <w:r w:rsidR="009D5BA6">
        <w:t xml:space="preserve"> (např. </w:t>
      </w:r>
      <w:r w:rsidR="009D5BA6" w:rsidRPr="009D5BA6">
        <w:rPr>
          <w:i/>
          <w:iCs/>
          <w:lang w:val="en-GB"/>
        </w:rPr>
        <w:t>Teaming</w:t>
      </w:r>
      <w:r w:rsidR="009D5BA6">
        <w:t xml:space="preserve">, </w:t>
      </w:r>
      <w:r w:rsidR="009D5BA6" w:rsidRPr="009D5BA6">
        <w:rPr>
          <w:i/>
          <w:iCs/>
          <w:lang w:val="en-GB"/>
        </w:rPr>
        <w:t>Joint Technology Initiatives</w:t>
      </w:r>
      <w:r w:rsidR="009D5BA6">
        <w:t xml:space="preserve">, </w:t>
      </w:r>
      <w:r w:rsidR="009D5BA6" w:rsidRPr="009D5BA6">
        <w:rPr>
          <w:i/>
          <w:iCs/>
          <w:lang w:val="en-GB"/>
        </w:rPr>
        <w:t>Joint Programming Initiatives</w:t>
      </w:r>
      <w:r w:rsidR="009D5BA6">
        <w:t xml:space="preserve">, </w:t>
      </w:r>
      <w:r w:rsidR="009D5BA6" w:rsidRPr="009D5BA6">
        <w:rPr>
          <w:i/>
          <w:iCs/>
          <w:lang w:val="en-GB"/>
        </w:rPr>
        <w:t>European Joint Programmes</w:t>
      </w:r>
      <w:r w:rsidR="004C5228">
        <w:rPr>
          <w:lang w:val="en-GB"/>
        </w:rPr>
        <w:t xml:space="preserve">, </w:t>
      </w:r>
      <w:r w:rsidR="004C5228">
        <w:rPr>
          <w:i/>
          <w:iCs/>
          <w:lang w:val="en-GB"/>
        </w:rPr>
        <w:t>EUROSTARS</w:t>
      </w:r>
      <w:r w:rsidR="009D5BA6">
        <w:rPr>
          <w:lang w:val="en-GB"/>
        </w:rPr>
        <w:t xml:space="preserve"> </w:t>
      </w:r>
      <w:r w:rsidR="009D5BA6" w:rsidRPr="009D5BA6">
        <w:t>apod.)</w:t>
      </w:r>
      <w:r w:rsidR="004C5228">
        <w:t xml:space="preserve">. Dále </w:t>
      </w:r>
      <w:r w:rsidR="0099464D">
        <w:t>jsou tzv.</w:t>
      </w:r>
      <w:r w:rsidR="004C5228">
        <w:t xml:space="preserve"> synergie </w:t>
      </w:r>
      <w:r w:rsidR="0099464D">
        <w:t xml:space="preserve">také </w:t>
      </w:r>
      <w:r w:rsidR="004C5228">
        <w:t xml:space="preserve">předpokladem </w:t>
      </w:r>
      <w:r w:rsidR="004C5228" w:rsidRPr="00776ED6">
        <w:rPr>
          <w:b/>
          <w:bCs/>
        </w:rPr>
        <w:t xml:space="preserve">financování evropských, zpravidla </w:t>
      </w:r>
      <w:r w:rsidR="004C5228" w:rsidRPr="00776ED6">
        <w:rPr>
          <w:b/>
          <w:bCs/>
          <w:lang w:val="en-GB"/>
        </w:rPr>
        <w:t>mono-beneficiary</w:t>
      </w:r>
      <w:r w:rsidR="004C5228" w:rsidRPr="00776ED6">
        <w:rPr>
          <w:b/>
          <w:bCs/>
        </w:rPr>
        <w:t xml:space="preserve"> projektů na principu tzv. </w:t>
      </w:r>
      <w:r w:rsidR="004C5228" w:rsidRPr="00776ED6">
        <w:rPr>
          <w:b/>
          <w:bCs/>
          <w:lang w:val="en-GB"/>
        </w:rPr>
        <w:t>Seal of Excellence</w:t>
      </w:r>
      <w:r w:rsidR="004C5228">
        <w:t xml:space="preserve">, kdy jsou tyto projekty </w:t>
      </w:r>
      <w:r w:rsidR="0099464D">
        <w:t xml:space="preserve">na mezinárodní úrovni </w:t>
      </w:r>
      <w:r w:rsidR="004C5228">
        <w:t xml:space="preserve">vyhodnoceny jako </w:t>
      </w:r>
      <w:r w:rsidR="00DD4B3A">
        <w:t xml:space="preserve">vysoce </w:t>
      </w:r>
      <w:r w:rsidR="004C5228">
        <w:t xml:space="preserve">kvalitní, </w:t>
      </w:r>
      <w:r w:rsidR="00776ED6">
        <w:t>nicméně</w:t>
      </w:r>
      <w:r w:rsidR="004C5228">
        <w:t xml:space="preserve"> nemohou být již </w:t>
      </w:r>
      <w:r w:rsidR="00DD4B3A">
        <w:t xml:space="preserve">finančně </w:t>
      </w:r>
      <w:r w:rsidR="004C5228">
        <w:t xml:space="preserve">podpořeny z důvodu limitovaných rozpočtových </w:t>
      </w:r>
      <w:r w:rsidR="00776ED6">
        <w:t>zdrojů</w:t>
      </w:r>
      <w:r w:rsidR="00DD4B3A">
        <w:t xml:space="preserve"> </w:t>
      </w:r>
      <w:r w:rsidR="004C5228">
        <w:t xml:space="preserve">mezinárodního poskytovatele (např. </w:t>
      </w:r>
      <w:r w:rsidR="004C5228" w:rsidRPr="004C5228">
        <w:rPr>
          <w:i/>
          <w:iCs/>
          <w:lang w:val="en-GB"/>
        </w:rPr>
        <w:t>European Research Council</w:t>
      </w:r>
      <w:r w:rsidR="004C5228">
        <w:t xml:space="preserve">, </w:t>
      </w:r>
      <w:r w:rsidR="00347881" w:rsidRPr="008D369B">
        <w:rPr>
          <w:i/>
          <w:iCs/>
          <w:lang w:val="en-GB"/>
        </w:rPr>
        <w:t>E</w:t>
      </w:r>
      <w:r w:rsidR="008D369B" w:rsidRPr="008D369B">
        <w:rPr>
          <w:i/>
          <w:iCs/>
          <w:lang w:val="en-GB"/>
        </w:rPr>
        <w:t>uropean Innovation Council –</w:t>
      </w:r>
      <w:r w:rsidR="00347881" w:rsidRPr="008D369B">
        <w:rPr>
          <w:i/>
          <w:iCs/>
          <w:lang w:val="en-GB"/>
        </w:rPr>
        <w:t xml:space="preserve"> Accelerator</w:t>
      </w:r>
      <w:r w:rsidR="00347881">
        <w:rPr>
          <w:i/>
          <w:iCs/>
        </w:rPr>
        <w:t xml:space="preserve">, </w:t>
      </w:r>
      <w:r w:rsidR="008D369B" w:rsidRPr="008D369B">
        <w:rPr>
          <w:i/>
          <w:iCs/>
          <w:lang w:val="en-GB"/>
        </w:rPr>
        <w:t xml:space="preserve">European Innovation Council </w:t>
      </w:r>
      <w:r w:rsidR="00347881" w:rsidRPr="008D369B">
        <w:rPr>
          <w:i/>
          <w:iCs/>
          <w:lang w:val="en-GB"/>
        </w:rPr>
        <w:t>Transition</w:t>
      </w:r>
      <w:r w:rsidR="008D369B">
        <w:rPr>
          <w:lang w:val="en-GB"/>
        </w:rPr>
        <w:t xml:space="preserve">, </w:t>
      </w:r>
      <w:r w:rsidR="008D369B" w:rsidRPr="004C5228">
        <w:rPr>
          <w:i/>
          <w:iCs/>
          <w:lang w:val="en-GB"/>
        </w:rPr>
        <w:t>Marie Skłodowska-Curie Action</w:t>
      </w:r>
      <w:r w:rsidR="008D369B">
        <w:rPr>
          <w:i/>
          <w:iCs/>
          <w:lang w:val="en-GB"/>
        </w:rPr>
        <w:t xml:space="preserve">s </w:t>
      </w:r>
      <w:r w:rsidR="0099464D">
        <w:t>a</w:t>
      </w:r>
      <w:r w:rsidR="004C5228">
        <w:t xml:space="preserve">pod.). Synergie </w:t>
      </w:r>
      <w:r w:rsidR="008D369B">
        <w:t>na</w:t>
      </w:r>
      <w:r w:rsidR="004C5228">
        <w:t>pomáhají</w:t>
      </w:r>
      <w:r w:rsidR="00DD4B3A">
        <w:t xml:space="preserve"> </w:t>
      </w:r>
      <w:r w:rsidR="008D369B">
        <w:t>i</w:t>
      </w:r>
      <w:r w:rsidR="004C5228">
        <w:t xml:space="preserve"> k </w:t>
      </w:r>
      <w:r w:rsidR="004C5228" w:rsidRPr="00CB5D54">
        <w:rPr>
          <w:b/>
          <w:bCs/>
        </w:rPr>
        <w:t>efektivní</w:t>
      </w:r>
      <w:r w:rsidR="00DD4B3A" w:rsidRPr="00CB5D54">
        <w:rPr>
          <w:b/>
          <w:bCs/>
        </w:rPr>
        <w:t>mu</w:t>
      </w:r>
      <w:r w:rsidR="004C5228" w:rsidRPr="00CB5D54">
        <w:rPr>
          <w:b/>
          <w:bCs/>
        </w:rPr>
        <w:t xml:space="preserve"> využ</w:t>
      </w:r>
      <w:r w:rsidR="00776ED6">
        <w:rPr>
          <w:b/>
          <w:bCs/>
        </w:rPr>
        <w:t>it</w:t>
      </w:r>
      <w:r w:rsidR="004C5228" w:rsidRPr="00CB5D54">
        <w:rPr>
          <w:b/>
          <w:bCs/>
        </w:rPr>
        <w:t xml:space="preserve">í </w:t>
      </w:r>
      <w:r w:rsidR="008D369B" w:rsidRPr="008D369B">
        <w:rPr>
          <w:b/>
          <w:bCs/>
        </w:rPr>
        <w:t>fondů politiky soudržnosti EU</w:t>
      </w:r>
      <w:r w:rsidR="0099464D">
        <w:t xml:space="preserve"> </w:t>
      </w:r>
      <w:r w:rsidR="004C5228">
        <w:t xml:space="preserve">při financování investičních </w:t>
      </w:r>
      <w:r w:rsidR="00CB5D54">
        <w:t>záměrů</w:t>
      </w:r>
      <w:r w:rsidR="004C5228">
        <w:t xml:space="preserve"> </w:t>
      </w:r>
      <w:r w:rsidR="00CB5D54">
        <w:t>výzkumných a inovačních subjektů</w:t>
      </w:r>
      <w:r w:rsidR="004C5228">
        <w:t>, jejichž provozní náklady jsou</w:t>
      </w:r>
      <w:r w:rsidR="0001152D">
        <w:t xml:space="preserve"> běžně</w:t>
      </w:r>
      <w:r w:rsidR="004C5228">
        <w:t xml:space="preserve"> </w:t>
      </w:r>
      <w:r w:rsidR="0099464D">
        <w:t>financovány</w:t>
      </w:r>
      <w:r w:rsidR="004C5228">
        <w:t xml:space="preserve"> z národních rozpočtových </w:t>
      </w:r>
      <w:r w:rsidR="008D369B">
        <w:t>prostředků</w:t>
      </w:r>
      <w:r w:rsidR="004C5228">
        <w:t xml:space="preserve"> (např. velké výzkumné infrastruktury apod.).</w:t>
      </w:r>
    </w:p>
    <w:p w:rsidR="0082333F" w:rsidRDefault="0082333F" w:rsidP="003A0EF8">
      <w:pPr>
        <w:jc w:val="both"/>
      </w:pPr>
    </w:p>
    <w:p w:rsidR="00776ED6" w:rsidRDefault="00776ED6" w:rsidP="003A0EF8">
      <w:pPr>
        <w:jc w:val="both"/>
      </w:pPr>
    </w:p>
    <w:p w:rsidR="0099464D" w:rsidRDefault="0099464D" w:rsidP="003A0EF8">
      <w:pPr>
        <w:jc w:val="both"/>
      </w:pPr>
      <w:r>
        <w:t>S</w:t>
      </w:r>
      <w:r w:rsidR="0082333F">
        <w:t>ynergick</w:t>
      </w:r>
      <w:r w:rsidR="00776ED6">
        <w:t>é</w:t>
      </w:r>
      <w:r w:rsidR="0082333F">
        <w:t xml:space="preserve"> přístup</w:t>
      </w:r>
      <w:r w:rsidR="00776ED6">
        <w:t>y</w:t>
      </w:r>
      <w:r w:rsidR="0082333F">
        <w:t xml:space="preserve"> k financování výzkumu, vývoje a inovací</w:t>
      </w:r>
      <w:r>
        <w:t xml:space="preserve"> </w:t>
      </w:r>
      <w:r w:rsidR="00776ED6">
        <w:t>jsou podmíněny</w:t>
      </w:r>
      <w:r w:rsidR="0082333F">
        <w:t xml:space="preserve"> </w:t>
      </w:r>
      <w:r w:rsidR="0082333F" w:rsidRPr="00776ED6">
        <w:rPr>
          <w:b/>
          <w:bCs/>
        </w:rPr>
        <w:t>účinnou koordinac</w:t>
      </w:r>
      <w:r w:rsidR="00776ED6">
        <w:rPr>
          <w:b/>
          <w:bCs/>
        </w:rPr>
        <w:t>í</w:t>
      </w:r>
      <w:r w:rsidR="0082333F" w:rsidRPr="00776ED6">
        <w:rPr>
          <w:b/>
          <w:bCs/>
        </w:rPr>
        <w:t xml:space="preserve"> </w:t>
      </w:r>
      <w:r w:rsidR="00776ED6">
        <w:rPr>
          <w:b/>
          <w:bCs/>
        </w:rPr>
        <w:t xml:space="preserve">často různorodých </w:t>
      </w:r>
      <w:r w:rsidR="0082333F" w:rsidRPr="00776ED6">
        <w:rPr>
          <w:b/>
          <w:bCs/>
        </w:rPr>
        <w:t>finančních nástrojů</w:t>
      </w:r>
      <w:r w:rsidR="00776ED6">
        <w:rPr>
          <w:b/>
          <w:bCs/>
        </w:rPr>
        <w:t>, které</w:t>
      </w:r>
      <w:r w:rsidRPr="00776ED6">
        <w:rPr>
          <w:b/>
          <w:bCs/>
        </w:rPr>
        <w:t xml:space="preserve"> naplňují</w:t>
      </w:r>
      <w:r w:rsidR="00776ED6">
        <w:rPr>
          <w:b/>
          <w:bCs/>
        </w:rPr>
        <w:t xml:space="preserve"> </w:t>
      </w:r>
      <w:r w:rsidR="00320AC8" w:rsidRPr="00776ED6">
        <w:rPr>
          <w:b/>
          <w:bCs/>
        </w:rPr>
        <w:t xml:space="preserve">primárně </w:t>
      </w:r>
      <w:r w:rsidRPr="00776ED6">
        <w:rPr>
          <w:b/>
          <w:bCs/>
        </w:rPr>
        <w:t xml:space="preserve">cíle </w:t>
      </w:r>
      <w:r w:rsidR="00320AC8" w:rsidRPr="00776ED6">
        <w:rPr>
          <w:b/>
          <w:bCs/>
        </w:rPr>
        <w:t xml:space="preserve">navzájem </w:t>
      </w:r>
      <w:r w:rsidRPr="00776ED6">
        <w:rPr>
          <w:b/>
          <w:bCs/>
        </w:rPr>
        <w:t>odlišných politik</w:t>
      </w:r>
      <w:r w:rsidR="00776ED6">
        <w:t xml:space="preserve"> –</w:t>
      </w:r>
      <w:r>
        <w:t xml:space="preserve"> v</w:t>
      </w:r>
      <w:r w:rsidR="00776ED6">
        <w:t xml:space="preserve"> </w:t>
      </w:r>
      <w:r>
        <w:t xml:space="preserve">případě </w:t>
      </w:r>
      <w:r w:rsidR="008D369B">
        <w:rPr>
          <w:color w:val="000000"/>
          <w:lang w:eastAsia="cs-CZ"/>
        </w:rPr>
        <w:t>fondů politiky soudržnosti EU</w:t>
      </w:r>
      <w:r w:rsidR="00320AC8">
        <w:t xml:space="preserve"> </w:t>
      </w:r>
      <w:r w:rsidR="00776ED6">
        <w:t>se jedná</w:t>
      </w:r>
      <w:r w:rsidR="00320AC8">
        <w:t xml:space="preserve"> </w:t>
      </w:r>
      <w:r w:rsidR="00776ED6">
        <w:t xml:space="preserve">o </w:t>
      </w:r>
      <w:r w:rsidR="00320AC8">
        <w:t>politiky</w:t>
      </w:r>
      <w:r w:rsidR="0082333F">
        <w:t xml:space="preserve"> vědní</w:t>
      </w:r>
      <w:r w:rsidR="008D369B">
        <w:t xml:space="preserve"> a</w:t>
      </w:r>
      <w:r w:rsidR="00320AC8">
        <w:t xml:space="preserve"> průmyslové na straně jedné</w:t>
      </w:r>
      <w:r w:rsidR="008D369B">
        <w:t>, resp. o</w:t>
      </w:r>
      <w:r w:rsidR="0082333F">
        <w:t xml:space="preserve"> </w:t>
      </w:r>
      <w:r w:rsidR="00320AC8">
        <w:t>politik</w:t>
      </w:r>
      <w:r w:rsidR="00776ED6">
        <w:t>u</w:t>
      </w:r>
      <w:r w:rsidR="00320AC8">
        <w:t xml:space="preserve"> regionálního </w:t>
      </w:r>
      <w:r w:rsidR="0082333F">
        <w:t>rozvoj</w:t>
      </w:r>
      <w:r w:rsidR="00320AC8">
        <w:t>e na straně druhé</w:t>
      </w:r>
      <w:r w:rsidR="0082333F">
        <w:t xml:space="preserve">. </w:t>
      </w:r>
      <w:r w:rsidR="00320AC8">
        <w:t xml:space="preserve">Předpokladem pro plné využití potenciálu </w:t>
      </w:r>
      <w:r w:rsidR="00776ED6">
        <w:t xml:space="preserve">tzv. synergií </w:t>
      </w:r>
      <w:r w:rsidR="00320AC8">
        <w:t xml:space="preserve">je </w:t>
      </w:r>
      <w:r w:rsidR="00776ED6">
        <w:t>proto</w:t>
      </w:r>
      <w:r w:rsidR="00320AC8">
        <w:t xml:space="preserve"> </w:t>
      </w:r>
      <w:r>
        <w:t>harmonizac</w:t>
      </w:r>
      <w:r w:rsidR="00320AC8">
        <w:t>e</w:t>
      </w:r>
      <w:r>
        <w:t xml:space="preserve"> národních</w:t>
      </w:r>
      <w:r w:rsidR="008D369B">
        <w:t>, evropských,</w:t>
      </w:r>
      <w:r>
        <w:t xml:space="preserve"> a </w:t>
      </w:r>
      <w:r w:rsidR="008D369B">
        <w:t xml:space="preserve">i dalších </w:t>
      </w:r>
      <w:r>
        <w:t xml:space="preserve">mezinárodních finančních nástrojů, </w:t>
      </w:r>
      <w:r w:rsidR="00320AC8">
        <w:t xml:space="preserve">a to jak, </w:t>
      </w:r>
      <w:r>
        <w:t xml:space="preserve">co </w:t>
      </w:r>
      <w:r w:rsidR="00320AC8">
        <w:t>se týče v</w:t>
      </w:r>
      <w:r>
        <w:t xml:space="preserve">ytyčení </w:t>
      </w:r>
      <w:r w:rsidR="00320AC8">
        <w:t xml:space="preserve">jejich </w:t>
      </w:r>
      <w:r>
        <w:t>cílů</w:t>
      </w:r>
      <w:r w:rsidR="00776ED6">
        <w:t xml:space="preserve">, tak </w:t>
      </w:r>
      <w:r w:rsidR="008D369B">
        <w:t>i</w:t>
      </w:r>
      <w:r w:rsidR="00320AC8">
        <w:t> </w:t>
      </w:r>
      <w:r>
        <w:t>postupů administrativně-procedurální povahy</w:t>
      </w:r>
      <w:r w:rsidR="00320AC8">
        <w:t xml:space="preserve">, tzn., mezi-sektorové sbližování politik a nástrojů </w:t>
      </w:r>
      <w:r w:rsidR="00776ED6">
        <w:t xml:space="preserve">jejich </w:t>
      </w:r>
      <w:r w:rsidR="00320AC8">
        <w:t>provádění</w:t>
      </w:r>
      <w:r>
        <w:t>.</w:t>
      </w:r>
    </w:p>
    <w:p w:rsidR="0099464D" w:rsidRDefault="0099464D" w:rsidP="003A0EF8">
      <w:pPr>
        <w:jc w:val="both"/>
      </w:pPr>
    </w:p>
    <w:p w:rsidR="007C3C01" w:rsidRDefault="00320AC8" w:rsidP="007C3C01">
      <w:pPr>
        <w:jc w:val="both"/>
      </w:pPr>
      <w:r>
        <w:t>Za účelem zprostředkování diskusí evropských výzkumných a inovačních stakeholderů k otázkám tzv. synergií uspořádá MŠMT</w:t>
      </w:r>
      <w:r w:rsidR="004D7CCD">
        <w:t xml:space="preserve"> ve dnech 7.–8. července 2021 </w:t>
      </w:r>
      <w:r w:rsidR="004D7CCD" w:rsidRPr="00FF6B0E">
        <w:t>předsednickou</w:t>
      </w:r>
      <w:r w:rsidR="004D7CCD" w:rsidRPr="00FF6B0E">
        <w:rPr>
          <w:b/>
          <w:bCs/>
        </w:rPr>
        <w:t xml:space="preserve"> </w:t>
      </w:r>
      <w:r w:rsidRPr="00FF6B0E">
        <w:rPr>
          <w:b/>
          <w:bCs/>
        </w:rPr>
        <w:t>konferenci</w:t>
      </w:r>
      <w:r>
        <w:t xml:space="preserve"> a </w:t>
      </w:r>
      <w:r w:rsidR="004D7CCD">
        <w:t xml:space="preserve">následně ve dnech 21.–22. července 2021 </w:t>
      </w:r>
      <w:r w:rsidR="00FF6B0E">
        <w:t>i</w:t>
      </w:r>
      <w:r w:rsidR="004D7CCD">
        <w:t xml:space="preserve"> </w:t>
      </w:r>
      <w:r w:rsidR="004D7CCD" w:rsidRPr="00FF6B0E">
        <w:rPr>
          <w:b/>
          <w:bCs/>
        </w:rPr>
        <w:t xml:space="preserve">neformální </w:t>
      </w:r>
      <w:r w:rsidR="00FF6B0E">
        <w:rPr>
          <w:b/>
          <w:bCs/>
        </w:rPr>
        <w:t>zasedání</w:t>
      </w:r>
      <w:r w:rsidRPr="00FF6B0E">
        <w:rPr>
          <w:b/>
          <w:bCs/>
        </w:rPr>
        <w:t xml:space="preserve"> ministrů</w:t>
      </w:r>
      <w:r w:rsidR="004D7CCD" w:rsidRPr="00FF6B0E">
        <w:rPr>
          <w:b/>
          <w:bCs/>
        </w:rPr>
        <w:t xml:space="preserve"> členských států EU a vybraných asociovaných států</w:t>
      </w:r>
      <w:r w:rsidR="004D7CCD">
        <w:t xml:space="preserve"> v</w:t>
      </w:r>
      <w:r w:rsidR="00FF6B0E">
        <w:t> </w:t>
      </w:r>
      <w:r w:rsidR="004D7CCD">
        <w:t>Praze</w:t>
      </w:r>
      <w:r w:rsidR="00FF6B0E">
        <w:t xml:space="preserve"> s tím, že </w:t>
      </w:r>
      <w:r w:rsidR="004D7CCD">
        <w:t xml:space="preserve">tzv. synergie budou jedním z témat </w:t>
      </w:r>
      <w:r w:rsidR="00FF6B0E">
        <w:t xml:space="preserve">pro </w:t>
      </w:r>
      <w:r w:rsidR="004D7CCD">
        <w:t>politick</w:t>
      </w:r>
      <w:r w:rsidR="00FF6B0E">
        <w:t>ou</w:t>
      </w:r>
      <w:r w:rsidR="004D7CCD">
        <w:t xml:space="preserve"> </w:t>
      </w:r>
      <w:r w:rsidR="0043140E">
        <w:t>diskus</w:t>
      </w:r>
      <w:r w:rsidR="00FF6B0E">
        <w:t>i</w:t>
      </w:r>
      <w:r w:rsidR="004D7CCD">
        <w:t xml:space="preserve"> ministrů. Ambicí MŠMT je přijmout </w:t>
      </w:r>
      <w:r w:rsidR="00B00888" w:rsidRPr="00FF6B0E">
        <w:rPr>
          <w:b/>
          <w:bCs/>
        </w:rPr>
        <w:t>tzv. Pražskou deklaraci k</w:t>
      </w:r>
      <w:r w:rsidR="004D7CCD" w:rsidRPr="00FF6B0E">
        <w:rPr>
          <w:b/>
          <w:bCs/>
        </w:rPr>
        <w:t> </w:t>
      </w:r>
      <w:r w:rsidR="00B00888" w:rsidRPr="00FF6B0E">
        <w:rPr>
          <w:b/>
          <w:bCs/>
        </w:rPr>
        <w:t>synergiím</w:t>
      </w:r>
      <w:r w:rsidR="004D7CCD">
        <w:t>, která bude vyzývat evropské stakeholdery ze sektorů výzkumu, vývoje a inovací, aby pokračovali v odstraňování překážek tzv. synergií, a využívali synergické</w:t>
      </w:r>
      <w:r w:rsidR="0043140E">
        <w:t xml:space="preserve"> a </w:t>
      </w:r>
      <w:r w:rsidR="004D7CCD">
        <w:t xml:space="preserve">komplementární přístupy ve financování výzkumu, vývoje a inovaci </w:t>
      </w:r>
      <w:r w:rsidR="0043140E">
        <w:t>k</w:t>
      </w:r>
      <w:r w:rsidR="004D7CCD">
        <w:t> maximalizac</w:t>
      </w:r>
      <w:r w:rsidR="0043140E">
        <w:t>i</w:t>
      </w:r>
      <w:r w:rsidR="004D7CCD">
        <w:t xml:space="preserve"> přínos</w:t>
      </w:r>
      <w:r w:rsidR="00FF6B0E">
        <w:t>ů</w:t>
      </w:r>
      <w:r w:rsidR="004D7CCD">
        <w:t xml:space="preserve"> a dopad</w:t>
      </w:r>
      <w:r w:rsidR="00FF6B0E">
        <w:t>ů</w:t>
      </w:r>
      <w:r w:rsidR="004D7CCD">
        <w:t xml:space="preserve"> </w:t>
      </w:r>
      <w:r w:rsidR="0043140E">
        <w:t xml:space="preserve">veřejných a soukromých </w:t>
      </w:r>
      <w:r w:rsidR="004D7CCD">
        <w:t xml:space="preserve">investic </w:t>
      </w:r>
      <w:r w:rsidR="00FF6B0E">
        <w:t xml:space="preserve">vynakládaných </w:t>
      </w:r>
      <w:r w:rsidR="004D7CCD">
        <w:t>do daných sektorových oblastí.</w:t>
      </w:r>
    </w:p>
    <w:p w:rsidR="004B0BB8" w:rsidRDefault="004B0BB8" w:rsidP="007C3C01">
      <w:pPr>
        <w:jc w:val="both"/>
      </w:pPr>
    </w:p>
    <w:p w:rsidR="004B0BB8" w:rsidRPr="00F20B0D" w:rsidRDefault="004B0BB8" w:rsidP="004B0BB8">
      <w:pPr>
        <w:jc w:val="both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PŘEDSEDNICKÉ EVENTY</w:t>
      </w:r>
    </w:p>
    <w:p w:rsidR="004B0BB8" w:rsidRDefault="004B0BB8" w:rsidP="007C3C01">
      <w:pPr>
        <w:jc w:val="both"/>
      </w:pP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 xml:space="preserve">Conference on the </w:t>
      </w:r>
      <w:r w:rsidR="008A15A1">
        <w:rPr>
          <w:b/>
          <w:bCs/>
          <w:lang w:val="en-GB"/>
        </w:rPr>
        <w:t>S</w:t>
      </w:r>
      <w:r w:rsidRPr="004B0BB8">
        <w:rPr>
          <w:b/>
          <w:bCs/>
          <w:lang w:val="en-GB"/>
        </w:rPr>
        <w:t xml:space="preserve">ynergies in </w:t>
      </w:r>
      <w:r w:rsidR="008A15A1">
        <w:rPr>
          <w:b/>
          <w:bCs/>
          <w:lang w:val="en-GB"/>
        </w:rPr>
        <w:t>R</w:t>
      </w:r>
      <w:r w:rsidRPr="004B0BB8">
        <w:rPr>
          <w:b/>
          <w:bCs/>
          <w:lang w:val="en-GB"/>
        </w:rPr>
        <w:t xml:space="preserve">esearch and </w:t>
      </w:r>
      <w:r w:rsidR="008A15A1">
        <w:rPr>
          <w:b/>
          <w:bCs/>
          <w:lang w:val="en-GB"/>
        </w:rPr>
        <w:t>I</w:t>
      </w:r>
      <w:r w:rsidRPr="004B0BB8">
        <w:rPr>
          <w:b/>
          <w:bCs/>
          <w:lang w:val="en-GB"/>
        </w:rPr>
        <w:t xml:space="preserve">nnovation </w:t>
      </w:r>
      <w:r w:rsidR="008A15A1">
        <w:rPr>
          <w:b/>
          <w:bCs/>
          <w:lang w:val="en-GB"/>
        </w:rPr>
        <w:t>F</w:t>
      </w:r>
      <w:r w:rsidRPr="004B0BB8">
        <w:rPr>
          <w:b/>
          <w:bCs/>
          <w:lang w:val="en-GB"/>
        </w:rPr>
        <w:t>unding</w:t>
      </w:r>
    </w:p>
    <w:p w:rsidR="004B0BB8" w:rsidRPr="004B0BB8" w:rsidRDefault="004B0BB8" w:rsidP="008A15A1">
      <w:pPr>
        <w:spacing w:after="120"/>
        <w:ind w:firstLine="357"/>
        <w:jc w:val="both"/>
      </w:pPr>
      <w:r w:rsidRPr="004B0BB8">
        <w:rPr>
          <w:lang w:val="en-GB"/>
        </w:rPr>
        <w:t>7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– 8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July 2022 in Prague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>Informal Meeting</w:t>
      </w:r>
      <w:r w:rsidRPr="004B0BB8">
        <w:rPr>
          <w:b/>
          <w:bCs/>
        </w:rPr>
        <w:t xml:space="preserve"> </w:t>
      </w:r>
      <w:r w:rsidRPr="004B0BB8">
        <w:rPr>
          <w:b/>
          <w:bCs/>
          <w:lang w:val="en-GB"/>
        </w:rPr>
        <w:t>of the EU Competitiveness Council – Research</w:t>
      </w:r>
    </w:p>
    <w:p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lang w:val="en-GB"/>
        </w:rPr>
        <w:t>21</w:t>
      </w:r>
      <w:r w:rsidRPr="004B0BB8">
        <w:rPr>
          <w:vertAlign w:val="superscript"/>
          <w:lang w:val="en-GB"/>
        </w:rPr>
        <w:t>st</w:t>
      </w:r>
      <w:r w:rsidRPr="004B0BB8">
        <w:rPr>
          <w:lang w:val="en-GB"/>
        </w:rPr>
        <w:t xml:space="preserve"> – 22</w:t>
      </w:r>
      <w:r w:rsidRPr="004B0BB8">
        <w:rPr>
          <w:vertAlign w:val="superscript"/>
          <w:lang w:val="en-GB"/>
        </w:rPr>
        <w:t>nd</w:t>
      </w:r>
      <w:r w:rsidRPr="004B0BB8">
        <w:rPr>
          <w:lang w:val="en-GB"/>
        </w:rPr>
        <w:t xml:space="preserve"> July </w:t>
      </w:r>
      <w:r w:rsidRPr="004B0BB8">
        <w:t xml:space="preserve">2022 </w:t>
      </w:r>
      <w:r w:rsidRPr="004B0BB8">
        <w:rPr>
          <w:lang w:val="en-GB"/>
        </w:rPr>
        <w:t>in Prague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US"/>
        </w:rPr>
        <w:t>Attaché Trip</w:t>
      </w:r>
      <w:r w:rsidRPr="004B0BB8">
        <w:rPr>
          <w:b/>
          <w:bCs/>
        </w:rPr>
        <w:t xml:space="preserve"> – </w:t>
      </w:r>
      <w:r w:rsidRPr="004B0BB8">
        <w:rPr>
          <w:b/>
          <w:bCs/>
          <w:lang w:val="en-GB"/>
        </w:rPr>
        <w:t>Research Working Group of the Council</w:t>
      </w:r>
      <w:r w:rsidRPr="004B0BB8">
        <w:rPr>
          <w:b/>
          <w:bCs/>
        </w:rPr>
        <w:t xml:space="preserve"> </w:t>
      </w:r>
      <w:r w:rsidRPr="004B0BB8">
        <w:rPr>
          <w:b/>
          <w:bCs/>
          <w:lang w:val="en-GB"/>
        </w:rPr>
        <w:t>of the EU</w:t>
      </w:r>
    </w:p>
    <w:p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t>10</w:t>
      </w:r>
      <w:r w:rsidRPr="004B0BB8">
        <w:rPr>
          <w:vertAlign w:val="superscript"/>
        </w:rPr>
        <w:t>th</w:t>
      </w:r>
      <w:r w:rsidRPr="004B0BB8">
        <w:rPr>
          <w:lang w:val="en-GB"/>
        </w:rPr>
        <w:t xml:space="preserve"> – </w:t>
      </w:r>
      <w:r w:rsidRPr="004B0BB8">
        <w:t>13</w:t>
      </w:r>
      <w:r w:rsidRPr="004B0BB8">
        <w:rPr>
          <w:vertAlign w:val="superscript"/>
        </w:rPr>
        <w:t>th</w:t>
      </w:r>
      <w:r w:rsidRPr="004B0BB8">
        <w:rPr>
          <w:lang w:val="en-GB"/>
        </w:rPr>
        <w:t xml:space="preserve"> September 202</w:t>
      </w:r>
      <w:r w:rsidRPr="004B0BB8">
        <w:t>2</w:t>
      </w:r>
      <w:r w:rsidRPr="004B0BB8">
        <w:rPr>
          <w:lang w:val="en-GB"/>
        </w:rPr>
        <w:t xml:space="preserve"> in Prague</w:t>
      </w:r>
      <w:r w:rsidRPr="004B0BB8">
        <w:t xml:space="preserve"> </w:t>
      </w:r>
      <w:r w:rsidRPr="004B0BB8">
        <w:rPr>
          <w:lang w:val="en-US"/>
        </w:rPr>
        <w:t>and South Bohemia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>Research Working Group of the Council</w:t>
      </w:r>
      <w:r w:rsidRPr="004B0BB8">
        <w:rPr>
          <w:b/>
          <w:bCs/>
        </w:rPr>
        <w:t xml:space="preserve"> </w:t>
      </w:r>
      <w:r w:rsidRPr="004B0BB8">
        <w:rPr>
          <w:b/>
          <w:bCs/>
          <w:lang w:val="en-GB"/>
        </w:rPr>
        <w:t>of the EU</w:t>
      </w:r>
    </w:p>
    <w:p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lang w:val="en-GB"/>
        </w:rPr>
        <w:t>13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– 14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September 202</w:t>
      </w:r>
      <w:r w:rsidRPr="004B0BB8">
        <w:t>2</w:t>
      </w:r>
      <w:r w:rsidRPr="004B0BB8">
        <w:rPr>
          <w:lang w:val="en-GB"/>
        </w:rPr>
        <w:t xml:space="preserve"> in Prague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 xml:space="preserve">European Research Area and Innovation Committee </w:t>
      </w:r>
    </w:p>
    <w:p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lang w:val="en-GB"/>
        </w:rPr>
        <w:t>13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– 14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September 202</w:t>
      </w:r>
      <w:r w:rsidRPr="004B0BB8">
        <w:t>2</w:t>
      </w:r>
      <w:r w:rsidRPr="004B0BB8">
        <w:rPr>
          <w:lang w:val="en-GB"/>
        </w:rPr>
        <w:t xml:space="preserve"> in Prague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 xml:space="preserve">Informal Workshop on </w:t>
      </w:r>
      <w:r w:rsidRPr="004B0BB8">
        <w:rPr>
          <w:b/>
          <w:bCs/>
          <w:lang w:val="en-US"/>
        </w:rPr>
        <w:t xml:space="preserve">the </w:t>
      </w:r>
      <w:r w:rsidRPr="004B0BB8">
        <w:rPr>
          <w:b/>
          <w:bCs/>
          <w:lang w:val="en-GB"/>
        </w:rPr>
        <w:t>Foresight in Research and Innovation</w:t>
      </w:r>
    </w:p>
    <w:p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i/>
          <w:iCs/>
          <w:lang w:val="en-GB"/>
        </w:rPr>
        <w:t>Date and venue to be decided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>Formal Meeting</w:t>
      </w:r>
      <w:r w:rsidRPr="004B0BB8">
        <w:rPr>
          <w:b/>
          <w:bCs/>
        </w:rPr>
        <w:t xml:space="preserve"> </w:t>
      </w:r>
      <w:r w:rsidRPr="004B0BB8">
        <w:rPr>
          <w:b/>
          <w:bCs/>
          <w:lang w:val="en-GB"/>
        </w:rPr>
        <w:t>of the EU Competitiveness Council – Research</w:t>
      </w:r>
    </w:p>
    <w:p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t>30</w:t>
      </w:r>
      <w:r w:rsidRPr="004B0BB8">
        <w:rPr>
          <w:vertAlign w:val="superscript"/>
        </w:rPr>
        <w:t>th</w:t>
      </w:r>
      <w:r w:rsidRPr="004B0BB8">
        <w:t xml:space="preserve"> </w:t>
      </w:r>
      <w:r w:rsidRPr="004B0BB8">
        <w:rPr>
          <w:lang w:val="en-GB"/>
        </w:rPr>
        <w:t xml:space="preserve">September </w:t>
      </w:r>
      <w:r w:rsidRPr="004B0BB8">
        <w:t xml:space="preserve">2022 </w:t>
      </w:r>
      <w:r w:rsidRPr="004B0BB8">
        <w:rPr>
          <w:lang w:val="en-GB"/>
        </w:rPr>
        <w:t>in Brussels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>European Strategy Forum on Research Infrastructures</w:t>
      </w:r>
    </w:p>
    <w:p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lang w:val="en-GB"/>
        </w:rPr>
        <w:t>18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</w:t>
      </w:r>
      <w:r w:rsidRPr="004B0BB8">
        <w:t>– 19</w:t>
      </w:r>
      <w:r w:rsidRPr="004B0BB8">
        <w:rPr>
          <w:vertAlign w:val="superscript"/>
        </w:rPr>
        <w:t>th</w:t>
      </w:r>
      <w:r w:rsidRPr="004B0BB8">
        <w:t xml:space="preserve"> </w:t>
      </w:r>
      <w:r w:rsidRPr="004B0BB8">
        <w:rPr>
          <w:lang w:val="en-GB"/>
        </w:rPr>
        <w:t>October 2022 in Brno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GB"/>
        </w:rPr>
        <w:t>International Conference on Research Infrastructures</w:t>
      </w:r>
    </w:p>
    <w:p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t>19</w:t>
      </w:r>
      <w:r w:rsidRPr="004B0BB8">
        <w:rPr>
          <w:vertAlign w:val="superscript"/>
        </w:rPr>
        <w:t>th</w:t>
      </w:r>
      <w:r w:rsidRPr="004B0BB8">
        <w:t xml:space="preserve"> – 21</w:t>
      </w:r>
      <w:r w:rsidRPr="004B0BB8">
        <w:rPr>
          <w:vertAlign w:val="superscript"/>
        </w:rPr>
        <w:t>st</w:t>
      </w:r>
      <w:r w:rsidRPr="004B0BB8">
        <w:rPr>
          <w:lang w:val="en-GB"/>
        </w:rPr>
        <w:t xml:space="preserve"> October 2022 in Brno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US"/>
        </w:rPr>
        <w:t>Knowledge, Research and Education Conference</w:t>
      </w:r>
    </w:p>
    <w:p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t>10</w:t>
      </w:r>
      <w:r w:rsidRPr="004B0BB8">
        <w:rPr>
          <w:vertAlign w:val="superscript"/>
        </w:rPr>
        <w:t>th</w:t>
      </w:r>
      <w:r w:rsidRPr="004B0BB8">
        <w:t xml:space="preserve"> – 11</w:t>
      </w:r>
      <w:r w:rsidRPr="004B0BB8">
        <w:rPr>
          <w:vertAlign w:val="superscript"/>
        </w:rPr>
        <w:t>th</w:t>
      </w:r>
      <w:r w:rsidRPr="004B0BB8">
        <w:t xml:space="preserve"> </w:t>
      </w:r>
      <w:r w:rsidRPr="004B0BB8">
        <w:rPr>
          <w:lang w:val="en-US"/>
        </w:rPr>
        <w:t>November</w:t>
      </w:r>
      <w:r w:rsidRPr="004B0BB8">
        <w:t xml:space="preserve"> 2022 in Prague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US"/>
        </w:rPr>
        <w:t>European Open Science Cloud Symposium and Steering Board</w:t>
      </w:r>
    </w:p>
    <w:p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t>14</w:t>
      </w:r>
      <w:r w:rsidRPr="004B0BB8">
        <w:rPr>
          <w:vertAlign w:val="superscript"/>
        </w:rPr>
        <w:t>th</w:t>
      </w:r>
      <w:r w:rsidRPr="004B0BB8">
        <w:t xml:space="preserve"> – 17</w:t>
      </w:r>
      <w:r w:rsidRPr="004B0BB8">
        <w:rPr>
          <w:vertAlign w:val="superscript"/>
        </w:rPr>
        <w:t>th</w:t>
      </w:r>
      <w:r w:rsidRPr="004B0BB8">
        <w:t xml:space="preserve"> </w:t>
      </w:r>
      <w:r w:rsidRPr="004B0BB8">
        <w:rPr>
          <w:lang w:val="en-US"/>
        </w:rPr>
        <w:t>November 2022 in Prague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</w:pPr>
      <w:r w:rsidRPr="004B0BB8">
        <w:rPr>
          <w:b/>
          <w:bCs/>
          <w:lang w:val="en-US"/>
        </w:rPr>
        <w:t>Conference on the Gender-Based Violence in Higher Education and Research</w:t>
      </w:r>
      <w:r w:rsidRPr="004B0BB8">
        <w:rPr>
          <w:b/>
          <w:bCs/>
        </w:rPr>
        <w:t xml:space="preserve"> </w:t>
      </w:r>
    </w:p>
    <w:p w:rsidR="004B0BB8" w:rsidRPr="004B0BB8" w:rsidRDefault="004B0BB8" w:rsidP="008A15A1">
      <w:pPr>
        <w:pStyle w:val="Odstavecseseznamem"/>
        <w:spacing w:after="120"/>
        <w:ind w:left="357"/>
        <w:contextualSpacing w:val="0"/>
        <w:jc w:val="both"/>
      </w:pPr>
      <w:r w:rsidRPr="004B0BB8">
        <w:rPr>
          <w:lang w:val="en-GB"/>
        </w:rPr>
        <w:t>24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– 25</w:t>
      </w:r>
      <w:r w:rsidRPr="004B0BB8">
        <w:rPr>
          <w:vertAlign w:val="superscript"/>
          <w:lang w:val="en-GB"/>
        </w:rPr>
        <w:t>th</w:t>
      </w:r>
      <w:r w:rsidRPr="004B0BB8">
        <w:rPr>
          <w:lang w:val="en-GB"/>
        </w:rPr>
        <w:t xml:space="preserve"> November 2022 in Prague</w:t>
      </w:r>
    </w:p>
    <w:p w:rsidR="004B0BB8" w:rsidRPr="004B0BB8" w:rsidRDefault="004B0BB8" w:rsidP="004B0BB8">
      <w:pPr>
        <w:pStyle w:val="Odstavecseseznamem"/>
        <w:numPr>
          <w:ilvl w:val="0"/>
          <w:numId w:val="35"/>
        </w:numPr>
        <w:jc w:val="both"/>
        <w:rPr>
          <w:b/>
          <w:bCs/>
          <w:lang w:val="en-GB"/>
        </w:rPr>
      </w:pPr>
      <w:r w:rsidRPr="004B0BB8">
        <w:rPr>
          <w:b/>
          <w:bCs/>
          <w:lang w:val="en-GB"/>
        </w:rPr>
        <w:t>Formal Meeting</w:t>
      </w:r>
      <w:r w:rsidRPr="004B0BB8">
        <w:rPr>
          <w:b/>
          <w:bCs/>
        </w:rPr>
        <w:t xml:space="preserve"> </w:t>
      </w:r>
      <w:r w:rsidRPr="004B0BB8">
        <w:rPr>
          <w:b/>
          <w:bCs/>
          <w:lang w:val="en-GB"/>
        </w:rPr>
        <w:t>of the EU Competitiveness Council – Research</w:t>
      </w:r>
    </w:p>
    <w:p w:rsidR="004B0BB8" w:rsidRPr="004B0BB8" w:rsidRDefault="004B0BB8" w:rsidP="004B0BB8">
      <w:pPr>
        <w:pStyle w:val="Odstavecseseznamem"/>
        <w:ind w:left="360"/>
        <w:jc w:val="both"/>
      </w:pPr>
      <w:r w:rsidRPr="004B0BB8">
        <w:rPr>
          <w:lang w:val="en-GB"/>
        </w:rPr>
        <w:t>2</w:t>
      </w:r>
      <w:r w:rsidRPr="004B0BB8">
        <w:rPr>
          <w:vertAlign w:val="superscript"/>
          <w:lang w:val="en-GB"/>
        </w:rPr>
        <w:t>nd</w:t>
      </w:r>
      <w:r w:rsidRPr="004B0BB8">
        <w:rPr>
          <w:lang w:val="en-GB"/>
        </w:rPr>
        <w:t xml:space="preserve"> December</w:t>
      </w:r>
      <w:r w:rsidRPr="004B0BB8">
        <w:t xml:space="preserve"> 2022 </w:t>
      </w:r>
      <w:r w:rsidRPr="004B0BB8">
        <w:rPr>
          <w:lang w:val="en-GB"/>
        </w:rPr>
        <w:t>in Brussels</w:t>
      </w:r>
    </w:p>
    <w:p w:rsidR="004B0BB8" w:rsidRDefault="004B0BB8" w:rsidP="007C3C01">
      <w:pPr>
        <w:jc w:val="both"/>
      </w:pPr>
    </w:p>
    <w:sectPr w:rsidR="004B0BB8" w:rsidSect="00793567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73D" w:rsidRDefault="0077373D" w:rsidP="00F732E6">
      <w:r>
        <w:separator/>
      </w:r>
    </w:p>
  </w:endnote>
  <w:endnote w:type="continuationSeparator" w:id="0">
    <w:p w:rsidR="0077373D" w:rsidRDefault="0077373D" w:rsidP="00F7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2E6" w:rsidRDefault="00F732E6" w:rsidP="00F732E6">
    <w:pPr>
      <w:pStyle w:val="Zpat"/>
      <w:tabs>
        <w:tab w:val="left" w:pos="5445"/>
      </w:tabs>
    </w:pPr>
    <w:r>
      <w:tab/>
    </w:r>
    <w:sdt>
      <w:sdtPr>
        <w:id w:val="42561981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34A3A">
          <w:rPr>
            <w:noProof/>
          </w:rPr>
          <w:t>3</w:t>
        </w:r>
        <w:r>
          <w:fldChar w:fldCharType="end"/>
        </w:r>
      </w:sdtContent>
    </w:sdt>
    <w:r>
      <w:tab/>
    </w:r>
  </w:p>
  <w:p w:rsidR="00F732E6" w:rsidRDefault="00F732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7064889"/>
      <w:docPartObj>
        <w:docPartGallery w:val="Page Numbers (Bottom of Page)"/>
        <w:docPartUnique/>
      </w:docPartObj>
    </w:sdtPr>
    <w:sdtEndPr/>
    <w:sdtContent>
      <w:p w:rsidR="00793567" w:rsidRDefault="0079356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A3A">
          <w:rPr>
            <w:noProof/>
          </w:rPr>
          <w:t>1</w:t>
        </w:r>
        <w:r>
          <w:fldChar w:fldCharType="end"/>
        </w:r>
      </w:p>
    </w:sdtContent>
  </w:sdt>
  <w:p w:rsidR="00A92204" w:rsidRDefault="00A922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73D" w:rsidRDefault="0077373D" w:rsidP="00F732E6">
      <w:r>
        <w:separator/>
      </w:r>
    </w:p>
  </w:footnote>
  <w:footnote w:type="continuationSeparator" w:id="0">
    <w:p w:rsidR="0077373D" w:rsidRDefault="0077373D" w:rsidP="00F73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709" w:rsidRDefault="00BD7709" w:rsidP="00BD7709">
    <w:pPr>
      <w:pStyle w:val="Zhlav"/>
      <w:tabs>
        <w:tab w:val="clear" w:pos="4536"/>
        <w:tab w:val="clear" w:pos="9072"/>
        <w:tab w:val="left" w:pos="345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552" w:rsidRDefault="00FC1552">
    <w:pPr>
      <w:pStyle w:val="Zhlav"/>
    </w:pPr>
  </w:p>
  <w:p w:rsidR="00A92204" w:rsidRDefault="00EF594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4B16803A" wp14:editId="39421720">
          <wp:simplePos x="0" y="0"/>
          <wp:positionH relativeFrom="column">
            <wp:posOffset>2099945</wp:posOffset>
          </wp:positionH>
          <wp:positionV relativeFrom="paragraph">
            <wp:posOffset>130810</wp:posOffset>
          </wp:positionV>
          <wp:extent cx="1511935" cy="755015"/>
          <wp:effectExtent l="0" t="0" r="0" b="6985"/>
          <wp:wrapTight wrapText="bothSides">
            <wp:wrapPolygon edited="0">
              <wp:start x="0" y="0"/>
              <wp:lineTo x="0" y="21255"/>
              <wp:lineTo x="21228" y="21255"/>
              <wp:lineTo x="21228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SMT_logotyp_text_RG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935" cy="755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7CB0"/>
    <w:multiLevelType w:val="hybridMultilevel"/>
    <w:tmpl w:val="9D08A54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81F6B"/>
    <w:multiLevelType w:val="hybridMultilevel"/>
    <w:tmpl w:val="C4D25228"/>
    <w:lvl w:ilvl="0" w:tplc="FBEC13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06E68"/>
    <w:multiLevelType w:val="hybridMultilevel"/>
    <w:tmpl w:val="C6F09C76"/>
    <w:lvl w:ilvl="0" w:tplc="0405000F">
      <w:start w:val="1"/>
      <w:numFmt w:val="decimal"/>
      <w:lvlText w:val="%1."/>
      <w:lvlJc w:val="left"/>
      <w:pPr>
        <w:ind w:left="1125" w:hanging="360"/>
      </w:p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0579186D"/>
    <w:multiLevelType w:val="hybridMultilevel"/>
    <w:tmpl w:val="C97ACE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0C5C17"/>
    <w:multiLevelType w:val="hybridMultilevel"/>
    <w:tmpl w:val="6FFA23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C17620"/>
    <w:multiLevelType w:val="hybridMultilevel"/>
    <w:tmpl w:val="069AAC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1706DC"/>
    <w:multiLevelType w:val="hybridMultilevel"/>
    <w:tmpl w:val="1166D53A"/>
    <w:lvl w:ilvl="0" w:tplc="9BCED12E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D64A34"/>
    <w:multiLevelType w:val="hybridMultilevel"/>
    <w:tmpl w:val="D76E4C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EE4EA1"/>
    <w:multiLevelType w:val="hybridMultilevel"/>
    <w:tmpl w:val="CE48322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B3F6B"/>
    <w:multiLevelType w:val="hybridMultilevel"/>
    <w:tmpl w:val="A3CC4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7449D"/>
    <w:multiLevelType w:val="hybridMultilevel"/>
    <w:tmpl w:val="5C12B1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20F52"/>
    <w:multiLevelType w:val="hybridMultilevel"/>
    <w:tmpl w:val="9FF2B58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9C0CCE"/>
    <w:multiLevelType w:val="hybridMultilevel"/>
    <w:tmpl w:val="EB28DC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D6098"/>
    <w:multiLevelType w:val="hybridMultilevel"/>
    <w:tmpl w:val="0868BA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A26A2"/>
    <w:multiLevelType w:val="hybridMultilevel"/>
    <w:tmpl w:val="4EFA5BD4"/>
    <w:lvl w:ilvl="0" w:tplc="ED268DC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3A5872"/>
    <w:multiLevelType w:val="hybridMultilevel"/>
    <w:tmpl w:val="971CAA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1AD7F07"/>
    <w:multiLevelType w:val="hybridMultilevel"/>
    <w:tmpl w:val="E646C2D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CB0570"/>
    <w:multiLevelType w:val="hybridMultilevel"/>
    <w:tmpl w:val="6C6E3D32"/>
    <w:lvl w:ilvl="0" w:tplc="040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8" w15:restartNumberingAfterBreak="0">
    <w:nsid w:val="39096066"/>
    <w:multiLevelType w:val="hybridMultilevel"/>
    <w:tmpl w:val="D59075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FC3B23"/>
    <w:multiLevelType w:val="hybridMultilevel"/>
    <w:tmpl w:val="C33C88F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924EDB"/>
    <w:multiLevelType w:val="hybridMultilevel"/>
    <w:tmpl w:val="E5FA4A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EE24F2"/>
    <w:multiLevelType w:val="hybridMultilevel"/>
    <w:tmpl w:val="D15C6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FA5878"/>
    <w:multiLevelType w:val="hybridMultilevel"/>
    <w:tmpl w:val="7F5EA2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1C583B"/>
    <w:multiLevelType w:val="hybridMultilevel"/>
    <w:tmpl w:val="189441E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D47AA3"/>
    <w:multiLevelType w:val="hybridMultilevel"/>
    <w:tmpl w:val="3E34C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664AC4"/>
    <w:multiLevelType w:val="hybridMultilevel"/>
    <w:tmpl w:val="229411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9757DA"/>
    <w:multiLevelType w:val="hybridMultilevel"/>
    <w:tmpl w:val="05AE3F82"/>
    <w:lvl w:ilvl="0" w:tplc="0405000F">
      <w:start w:val="1"/>
      <w:numFmt w:val="decimal"/>
      <w:lvlText w:val="%1."/>
      <w:lvlJc w:val="left"/>
      <w:pPr>
        <w:ind w:left="870" w:hanging="360"/>
      </w:pPr>
    </w:lvl>
    <w:lvl w:ilvl="1" w:tplc="04050019" w:tentative="1">
      <w:start w:val="1"/>
      <w:numFmt w:val="lowerLetter"/>
      <w:lvlText w:val="%2."/>
      <w:lvlJc w:val="left"/>
      <w:pPr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7" w15:restartNumberingAfterBreak="0">
    <w:nsid w:val="5F2A090E"/>
    <w:multiLevelType w:val="hybridMultilevel"/>
    <w:tmpl w:val="02003A8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A26E18"/>
    <w:multiLevelType w:val="hybridMultilevel"/>
    <w:tmpl w:val="99ACE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F45AA"/>
    <w:multiLevelType w:val="hybridMultilevel"/>
    <w:tmpl w:val="AD16BE1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0146B6"/>
    <w:multiLevelType w:val="hybridMultilevel"/>
    <w:tmpl w:val="0796557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D201C1"/>
    <w:multiLevelType w:val="hybridMultilevel"/>
    <w:tmpl w:val="F5D46A8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723C24"/>
    <w:multiLevelType w:val="hybridMultilevel"/>
    <w:tmpl w:val="F10CFA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675BAF"/>
    <w:multiLevelType w:val="hybridMultilevel"/>
    <w:tmpl w:val="436A8EF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D65E89"/>
    <w:multiLevelType w:val="hybridMultilevel"/>
    <w:tmpl w:val="69AEBA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9"/>
  </w:num>
  <w:num w:numId="4">
    <w:abstractNumId w:val="19"/>
  </w:num>
  <w:num w:numId="5">
    <w:abstractNumId w:val="34"/>
  </w:num>
  <w:num w:numId="6">
    <w:abstractNumId w:val="18"/>
  </w:num>
  <w:num w:numId="7">
    <w:abstractNumId w:val="16"/>
  </w:num>
  <w:num w:numId="8">
    <w:abstractNumId w:val="5"/>
  </w:num>
  <w:num w:numId="9">
    <w:abstractNumId w:val="17"/>
  </w:num>
  <w:num w:numId="10">
    <w:abstractNumId w:val="24"/>
  </w:num>
  <w:num w:numId="11">
    <w:abstractNumId w:val="13"/>
  </w:num>
  <w:num w:numId="12">
    <w:abstractNumId w:val="21"/>
  </w:num>
  <w:num w:numId="13">
    <w:abstractNumId w:val="15"/>
  </w:num>
  <w:num w:numId="14">
    <w:abstractNumId w:val="6"/>
  </w:num>
  <w:num w:numId="15">
    <w:abstractNumId w:val="14"/>
  </w:num>
  <w:num w:numId="16">
    <w:abstractNumId w:val="26"/>
  </w:num>
  <w:num w:numId="17">
    <w:abstractNumId w:val="2"/>
  </w:num>
  <w:num w:numId="18">
    <w:abstractNumId w:val="31"/>
  </w:num>
  <w:num w:numId="19">
    <w:abstractNumId w:val="23"/>
  </w:num>
  <w:num w:numId="20">
    <w:abstractNumId w:val="22"/>
  </w:num>
  <w:num w:numId="21">
    <w:abstractNumId w:val="27"/>
  </w:num>
  <w:num w:numId="22">
    <w:abstractNumId w:val="2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28"/>
  </w:num>
  <w:num w:numId="26">
    <w:abstractNumId w:val="32"/>
  </w:num>
  <w:num w:numId="27">
    <w:abstractNumId w:val="7"/>
  </w:num>
  <w:num w:numId="28">
    <w:abstractNumId w:val="12"/>
  </w:num>
  <w:num w:numId="29">
    <w:abstractNumId w:val="10"/>
  </w:num>
  <w:num w:numId="30">
    <w:abstractNumId w:val="33"/>
  </w:num>
  <w:num w:numId="31">
    <w:abstractNumId w:val="0"/>
  </w:num>
  <w:num w:numId="32">
    <w:abstractNumId w:val="1"/>
  </w:num>
  <w:num w:numId="33">
    <w:abstractNumId w:val="30"/>
  </w:num>
  <w:num w:numId="34">
    <w:abstractNumId w:val="11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EB"/>
    <w:rsid w:val="0001152D"/>
    <w:rsid w:val="00012B2F"/>
    <w:rsid w:val="00017E9B"/>
    <w:rsid w:val="00021C64"/>
    <w:rsid w:val="00026340"/>
    <w:rsid w:val="00026A46"/>
    <w:rsid w:val="00027A4D"/>
    <w:rsid w:val="00031205"/>
    <w:rsid w:val="00037BEF"/>
    <w:rsid w:val="00047917"/>
    <w:rsid w:val="00061E72"/>
    <w:rsid w:val="00066151"/>
    <w:rsid w:val="00081283"/>
    <w:rsid w:val="0008375A"/>
    <w:rsid w:val="00083F7F"/>
    <w:rsid w:val="000841D2"/>
    <w:rsid w:val="000939B9"/>
    <w:rsid w:val="0009746C"/>
    <w:rsid w:val="000A6F6C"/>
    <w:rsid w:val="000C22FA"/>
    <w:rsid w:val="000C63C9"/>
    <w:rsid w:val="000C7389"/>
    <w:rsid w:val="000D07EC"/>
    <w:rsid w:val="000D1E35"/>
    <w:rsid w:val="000E2B55"/>
    <w:rsid w:val="000E6125"/>
    <w:rsid w:val="000F5C31"/>
    <w:rsid w:val="000F717E"/>
    <w:rsid w:val="001031B8"/>
    <w:rsid w:val="001062E5"/>
    <w:rsid w:val="00123055"/>
    <w:rsid w:val="00124AC4"/>
    <w:rsid w:val="00133EF3"/>
    <w:rsid w:val="00133FB9"/>
    <w:rsid w:val="00134420"/>
    <w:rsid w:val="00162C6B"/>
    <w:rsid w:val="0016464C"/>
    <w:rsid w:val="001744BB"/>
    <w:rsid w:val="00175450"/>
    <w:rsid w:val="001852BC"/>
    <w:rsid w:val="00186901"/>
    <w:rsid w:val="001A2A9E"/>
    <w:rsid w:val="001A66A2"/>
    <w:rsid w:val="001B063A"/>
    <w:rsid w:val="001B3501"/>
    <w:rsid w:val="001D1417"/>
    <w:rsid w:val="001D1B2E"/>
    <w:rsid w:val="001F1C75"/>
    <w:rsid w:val="001F4695"/>
    <w:rsid w:val="0020566C"/>
    <w:rsid w:val="00205B1C"/>
    <w:rsid w:val="00225F08"/>
    <w:rsid w:val="00233350"/>
    <w:rsid w:val="00233CA5"/>
    <w:rsid w:val="00236650"/>
    <w:rsid w:val="00236B10"/>
    <w:rsid w:val="002435F8"/>
    <w:rsid w:val="00246DB5"/>
    <w:rsid w:val="00252802"/>
    <w:rsid w:val="00255174"/>
    <w:rsid w:val="00255A53"/>
    <w:rsid w:val="00257A97"/>
    <w:rsid w:val="00262F93"/>
    <w:rsid w:val="00280E86"/>
    <w:rsid w:val="0029561B"/>
    <w:rsid w:val="00297070"/>
    <w:rsid w:val="002A4AC2"/>
    <w:rsid w:val="002A7831"/>
    <w:rsid w:val="002B069B"/>
    <w:rsid w:val="002B077A"/>
    <w:rsid w:val="002C014F"/>
    <w:rsid w:val="002C0407"/>
    <w:rsid w:val="002C3458"/>
    <w:rsid w:val="002C6080"/>
    <w:rsid w:val="002C76F9"/>
    <w:rsid w:val="002D0012"/>
    <w:rsid w:val="002D227B"/>
    <w:rsid w:val="00315798"/>
    <w:rsid w:val="00320AC8"/>
    <w:rsid w:val="00337E16"/>
    <w:rsid w:val="0034361F"/>
    <w:rsid w:val="00347041"/>
    <w:rsid w:val="00347881"/>
    <w:rsid w:val="003507A1"/>
    <w:rsid w:val="00355DF5"/>
    <w:rsid w:val="0035676D"/>
    <w:rsid w:val="003675AA"/>
    <w:rsid w:val="00382EA4"/>
    <w:rsid w:val="00385945"/>
    <w:rsid w:val="00387C86"/>
    <w:rsid w:val="003924DD"/>
    <w:rsid w:val="003965B7"/>
    <w:rsid w:val="00397201"/>
    <w:rsid w:val="003A0EF8"/>
    <w:rsid w:val="003A76F3"/>
    <w:rsid w:val="003A7823"/>
    <w:rsid w:val="003B52BA"/>
    <w:rsid w:val="003C0DEE"/>
    <w:rsid w:val="003C11E3"/>
    <w:rsid w:val="003E5313"/>
    <w:rsid w:val="003E706B"/>
    <w:rsid w:val="004102EA"/>
    <w:rsid w:val="00413709"/>
    <w:rsid w:val="00417A65"/>
    <w:rsid w:val="0043140E"/>
    <w:rsid w:val="004358EE"/>
    <w:rsid w:val="004374F5"/>
    <w:rsid w:val="00441487"/>
    <w:rsid w:val="004425D3"/>
    <w:rsid w:val="00453BC6"/>
    <w:rsid w:val="00463864"/>
    <w:rsid w:val="00476903"/>
    <w:rsid w:val="00482437"/>
    <w:rsid w:val="0048681D"/>
    <w:rsid w:val="00487CDA"/>
    <w:rsid w:val="00491BA2"/>
    <w:rsid w:val="004A037B"/>
    <w:rsid w:val="004A214B"/>
    <w:rsid w:val="004B0BB8"/>
    <w:rsid w:val="004C0B26"/>
    <w:rsid w:val="004C4F94"/>
    <w:rsid w:val="004C5228"/>
    <w:rsid w:val="004C66F1"/>
    <w:rsid w:val="004D4486"/>
    <w:rsid w:val="004D5762"/>
    <w:rsid w:val="004D7CCD"/>
    <w:rsid w:val="004E3310"/>
    <w:rsid w:val="004F42BC"/>
    <w:rsid w:val="004F5F4D"/>
    <w:rsid w:val="005028EB"/>
    <w:rsid w:val="00504A07"/>
    <w:rsid w:val="0050527F"/>
    <w:rsid w:val="00506000"/>
    <w:rsid w:val="005144C1"/>
    <w:rsid w:val="00514BD6"/>
    <w:rsid w:val="00533313"/>
    <w:rsid w:val="005506E9"/>
    <w:rsid w:val="00553E71"/>
    <w:rsid w:val="00554D82"/>
    <w:rsid w:val="00567B9C"/>
    <w:rsid w:val="005A0D70"/>
    <w:rsid w:val="005A7637"/>
    <w:rsid w:val="005A7AE1"/>
    <w:rsid w:val="005B3B58"/>
    <w:rsid w:val="005C28EE"/>
    <w:rsid w:val="005C4566"/>
    <w:rsid w:val="005D1DBC"/>
    <w:rsid w:val="005E0EA8"/>
    <w:rsid w:val="005E1823"/>
    <w:rsid w:val="005F53B3"/>
    <w:rsid w:val="005F6A3E"/>
    <w:rsid w:val="006143D1"/>
    <w:rsid w:val="00621847"/>
    <w:rsid w:val="006476AD"/>
    <w:rsid w:val="006519AA"/>
    <w:rsid w:val="006576D7"/>
    <w:rsid w:val="0066309B"/>
    <w:rsid w:val="00674412"/>
    <w:rsid w:val="006753DC"/>
    <w:rsid w:val="00675E0E"/>
    <w:rsid w:val="006843A6"/>
    <w:rsid w:val="00690905"/>
    <w:rsid w:val="0069777B"/>
    <w:rsid w:val="006A3C8B"/>
    <w:rsid w:val="006A59AC"/>
    <w:rsid w:val="006B51CF"/>
    <w:rsid w:val="006C4936"/>
    <w:rsid w:val="006C5479"/>
    <w:rsid w:val="006D3232"/>
    <w:rsid w:val="006E487B"/>
    <w:rsid w:val="006F4994"/>
    <w:rsid w:val="006F4D9A"/>
    <w:rsid w:val="00701CD3"/>
    <w:rsid w:val="0071363A"/>
    <w:rsid w:val="00722406"/>
    <w:rsid w:val="007226F3"/>
    <w:rsid w:val="00736165"/>
    <w:rsid w:val="007518ED"/>
    <w:rsid w:val="00753CC8"/>
    <w:rsid w:val="0077373D"/>
    <w:rsid w:val="00773CED"/>
    <w:rsid w:val="00776ED6"/>
    <w:rsid w:val="00793567"/>
    <w:rsid w:val="00795BB0"/>
    <w:rsid w:val="007A59FD"/>
    <w:rsid w:val="007B7A06"/>
    <w:rsid w:val="007C2D27"/>
    <w:rsid w:val="007C3C01"/>
    <w:rsid w:val="007D08E0"/>
    <w:rsid w:val="007D0C3B"/>
    <w:rsid w:val="007D54F5"/>
    <w:rsid w:val="007E3D9A"/>
    <w:rsid w:val="007F3DF8"/>
    <w:rsid w:val="007F6B06"/>
    <w:rsid w:val="00811EF0"/>
    <w:rsid w:val="0081679C"/>
    <w:rsid w:val="00817F03"/>
    <w:rsid w:val="0082333F"/>
    <w:rsid w:val="00830C49"/>
    <w:rsid w:val="00837E9E"/>
    <w:rsid w:val="00875676"/>
    <w:rsid w:val="00887732"/>
    <w:rsid w:val="00895B8A"/>
    <w:rsid w:val="008A15A1"/>
    <w:rsid w:val="008B6FEB"/>
    <w:rsid w:val="008B7200"/>
    <w:rsid w:val="008D369B"/>
    <w:rsid w:val="008E1B25"/>
    <w:rsid w:val="008E6C44"/>
    <w:rsid w:val="0090468F"/>
    <w:rsid w:val="009047B0"/>
    <w:rsid w:val="00904FBA"/>
    <w:rsid w:val="00910C79"/>
    <w:rsid w:val="009413BB"/>
    <w:rsid w:val="00943ABC"/>
    <w:rsid w:val="00950DD6"/>
    <w:rsid w:val="0095758B"/>
    <w:rsid w:val="00962A52"/>
    <w:rsid w:val="0096475B"/>
    <w:rsid w:val="00967A25"/>
    <w:rsid w:val="009722FA"/>
    <w:rsid w:val="00975A9D"/>
    <w:rsid w:val="00987B21"/>
    <w:rsid w:val="00990351"/>
    <w:rsid w:val="00991A4F"/>
    <w:rsid w:val="0099464D"/>
    <w:rsid w:val="0099675E"/>
    <w:rsid w:val="00996E03"/>
    <w:rsid w:val="009A024D"/>
    <w:rsid w:val="009A2A77"/>
    <w:rsid w:val="009B7368"/>
    <w:rsid w:val="009B73E0"/>
    <w:rsid w:val="009C0025"/>
    <w:rsid w:val="009D5BA6"/>
    <w:rsid w:val="009E3E48"/>
    <w:rsid w:val="009E5818"/>
    <w:rsid w:val="00A01F64"/>
    <w:rsid w:val="00A03E44"/>
    <w:rsid w:val="00A1736B"/>
    <w:rsid w:val="00A17743"/>
    <w:rsid w:val="00A20AC4"/>
    <w:rsid w:val="00A33CAD"/>
    <w:rsid w:val="00A54D95"/>
    <w:rsid w:val="00A57C07"/>
    <w:rsid w:val="00A60863"/>
    <w:rsid w:val="00A614BB"/>
    <w:rsid w:val="00A664BD"/>
    <w:rsid w:val="00A74909"/>
    <w:rsid w:val="00A85426"/>
    <w:rsid w:val="00A92204"/>
    <w:rsid w:val="00A9386D"/>
    <w:rsid w:val="00AA7F2C"/>
    <w:rsid w:val="00AC244F"/>
    <w:rsid w:val="00AC45EB"/>
    <w:rsid w:val="00AC45F9"/>
    <w:rsid w:val="00AC52FF"/>
    <w:rsid w:val="00AE0D4F"/>
    <w:rsid w:val="00AE6CF6"/>
    <w:rsid w:val="00AF6766"/>
    <w:rsid w:val="00B00888"/>
    <w:rsid w:val="00B057E0"/>
    <w:rsid w:val="00B1120D"/>
    <w:rsid w:val="00B16568"/>
    <w:rsid w:val="00B17072"/>
    <w:rsid w:val="00B3147F"/>
    <w:rsid w:val="00B35048"/>
    <w:rsid w:val="00B36030"/>
    <w:rsid w:val="00B36A1A"/>
    <w:rsid w:val="00B41CBA"/>
    <w:rsid w:val="00B4678E"/>
    <w:rsid w:val="00B46B05"/>
    <w:rsid w:val="00B52009"/>
    <w:rsid w:val="00B5556A"/>
    <w:rsid w:val="00B76CD7"/>
    <w:rsid w:val="00B85FE6"/>
    <w:rsid w:val="00BA0DC4"/>
    <w:rsid w:val="00BA12C3"/>
    <w:rsid w:val="00BA59BD"/>
    <w:rsid w:val="00BB7265"/>
    <w:rsid w:val="00BB798B"/>
    <w:rsid w:val="00BB7C50"/>
    <w:rsid w:val="00BD1267"/>
    <w:rsid w:val="00BD3479"/>
    <w:rsid w:val="00BD7487"/>
    <w:rsid w:val="00BD7709"/>
    <w:rsid w:val="00BE2BA7"/>
    <w:rsid w:val="00BF039B"/>
    <w:rsid w:val="00BF7088"/>
    <w:rsid w:val="00C0146E"/>
    <w:rsid w:val="00C01D8D"/>
    <w:rsid w:val="00C11BAC"/>
    <w:rsid w:val="00C22C72"/>
    <w:rsid w:val="00C320A8"/>
    <w:rsid w:val="00C372B3"/>
    <w:rsid w:val="00C372C5"/>
    <w:rsid w:val="00C401CD"/>
    <w:rsid w:val="00C52706"/>
    <w:rsid w:val="00C64CAA"/>
    <w:rsid w:val="00C7084D"/>
    <w:rsid w:val="00C7184A"/>
    <w:rsid w:val="00C75ABE"/>
    <w:rsid w:val="00C876F9"/>
    <w:rsid w:val="00C9012D"/>
    <w:rsid w:val="00CA189E"/>
    <w:rsid w:val="00CA6103"/>
    <w:rsid w:val="00CB0EE2"/>
    <w:rsid w:val="00CB1482"/>
    <w:rsid w:val="00CB538B"/>
    <w:rsid w:val="00CB5D54"/>
    <w:rsid w:val="00CC02CE"/>
    <w:rsid w:val="00CC3DA6"/>
    <w:rsid w:val="00CC4B33"/>
    <w:rsid w:val="00CD43E8"/>
    <w:rsid w:val="00CD6B39"/>
    <w:rsid w:val="00CE312C"/>
    <w:rsid w:val="00CE4602"/>
    <w:rsid w:val="00CE5E0F"/>
    <w:rsid w:val="00CF0954"/>
    <w:rsid w:val="00D01B72"/>
    <w:rsid w:val="00D04F4D"/>
    <w:rsid w:val="00D153BC"/>
    <w:rsid w:val="00D21D2D"/>
    <w:rsid w:val="00D24586"/>
    <w:rsid w:val="00D24627"/>
    <w:rsid w:val="00D32391"/>
    <w:rsid w:val="00D359DB"/>
    <w:rsid w:val="00D37BAD"/>
    <w:rsid w:val="00D460B5"/>
    <w:rsid w:val="00D47421"/>
    <w:rsid w:val="00D50193"/>
    <w:rsid w:val="00D57D67"/>
    <w:rsid w:val="00D66F8A"/>
    <w:rsid w:val="00D74F77"/>
    <w:rsid w:val="00D75474"/>
    <w:rsid w:val="00D81E84"/>
    <w:rsid w:val="00D93492"/>
    <w:rsid w:val="00D96106"/>
    <w:rsid w:val="00DA52A1"/>
    <w:rsid w:val="00DB4B2B"/>
    <w:rsid w:val="00DB626F"/>
    <w:rsid w:val="00DC17BE"/>
    <w:rsid w:val="00DC2185"/>
    <w:rsid w:val="00DD0641"/>
    <w:rsid w:val="00DD3980"/>
    <w:rsid w:val="00DD4B3A"/>
    <w:rsid w:val="00DD5618"/>
    <w:rsid w:val="00DD7FD7"/>
    <w:rsid w:val="00DE0CAA"/>
    <w:rsid w:val="00DF3EF6"/>
    <w:rsid w:val="00E01C20"/>
    <w:rsid w:val="00E06504"/>
    <w:rsid w:val="00E128E9"/>
    <w:rsid w:val="00E24FA0"/>
    <w:rsid w:val="00E37F0A"/>
    <w:rsid w:val="00E44B2C"/>
    <w:rsid w:val="00E6179C"/>
    <w:rsid w:val="00E67B8D"/>
    <w:rsid w:val="00E71718"/>
    <w:rsid w:val="00E71827"/>
    <w:rsid w:val="00E718F0"/>
    <w:rsid w:val="00E75E25"/>
    <w:rsid w:val="00E80786"/>
    <w:rsid w:val="00E80C7E"/>
    <w:rsid w:val="00E81345"/>
    <w:rsid w:val="00E85D7A"/>
    <w:rsid w:val="00E86104"/>
    <w:rsid w:val="00E925C7"/>
    <w:rsid w:val="00E9389A"/>
    <w:rsid w:val="00EA067E"/>
    <w:rsid w:val="00EA30F3"/>
    <w:rsid w:val="00EA7426"/>
    <w:rsid w:val="00EB1BC9"/>
    <w:rsid w:val="00EE2A0E"/>
    <w:rsid w:val="00EE3FA0"/>
    <w:rsid w:val="00EF5949"/>
    <w:rsid w:val="00F01FFD"/>
    <w:rsid w:val="00F02076"/>
    <w:rsid w:val="00F14F0D"/>
    <w:rsid w:val="00F1555C"/>
    <w:rsid w:val="00F20B0D"/>
    <w:rsid w:val="00F25715"/>
    <w:rsid w:val="00F34A3A"/>
    <w:rsid w:val="00F40E1D"/>
    <w:rsid w:val="00F51B62"/>
    <w:rsid w:val="00F55423"/>
    <w:rsid w:val="00F732E6"/>
    <w:rsid w:val="00F73481"/>
    <w:rsid w:val="00F77A45"/>
    <w:rsid w:val="00F82B47"/>
    <w:rsid w:val="00F8794D"/>
    <w:rsid w:val="00F90695"/>
    <w:rsid w:val="00F94CAC"/>
    <w:rsid w:val="00FA7819"/>
    <w:rsid w:val="00FB6822"/>
    <w:rsid w:val="00FC1552"/>
    <w:rsid w:val="00FC1EED"/>
    <w:rsid w:val="00FC2BD0"/>
    <w:rsid w:val="00FC7E76"/>
    <w:rsid w:val="00FD19DC"/>
    <w:rsid w:val="00FD4DED"/>
    <w:rsid w:val="00FE1556"/>
    <w:rsid w:val="00FF45A0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15B34"/>
  <w15:chartTrackingRefBased/>
  <w15:docId w15:val="{DD1DD2CF-30E3-4EEC-84EE-EA3065135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0B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45E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32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732E6"/>
  </w:style>
  <w:style w:type="paragraph" w:styleId="Zpat">
    <w:name w:val="footer"/>
    <w:basedOn w:val="Normln"/>
    <w:link w:val="ZpatChar"/>
    <w:uiPriority w:val="99"/>
    <w:unhideWhenUsed/>
    <w:rsid w:val="00F732E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732E6"/>
  </w:style>
  <w:style w:type="character" w:styleId="Hypertextovodkaz">
    <w:name w:val="Hyperlink"/>
    <w:basedOn w:val="Standardnpsmoodstavce"/>
    <w:uiPriority w:val="99"/>
    <w:unhideWhenUsed/>
    <w:rsid w:val="00F25715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372C5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478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788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788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78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788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78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7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9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62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5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27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55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367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6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69551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8672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2748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6266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4467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7586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73917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1080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08916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7381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5809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687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2755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8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6335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7038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3119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998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0226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6282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8574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9867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50106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689">
          <w:marLeft w:val="96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25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3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97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27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16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297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3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consilium.europa.eu/doc/document/ST-14308-2021-INIT/cs/pdf" TargetMode="External"/><Relationship Id="rId13" Type="http://schemas.openxmlformats.org/officeDocument/2006/relationships/hyperlink" Target="https://www.esfri.e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ata.consilium.europa.eu/doc/document/ST-13701-2021-INIT/cs/pdf" TargetMode="External"/><Relationship Id="rId12" Type="http://schemas.openxmlformats.org/officeDocument/2006/relationships/hyperlink" Target="https://www.icri2022.cz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admap2021.esfri.e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esfri.eu/esfri-white-pape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ata.consilium.europa.eu/doc/document/ST-13567-2020-INIT/en/pdf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1587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Levák Lukáš</dc:creator>
  <cp:keywords/>
  <dc:description/>
  <cp:lastModifiedBy>Levák Lukáš</cp:lastModifiedBy>
  <cp:revision>5</cp:revision>
  <dcterms:created xsi:type="dcterms:W3CDTF">2022-01-04T13:25:00Z</dcterms:created>
  <dcterms:modified xsi:type="dcterms:W3CDTF">2022-01-04T13:35:00Z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