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B0779" w14:textId="427DF2C8" w:rsidR="00B32D34" w:rsidRPr="00071283" w:rsidRDefault="00B32D34" w:rsidP="00071283">
      <w:pPr>
        <w:spacing w:after="120" w:line="24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P</w:t>
      </w:r>
      <w:r w:rsidR="00D23518"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osuzování</w:t>
      </w:r>
      <w:r w:rsidR="006544E6"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souladu metodik hodnocení výzkumných organizací poskytovatelů v segmentu resortů s metodikou 17+</w:t>
      </w:r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v KHV</w:t>
      </w:r>
    </w:p>
    <w:p w14:paraId="293B68A8" w14:textId="1215962A" w:rsidR="00071283" w:rsidRPr="001D296A" w:rsidRDefault="00FC55D4" w:rsidP="003B64A7">
      <w:pPr>
        <w:spacing w:after="120" w:line="240" w:lineRule="auto"/>
        <w:jc w:val="center"/>
        <w:rPr>
          <w:rFonts w:ascii="Arial" w:hAnsi="Arial" w:cs="Arial"/>
          <w:b/>
          <w:color w:val="0070C0"/>
          <w:sz w:val="24"/>
          <w:szCs w:val="24"/>
        </w:rPr>
      </w:pPr>
      <w:bookmarkStart w:id="0" w:name="_Hlk99360536"/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Informac</w:t>
      </w:r>
      <w:r w:rsidR="00506870"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e</w:t>
      </w:r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pro RVVI projednána na </w:t>
      </w:r>
      <w:r w:rsidR="00186F90"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KHV 4. </w:t>
      </w:r>
      <w:r w:rsid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dubna</w:t>
      </w:r>
      <w:r w:rsidR="00B32D34"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2022</w:t>
      </w:r>
      <w:r w:rsidR="00186F90"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 </w:t>
      </w:r>
    </w:p>
    <w:p w14:paraId="1C2DEF20" w14:textId="6D68AD54" w:rsidR="00071283" w:rsidRDefault="00071283" w:rsidP="004C5B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bookmarkEnd w:id="0"/>
    <w:p w14:paraId="2421AEA6" w14:textId="77777777" w:rsidR="001D7A41" w:rsidRPr="00071283" w:rsidRDefault="001D7A41" w:rsidP="004C5B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6762AB1D" w14:textId="2F9A9681" w:rsidR="008B1607" w:rsidRPr="00071283" w:rsidRDefault="008B1607" w:rsidP="00071283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Cíle úkolu v KHV</w:t>
      </w:r>
    </w:p>
    <w:p w14:paraId="7EC8F0EA" w14:textId="141B181B" w:rsidR="00A16FBD" w:rsidRPr="00071283" w:rsidRDefault="00367973" w:rsidP="00A16F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   </w:t>
      </w:r>
      <w:r w:rsidR="00E9512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Úkolem KHV je vyjádřit se k tomu, zda jsou metodiky poskytovatelů </w:t>
      </w:r>
      <w:r w:rsidR="00BB370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institucionálních prostředků </w:t>
      </w:r>
      <w:r w:rsidR="00E9512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v souladu s principy Metodiky 17+. Posuzování souladu metodik hodnocení výzkumných organizací s M17+ se týká 11 poskytovatelů. 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Stanoviska KHV k souladu metodik jednotlivých poskytovatelů s M17+ budou poskytnuty pro projednání </w:t>
      </w:r>
      <w:r w:rsidR="00E93BA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v 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RVVI. Poté budou </w:t>
      </w:r>
      <w:r w:rsidR="00E93BA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podle doporučení RVVI </w:t>
      </w:r>
      <w:r w:rsidR="00BB370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zaslána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poskytovatelům v sektoru </w:t>
      </w:r>
      <w:r w:rsidR="007118A5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resortů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jako zpětná vazba s možností </w:t>
      </w:r>
      <w:bookmarkStart w:id="1" w:name="_GoBack"/>
      <w:bookmarkEnd w:id="1"/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reakce nebo aktualizace metodik</w:t>
      </w:r>
      <w:r w:rsidR="00E93BA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="00FC55D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kušenosti z hodnocení souladu metodik </w:t>
      </w:r>
      <w:r w:rsidR="00BB370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s M17+ provedeného 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</w:t>
      </w:r>
      <w:r w:rsidR="00FC55D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 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KHV</w:t>
      </w:r>
      <w:r w:rsidR="00FC55D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budou předány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externí</w:t>
      </w:r>
      <w:r w:rsidR="00FC55D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mu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dodavatel</w:t>
      </w:r>
      <w:r w:rsidR="00FC55D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i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analytické podpory (projekt KAPR, dodavatel TC)</w:t>
      </w:r>
      <w:r w:rsidR="00E9512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 V 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rámci</w:t>
      </w:r>
      <w:r w:rsidR="00E9512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projekt</w:t>
      </w:r>
      <w:r w:rsidR="007118A5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u</w:t>
      </w:r>
      <w:r w:rsidR="00E9512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KAPR 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budou provedena podrobná srovnání metodik napříč resorty a interpretace rozdílů v postupech.</w:t>
      </w:r>
      <w:r w:rsidR="00A16FBD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="00FC633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Cíle, rozsah úkolu a harmonogram řešení úkolu pro KHV byl předem odlišen od obdobné aktivity KAPR tak, aby bylo zabráněno duplicitám v řešení a obě aktivity byly provázány. </w:t>
      </w:r>
    </w:p>
    <w:p w14:paraId="0DBB3DBF" w14:textId="7DCF4D1F" w:rsidR="008B1607" w:rsidRPr="00071283" w:rsidRDefault="008B1607" w:rsidP="004C5B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D4D7D8F" w14:textId="54F6A2B6" w:rsidR="001D7A41" w:rsidRPr="00071283" w:rsidRDefault="00C15393" w:rsidP="00071283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Metodické přístupy k posuzování souladu metodik s M17+</w:t>
      </w:r>
      <w:r w:rsidR="00186F90"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</w:t>
      </w:r>
      <w:r w:rsidR="001D7A41"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</w:t>
      </w:r>
    </w:p>
    <w:p w14:paraId="5246B3FE" w14:textId="49CBBF92" w:rsidR="00E95120" w:rsidRPr="00071283" w:rsidRDefault="00367973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   </w:t>
      </w:r>
      <w:r w:rsidR="00E9512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V KHV byli ke každé metodice určeni dva posuzovatelé </w:t>
      </w:r>
      <w:r w:rsidR="007118A5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převážně </w:t>
      </w:r>
      <w:r w:rsidR="00E9512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podle oborové působnosti poskytovatelů. </w:t>
      </w:r>
      <w:r w:rsidR="0073372E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Pro posuzování souladu metodik byl použit dotazník, jehož základem byl dotazník vypracovaný v KHV v roce 2019, který byl doplněn o další otázky ke konci roku 2021. Dotazník byl ověřen </w:t>
      </w:r>
      <w:r w:rsidR="00E9512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při </w:t>
      </w:r>
      <w:r w:rsidR="0073372E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posuzování souladu metodik hodnocení výzkumných organizací </w:t>
      </w:r>
      <w:proofErr w:type="spellStart"/>
      <w:r w:rsidR="0073372E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MZe</w:t>
      </w:r>
      <w:proofErr w:type="spellEnd"/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s M17+</w:t>
      </w:r>
      <w:r w:rsidR="0073372E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. Výsledky hodnocení souladu metodiky </w:t>
      </w:r>
      <w:proofErr w:type="spellStart"/>
      <w:r w:rsidR="0073372E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MZe</w:t>
      </w:r>
      <w:proofErr w:type="spellEnd"/>
      <w:r w:rsidR="0073372E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s M17+ byly předán</w:t>
      </w:r>
      <w:r w:rsidR="008B1607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y</w:t>
      </w:r>
      <w:r w:rsidR="0073372E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RVVI, která je vzala na vědomí. Vedle vyplnění dotazníku doplnili posuzovatelé </w:t>
      </w:r>
      <w:r w:rsidR="0073372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komentář</w:t>
      </w:r>
      <w:r w:rsidR="00E93BA4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e</w:t>
      </w:r>
      <w:r w:rsidR="0073372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, ve kter</w:t>
      </w:r>
      <w:r w:rsidR="00E93BA4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ých</w:t>
      </w:r>
      <w:r w:rsidR="0073372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vyjádřili souhrnn</w:t>
      </w:r>
      <w:r w:rsidR="00E93BA4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á</w:t>
      </w:r>
      <w:r w:rsidR="0073372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stanovisk</w:t>
      </w:r>
      <w:r w:rsidR="00E93BA4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a</w:t>
      </w:r>
      <w:r w:rsidR="0073372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k posuzované metodice.</w:t>
      </w:r>
      <w:r w:rsidR="00E93BA4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</w:p>
    <w:p w14:paraId="490917AE" w14:textId="15E6F876" w:rsidR="006D6F0B" w:rsidRPr="00071283" w:rsidRDefault="00367973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     </w:t>
      </w:r>
      <w:r w:rsidR="004A6366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Ke kvantifikaci souladu metodik poskytovatelů byla použita metoda QFD. </w:t>
      </w:r>
      <w:r w:rsid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Ke </w:t>
      </w:r>
      <w:r w:rsidR="00C34AB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každému kritériu odpovídajícímu 20 položeným otázkám v dotazníku </w:t>
      </w:r>
      <w:r w:rsidR="006E7D9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b</w:t>
      </w:r>
      <w:r w:rsidR="00C34AB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yly přiřazeny hodnoty priorit kritéri</w:t>
      </w:r>
      <w:r w:rsidR="0045650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í</w:t>
      </w:r>
      <w:r w:rsidR="00C34AB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(váhy). Váhy byly stanoveny </w:t>
      </w:r>
      <w:r w:rsidR="00133439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5 členy KHV za profilující obory, </w:t>
      </w:r>
      <w:r w:rsidR="00C34AB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podle významu kritéria pro soulad metodiky poskytovatele s M17+</w:t>
      </w:r>
      <w:r w:rsidR="006E7D9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. </w:t>
      </w:r>
    </w:p>
    <w:p w14:paraId="6BE88E9F" w14:textId="4A5C559D" w:rsidR="00456504" w:rsidRPr="00071283" w:rsidRDefault="006D6F0B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Každý z 5 posuzovatelů navrhl váhy priorit ke každému kritériu (otázce v dotazníku) takto:</w:t>
      </w:r>
      <w:r w:rsidR="00133439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14:paraId="4CA1BB53" w14:textId="220543F5" w:rsidR="00133439" w:rsidRPr="00071283" w:rsidRDefault="00133439" w:rsidP="00071283">
      <w:pPr>
        <w:pStyle w:val="Odstavecseseznamem"/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Váha </w:t>
      </w:r>
      <w:r w:rsidR="008A3AB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9 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– nejvyšší priorita, váha </w:t>
      </w:r>
      <w:r w:rsidR="008A3AB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7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– vysoká priorita, váha </w:t>
      </w:r>
      <w:r w:rsidR="008A3AB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5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– středně významná priorita</w:t>
      </w:r>
      <w:r w:rsidR="0034128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,</w:t>
      </w:r>
      <w:r w:rsidRPr="00071283">
        <w:rPr>
          <w:rFonts w:ascii="Arial" w:hAnsi="Arial" w:cs="Arial"/>
          <w:sz w:val="24"/>
          <w:szCs w:val="24"/>
        </w:rPr>
        <w:t xml:space="preserve"> </w:t>
      </w:r>
      <w:r w:rsidR="008A3ABB" w:rsidRPr="00071283">
        <w:rPr>
          <w:rFonts w:ascii="Arial" w:hAnsi="Arial" w:cs="Arial"/>
          <w:sz w:val="24"/>
          <w:szCs w:val="24"/>
        </w:rPr>
        <w:t>3</w:t>
      </w:r>
      <w:r w:rsidRPr="00071283">
        <w:rPr>
          <w:rFonts w:ascii="Arial" w:hAnsi="Arial" w:cs="Arial"/>
          <w:sz w:val="24"/>
          <w:szCs w:val="24"/>
        </w:rPr>
        <w:t xml:space="preserve"> – málo významná priorita. Nižší hodnoty než 3 nebyly použity, protože taková kritéria v dotazníku nebyla.</w:t>
      </w:r>
      <w:r w:rsidR="006D6F0B" w:rsidRPr="00071283">
        <w:rPr>
          <w:rFonts w:ascii="Arial" w:hAnsi="Arial" w:cs="Arial"/>
          <w:sz w:val="24"/>
          <w:szCs w:val="24"/>
        </w:rPr>
        <w:t xml:space="preserve"> Z hodnot </w:t>
      </w:r>
      <w:r w:rsidR="006D6F0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priorit stanovených 5 členy KHV byla vypočítána průměrná hodnota pro každé kritérium, která byla </w:t>
      </w:r>
      <w:r w:rsidR="008A3AB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použita pro výpočet korelací.</w:t>
      </w:r>
      <w:r w:rsidR="006D6F0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Pr="00071283">
        <w:rPr>
          <w:rFonts w:ascii="Arial" w:hAnsi="Arial" w:cs="Arial"/>
          <w:sz w:val="24"/>
          <w:szCs w:val="24"/>
        </w:rPr>
        <w:t xml:space="preserve">  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14:paraId="748B4885" w14:textId="3119BE48" w:rsidR="00456504" w:rsidRPr="00071283" w:rsidRDefault="00133439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H</w:t>
      </w:r>
      <w:r w:rsidR="00C34AB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odnoty korelací, které vyjadřují míru shody</w:t>
      </w:r>
      <w:r w:rsidR="006E7D9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každého kritéria metodiky poskytovatele s M17+</w:t>
      </w:r>
      <w:r w:rsidR="002B286D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jsou součástí metodiky QFD</w:t>
      </w:r>
      <w:r w:rsidR="006E7D9B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. </w:t>
      </w:r>
    </w:p>
    <w:p w14:paraId="66567061" w14:textId="3EB19321" w:rsidR="00456504" w:rsidRPr="00071283" w:rsidRDefault="006E7D9B" w:rsidP="00071283">
      <w:pPr>
        <w:pStyle w:val="Odstavecseseznamem"/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Hodnota korelace 9 – úplná korelace (odpovídá výrok</w:t>
      </w:r>
      <w:r w:rsidR="0052486A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u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ANO</w:t>
      </w:r>
      <w:r w:rsidR="0052486A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, </w:t>
      </w:r>
      <w:r w:rsidR="00D05589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3</w:t>
      </w:r>
      <w:r w:rsidR="0052486A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– částečná korelace (odpovídá výroku ANO – částečně), </w:t>
      </w:r>
      <w:r w:rsidR="00D05589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1</w:t>
      </w:r>
      <w:r w:rsidR="0052486A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– nízká korelace (odpovídá výroku </w:t>
      </w:r>
      <w:r w:rsid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„</w:t>
      </w:r>
      <w:r w:rsidR="0052486A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 kontextu vyplývá</w:t>
      </w:r>
      <w:r w:rsid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“</w:t>
      </w:r>
      <w:r w:rsidR="0052486A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, nebo výroku </w:t>
      </w:r>
      <w:r w:rsid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„</w:t>
      </w:r>
      <w:r w:rsidR="0052486A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Lze dovodit</w:t>
      </w:r>
      <w:r w:rsid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“</w:t>
      </w:r>
      <w:r w:rsidR="0052486A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), 0 – bez korelace (odpovídá výroku NE).</w:t>
      </w:r>
      <w:r w:rsidR="00C15393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14:paraId="4FC38912" w14:textId="78C126A9" w:rsidR="0073372E" w:rsidRPr="00071283" w:rsidRDefault="00367973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lastRenderedPageBreak/>
        <w:t xml:space="preserve">      </w:t>
      </w:r>
      <w:r w:rsidR="00C15393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Pro každou metodiku poskytovatele byl stanoven </w:t>
      </w:r>
      <w:r w:rsidR="0045650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s</w:t>
      </w:r>
      <w:r w:rsid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kalární součin absolutní a </w:t>
      </w:r>
      <w:r w:rsidR="00C15393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skalární součin relativní (%), podle kterého lze třídit metodiky poskytovatelů podle míry souladu s M17+. </w:t>
      </w:r>
      <w:r w:rsidR="0045650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Tento parametr lze využít pro kvantifikaci souladu metodik s M17+.</w:t>
      </w:r>
    </w:p>
    <w:p w14:paraId="4B3E3D83" w14:textId="77777777" w:rsidR="004A6366" w:rsidRPr="00071283" w:rsidRDefault="004A6366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0803490" w14:textId="77777777" w:rsidR="009B141C" w:rsidRPr="00071283" w:rsidRDefault="009B141C" w:rsidP="00071283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Shrnutí poznatků z posuzování souladu metodik s M17+</w:t>
      </w:r>
    </w:p>
    <w:p w14:paraId="716D3D78" w14:textId="6E788F8F" w:rsidR="009B141C" w:rsidRPr="00071283" w:rsidRDefault="00367973" w:rsidP="00071283">
      <w:pPr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    </w:t>
      </w:r>
      <w:r w:rsidR="009B141C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Metodiky hodnocení výzkumných organizací poskytovatelů byly velmi odlišné, jak obsahem, tak formou a jejich soulad s M17+ byl velmi rozdílný, od vysokého souladu, přes dílčí soulad po závažný nesoulad. </w:t>
      </w:r>
      <w:r w:rsidR="009A2D4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C</w:t>
      </w:r>
      <w:r w:rsidR="00456504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elkem </w:t>
      </w:r>
      <w:r w:rsidR="00FE118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byl posouzen soulad </w:t>
      </w:r>
      <w:r w:rsidR="009A2D4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11 </w:t>
      </w:r>
      <w:r w:rsidR="00FE118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metodik s M17</w:t>
      </w:r>
      <w:r w:rsidR="002E5E2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+</w:t>
      </w:r>
      <w:r w:rsidR="009A2D4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. </w:t>
      </w:r>
    </w:p>
    <w:p w14:paraId="6130F467" w14:textId="3BE49DE1" w:rsidR="00876183" w:rsidRPr="00071283" w:rsidRDefault="002E5E2D" w:rsidP="00071283">
      <w:pPr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   Výsledné posouzení souladu metodik s M17+ bylo provedeno integrací </w:t>
      </w:r>
      <w:r w:rsidR="00876183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podle hodnot skalárního součinu relativního (Příloha č.1) a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slovního hodnocení odpovědí </w:t>
      </w:r>
      <w:r w:rsidR="00876183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posuzovatelů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z dotazníků </w:t>
      </w:r>
      <w:r w:rsidR="00876183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pro každou z posuzovaných metodik (Příloha č. 2). Podle výše souladu metodik s M17+ lze poskytovatele zařadit do tří kategorií</w:t>
      </w:r>
      <w:r w:rsid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(za </w:t>
      </w:r>
      <w:r w:rsidR="0011746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poskytovatelem je v závorce uvedena hodnota skalárního součinu relativního)</w:t>
      </w:r>
      <w:r w:rsidR="00876183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.</w:t>
      </w:r>
    </w:p>
    <w:p w14:paraId="0332D14B" w14:textId="4D5BFE3B" w:rsidR="00FE1189" w:rsidRPr="00071283" w:rsidRDefault="0011746E" w:rsidP="00071283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V</w:t>
      </w:r>
      <w:r w:rsidR="00876183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ysok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ý </w:t>
      </w:r>
      <w:r w:rsidR="00876183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soulad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měly </w:t>
      </w:r>
      <w:r w:rsidR="009A2D4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3</w:t>
      </w:r>
      <w:r w:rsidR="00A53F8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="001B76A8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resortní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metodiky</w:t>
      </w:r>
      <w:r w:rsidR="00A53F8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: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MZe</w:t>
      </w:r>
      <w:proofErr w:type="spellEnd"/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(</w:t>
      </w:r>
      <w:r w:rsidR="008A3ABB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87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)</w:t>
      </w:r>
      <w:r w:rsidR="009A2D4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,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MD (</w:t>
      </w:r>
      <w:r w:rsidR="008A3ABB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74 a 61)</w:t>
      </w:r>
      <w:r w:rsidR="009A2D4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a </w:t>
      </w:r>
      <w:r w:rsid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MŠMT (67 a </w:t>
      </w:r>
      <w:r w:rsidR="008A3ABB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65). </w:t>
      </w:r>
    </w:p>
    <w:p w14:paraId="7753B4A0" w14:textId="1F724C20" w:rsidR="0011746E" w:rsidRPr="00071283" w:rsidRDefault="0011746E" w:rsidP="00071283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Dílčí soulad (soulad v hlavních aspektech) měly </w:t>
      </w:r>
      <w:r w:rsidR="00A53F8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4 resortní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metodiky</w:t>
      </w:r>
      <w:r w:rsidR="00A53F8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: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MK (</w:t>
      </w:r>
      <w:r w:rsid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51 a 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64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), 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MZV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(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44 a 42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), </w:t>
      </w:r>
      <w:proofErr w:type="spellStart"/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MZd</w:t>
      </w:r>
      <w:proofErr w:type="spellEnd"/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(49 a 48), MO (</w:t>
      </w:r>
      <w:r w:rsidR="006F0D91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59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a 54).</w:t>
      </w:r>
    </w:p>
    <w:p w14:paraId="46CE25AC" w14:textId="41353FA3" w:rsidR="00A4141A" w:rsidRPr="00071283" w:rsidRDefault="00A4141A" w:rsidP="00071283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Závažný nesoulad měly </w:t>
      </w:r>
      <w:r w:rsidR="00A53F8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4 resortní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metodiky</w:t>
      </w:r>
      <w:r w:rsidR="00A53F8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: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MPO (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32 a 31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), MŽP (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28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), MPSV (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19 a 24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)</w:t>
      </w:r>
      <w:r w:rsidR="00903CC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,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MV (</w:t>
      </w:r>
      <w:r w:rsidR="006F0D91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56</w:t>
      </w:r>
      <w:r w:rsidR="000F312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a 32). </w:t>
      </w:r>
    </w:p>
    <w:p w14:paraId="66872ADF" w14:textId="45CF97B6" w:rsidR="00A4141A" w:rsidRPr="00071283" w:rsidRDefault="004F242E" w:rsidP="00071283">
      <w:pPr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       </w:t>
      </w:r>
      <w:r w:rsidR="001B76A8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Celkově tedy byl</w:t>
      </w:r>
      <w:r w:rsidR="00631488">
        <w:rPr>
          <w:rFonts w:ascii="Arial" w:hAnsi="Arial" w:cs="Arial"/>
          <w:color w:val="212121"/>
          <w:sz w:val="24"/>
          <w:szCs w:val="24"/>
          <w:shd w:val="clear" w:color="auto" w:fill="FFFFFF"/>
        </w:rPr>
        <w:t>y</w:t>
      </w:r>
      <w:r w:rsidR="001B76A8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posouzen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y</w:t>
      </w:r>
      <w:r w:rsidR="001B76A8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3</w:t>
      </w:r>
      <w:r w:rsidR="001B76A8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metodik</w:t>
      </w:r>
      <w:r w:rsidR="00631488">
        <w:rPr>
          <w:rFonts w:ascii="Arial" w:hAnsi="Arial" w:cs="Arial"/>
          <w:color w:val="212121"/>
          <w:sz w:val="24"/>
          <w:szCs w:val="24"/>
          <w:shd w:val="clear" w:color="auto" w:fill="FFFFFF"/>
        </w:rPr>
        <w:t>y</w:t>
      </w:r>
      <w:r w:rsidR="001B76A8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jako více či méně v souladu s M17+</w:t>
      </w:r>
      <w:r w:rsidR="00631488">
        <w:rPr>
          <w:rFonts w:ascii="Arial" w:hAnsi="Arial" w:cs="Arial"/>
          <w:color w:val="212121"/>
          <w:sz w:val="24"/>
          <w:szCs w:val="24"/>
          <w:shd w:val="clear" w:color="auto" w:fill="FFFFFF"/>
        </w:rPr>
        <w:t>, 4 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metodiky v dílčím souladu</w:t>
      </w:r>
      <w:r w:rsidR="001B76A8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a 4 metodiky v závažném nesouladu s M17+. </w:t>
      </w:r>
      <w:r w:rsidR="003129D5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</w:t>
      </w:r>
      <w:r w:rsidR="00903CC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etodiky dvou resortů (MO a MV) nebyly poskytnuty. Z poskytnutých materiálů bylo možné vyhodnotit soulad jen p</w:t>
      </w:r>
      <w:r w:rsidR="006F0D91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ro</w:t>
      </w:r>
      <w:r w:rsidR="00903CC2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některá kritéria. </w:t>
      </w:r>
      <w:r w:rsidR="003129D5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="00A53F8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Metodika MŠMT byla do kategorie „</w:t>
      </w:r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d</w:t>
      </w:r>
      <w:r w:rsidR="00A53F8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ílčí soulad“ za</w:t>
      </w:r>
      <w:r w:rsidR="00F545BA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řazena zejména proto, že byla připravena z metodiky vhodné pro vysoké školy a není proto vhodná pro specifika resortních výzkumných orga</w:t>
      </w:r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n</w:t>
      </w:r>
      <w:r w:rsidR="00F545BA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izací (po úpravě uvedených pasáží by byla zařazena do </w:t>
      </w:r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kategorie „vysoký soulad“</w:t>
      </w:r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)</w:t>
      </w:r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. Metodika </w:t>
      </w:r>
      <w:proofErr w:type="spellStart"/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MZd</w:t>
      </w:r>
      <w:proofErr w:type="spellEnd"/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byla do kategorie „závažný nesoulad“</w:t>
      </w:r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zařazena zejména proto, že používá „</w:t>
      </w:r>
      <w:proofErr w:type="spellStart"/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kafemlejnkovou</w:t>
      </w:r>
      <w:proofErr w:type="spellEnd"/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“</w:t>
      </w:r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metodu přímého přepočtu výsledků na body a následně na výši podpory DKR</w:t>
      </w:r>
      <w:r w:rsidR="003129D5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V</w:t>
      </w:r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O</w:t>
      </w:r>
      <w:r w:rsidR="00631488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a</w:t>
      </w:r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přes</w:t>
      </w:r>
      <w:r w:rsidR="00C5003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t</w:t>
      </w:r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ože se na </w:t>
      </w:r>
      <w:r w:rsidR="00C5003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moduly M1 až M5 odkazuje, využívá je pouze minimálně.</w:t>
      </w:r>
      <w:r w:rsidR="00AE291D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="00AE291D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Za příklady dobré praxe lze označit metodiky </w:t>
      </w:r>
      <w:proofErr w:type="spellStart"/>
      <w:r w:rsidR="00AE291D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MZe</w:t>
      </w:r>
      <w:proofErr w:type="spellEnd"/>
      <w:r w:rsidR="00AE291D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a MD. Za příklady špatné praxe lze označit metodiky MPO, MŽP, MPSV a </w:t>
      </w:r>
      <w:proofErr w:type="spellStart"/>
      <w:r w:rsidR="00AE291D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MZd</w:t>
      </w:r>
      <w:proofErr w:type="spellEnd"/>
      <w:r w:rsidR="00AE291D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</w:t>
      </w:r>
      <w:r w:rsidR="00C5003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Pozitivem pro všechny posuzované metodiky resortů je, že jsou v souladu, často ve vysokém souladu, s přílohou č. 1 M17+, která se týká DKR</w:t>
      </w:r>
      <w:r w:rsidR="003129D5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V</w:t>
      </w:r>
      <w:r w:rsidR="00D426C9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O a jeho hodnocení.</w:t>
      </w:r>
      <w:r w:rsidR="00C5003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</w:p>
    <w:p w14:paraId="49162CD6" w14:textId="77777777" w:rsidR="00367973" w:rsidRPr="00071283" w:rsidRDefault="00367973" w:rsidP="00071283">
      <w:pPr>
        <w:spacing w:after="120" w:line="240" w:lineRule="auto"/>
        <w:jc w:val="both"/>
        <w:rPr>
          <w:rFonts w:ascii="Arial" w:hAnsi="Arial" w:cs="Arial"/>
          <w:b/>
          <w:bCs/>
          <w:color w:val="212121"/>
          <w:sz w:val="24"/>
          <w:szCs w:val="24"/>
          <w:shd w:val="clear" w:color="auto" w:fill="FFFFFF"/>
        </w:rPr>
      </w:pPr>
    </w:p>
    <w:p w14:paraId="736AD062" w14:textId="4E08F7C5" w:rsidR="00367973" w:rsidRPr="00071283" w:rsidRDefault="00367973" w:rsidP="00071283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Hlavní zjištěné nedostatky v souladu resortních metodik s M17+</w:t>
      </w:r>
    </w:p>
    <w:p w14:paraId="63C924FA" w14:textId="4F9F7FDE" w:rsidR="00367973" w:rsidRPr="00071283" w:rsidRDefault="00367973" w:rsidP="00071283">
      <w:pPr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1. V metodikách některých poskytovatelů byly popsány pouze principy hodnocení z Přílohy č.</w:t>
      </w:r>
      <w:r w:rsidR="003B64A7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1 M17+ a nebyly tam zahrnuty žádné další principy hodnocení z jádra metodiky M17+, jako je hodnocení výsledků podle modulů M1 a M2 a podle kritérií v rámci modulů M3 až M5. Podle většinového názoru hodnotitelů je soulad takových metodik s M17+ nedostatečný. </w:t>
      </w:r>
    </w:p>
    <w:p w14:paraId="369C81E2" w14:textId="5915CCCC" w:rsidR="00367973" w:rsidRPr="00071283" w:rsidRDefault="00367973" w:rsidP="00071283">
      <w:pPr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2. Ve většině metodik poskytovatelů byl v metodice uveden 5</w:t>
      </w:r>
      <w:r w:rsidR="00C5003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-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letý cyklus hodnocení VO založený pouze na hodnocení plnění koncepce, cílů DKVRO (plnění plánu), což</w:t>
      </w:r>
      <w:r w:rsidR="003B64A7">
        <w:rPr>
          <w:rFonts w:ascii="Arial" w:hAnsi="Arial" w:cs="Arial"/>
          <w:color w:val="212121"/>
          <w:sz w:val="24"/>
          <w:szCs w:val="24"/>
          <w:shd w:val="clear" w:color="auto" w:fill="FFFFFF"/>
        </w:rPr>
        <w:t> 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není považováno za soulad s M17+. 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Ve většině metodik je diskrepance v časovém 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lastRenderedPageBreak/>
        <w:t>harmonogramu hodnocení DKR</w:t>
      </w:r>
      <w:r w:rsidR="003129D5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 po ukončení řešení a rokem hodnocení výzkumných organizací podle metodiky poskytovatele</w:t>
      </w:r>
      <w:r w:rsidR="003129D5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. </w:t>
      </w:r>
    </w:p>
    <w:p w14:paraId="2D2F86A1" w14:textId="44014819" w:rsidR="00367973" w:rsidRPr="00071283" w:rsidRDefault="00367973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3. V metodikách většiny poskytovatelů byl uveden 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5</w:t>
      </w:r>
      <w:r w:rsidR="00C5003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-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letý cyklus hodnocení výzkumných organizací, včetně vazby na stanovení institucionální podpory. V metodikách se uvádí rok 2023 jako rok hodnocení DKR</w:t>
      </w:r>
      <w:r w:rsidR="003129D5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 za období 2018 až 2022, ale současně se uvádí, že toto hodnocení se využije pro stanovení DKVRO na období 2023 až 2027. Pokud je uváděno období řešení nového DKR</w:t>
      </w:r>
      <w:r w:rsidR="003129D5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 2023 až 2027, pak je potřebné hodnotit výzkumné organizace podle metodiky poskytovatele v roce 2022, k tomuto roku mít metodiku v souladu s M17+ a hodnotit výsledky výzkumné organizace podle M1 a M2 a podle kritérií v rámci M3 až M5.</w:t>
      </w:r>
    </w:p>
    <w:p w14:paraId="134CABED" w14:textId="0CFFE158" w:rsidR="00367973" w:rsidRPr="00071283" w:rsidRDefault="00367973" w:rsidP="00071283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4.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Pouze někteří z poskytovatelů uvádějí v metodice 5</w:t>
      </w:r>
      <w:r w:rsidR="00C5003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-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letý cyklus hodnocení založený na hodnocení kritérií v rámci modulů M1 až M5, včetně hodnocení dosažených výsledků za předchozích 5 let.</w:t>
      </w:r>
    </w:p>
    <w:p w14:paraId="7F6C69FA" w14:textId="284470F5" w:rsidR="00367973" w:rsidRPr="00071283" w:rsidRDefault="00367973" w:rsidP="00071283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5. Obdobně je jen v některých metodikách poskytovatelů popsáno využití škálování VO pro stanovení výše institucionální podpory, pro roční aktualizaci výkonnostní složky, nebo pro stanovení institucionálních prostředků pro nové DKR</w:t>
      </w:r>
      <w:r w:rsidR="00FD3F26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V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O. Škálování výzkumných organizací podle hodnocení výsledků za 5</w:t>
      </w:r>
      <w:r w:rsidR="00C5003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-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leté období v rámci modulů M1 a M2 bude provedeno v roce 2022 z výsledků za období 2017 až 2021. Ve stejném termínu by měli </w:t>
      </w:r>
      <w:r w:rsidR="00FD3F26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poskytovatelé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podle svých metodik vyhodnotit plnění kritérií podle modulů M3 až M5. V metodikách většiny poskytovatelů není takový harmonogram uveden</w:t>
      </w:r>
      <w:r w:rsidR="00FD3F26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(M17+ umožňuje poskytovatelům upřesnit harmonogram hodnocení)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.</w:t>
      </w:r>
    </w:p>
    <w:p w14:paraId="661AB2D2" w14:textId="78CAF970" w:rsidR="00F06D3E" w:rsidRPr="00071283" w:rsidRDefault="00F06D3E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275A6B52" w14:textId="77777777" w:rsidR="008A61E0" w:rsidRPr="00071283" w:rsidRDefault="008A61E0" w:rsidP="00071283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Závěr:</w:t>
      </w:r>
    </w:p>
    <w:p w14:paraId="1DD023BE" w14:textId="4B1F1551" w:rsidR="00506870" w:rsidRPr="00071283" w:rsidRDefault="00D91E91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KHV navrhuje, aby posky</w:t>
      </w:r>
      <w:r w:rsidR="00631488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tovatelé v segmentu resortů byli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seznámeni s výsledky p</w:t>
      </w:r>
      <w:r w:rsidR="0050687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osuzování souladu metodik hodnocení výzkumných organizací s metodikou 17+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</w:t>
      </w:r>
      <w:r w:rsidRPr="0007128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KHV dále doporučuje, aby pro projednání informace v RVVI bylo poskytovatelů</w:t>
      </w:r>
      <w:r w:rsidR="008A61E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m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doporučen</w:t>
      </w:r>
      <w:r w:rsidR="008A61E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odstranit zjištěné nedostatky v souladu metodik s M17+ tak, aby </w:t>
      </w:r>
      <w:r w:rsidR="008A61E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podle aktualizovaných metodik mohly být výzkumné organizace hodnoceny v 5-letém cyklu, který je pro většinu poskytovatelů koncem roku 2022.</w:t>
      </w:r>
      <w:r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="0050687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14:paraId="4B8CB841" w14:textId="77777777" w:rsidR="00506870" w:rsidRPr="00071283" w:rsidRDefault="00506870" w:rsidP="0007128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339646D" w14:textId="4034B1D8" w:rsidR="00E95120" w:rsidRPr="00071283" w:rsidRDefault="008D0906" w:rsidP="00071283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71283">
        <w:rPr>
          <w:rFonts w:ascii="Arial" w:hAnsi="Arial" w:cs="Arial"/>
          <w:sz w:val="24"/>
          <w:szCs w:val="24"/>
        </w:rPr>
        <w:t xml:space="preserve">V Praze </w:t>
      </w:r>
      <w:r w:rsidR="00FD3F26" w:rsidRPr="00071283">
        <w:rPr>
          <w:rFonts w:ascii="Arial" w:hAnsi="Arial" w:cs="Arial"/>
          <w:sz w:val="24"/>
          <w:szCs w:val="24"/>
        </w:rPr>
        <w:t>4</w:t>
      </w:r>
      <w:r w:rsidRPr="00071283">
        <w:rPr>
          <w:rFonts w:ascii="Arial" w:hAnsi="Arial" w:cs="Arial"/>
          <w:sz w:val="24"/>
          <w:szCs w:val="24"/>
        </w:rPr>
        <w:t xml:space="preserve">. </w:t>
      </w:r>
      <w:r w:rsidR="00631488">
        <w:rPr>
          <w:rFonts w:ascii="Arial" w:hAnsi="Arial" w:cs="Arial"/>
          <w:sz w:val="24"/>
          <w:szCs w:val="24"/>
        </w:rPr>
        <w:t>dubna</w:t>
      </w:r>
      <w:r w:rsidRPr="00071283">
        <w:rPr>
          <w:rFonts w:ascii="Arial" w:hAnsi="Arial" w:cs="Arial"/>
          <w:sz w:val="24"/>
          <w:szCs w:val="24"/>
        </w:rPr>
        <w:t xml:space="preserve"> 2022 </w:t>
      </w:r>
      <w:r w:rsidR="00506870" w:rsidRPr="00071283">
        <w:rPr>
          <w:rFonts w:ascii="Arial" w:hAnsi="Arial" w:cs="Arial"/>
          <w:sz w:val="24"/>
          <w:szCs w:val="24"/>
        </w:rPr>
        <w:t xml:space="preserve"> - projednáno v KHV</w:t>
      </w:r>
    </w:p>
    <w:p w14:paraId="3EE69537" w14:textId="4B9C5B00" w:rsidR="008D0906" w:rsidRPr="00071283" w:rsidRDefault="008D0906" w:rsidP="00071283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485BDA87" w14:textId="2BD0B192" w:rsidR="00506870" w:rsidRPr="00071283" w:rsidRDefault="00506870" w:rsidP="00071283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71283">
        <w:rPr>
          <w:rFonts w:ascii="Arial" w:hAnsi="Arial" w:cs="Arial"/>
          <w:sz w:val="24"/>
          <w:szCs w:val="24"/>
        </w:rPr>
        <w:t>Nedílnou součástí této zprávy jsou Příloha č. 1 a Příloha č. 2.</w:t>
      </w:r>
    </w:p>
    <w:p w14:paraId="05998D48" w14:textId="073821ED" w:rsidR="001D7A41" w:rsidRPr="00071283" w:rsidRDefault="00E95120" w:rsidP="0007128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071283"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6EF286F7" w14:textId="50C375AC" w:rsidR="00FC6337" w:rsidRPr="00071283" w:rsidRDefault="00FC6337" w:rsidP="00071283">
      <w:pPr>
        <w:spacing w:after="120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b/>
          <w:bCs/>
          <w:color w:val="212121"/>
          <w:sz w:val="24"/>
          <w:szCs w:val="24"/>
          <w:shd w:val="clear" w:color="auto" w:fill="FFFFFF"/>
        </w:rPr>
        <w:t>Příloha č.1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Posouzení shody metodik </w:t>
      </w:r>
      <w:r w:rsidR="009018C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hodnocení výzkumných organizací resortů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s M17+</w:t>
      </w:r>
      <w:r w:rsidR="003D5FE4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metodou</w:t>
      </w:r>
      <w:r w:rsidR="003D5FE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QFD </w:t>
      </w:r>
      <w:r w:rsidR="009018C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(</w:t>
      </w:r>
      <w:r w:rsidR="003D5FE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souhrnná tabulka s</w:t>
      </w:r>
      <w:r w:rsidR="009018C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 </w:t>
      </w:r>
      <w:r w:rsidR="003D5FE4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legendou</w:t>
      </w:r>
      <w:r w:rsidR="009018C0" w:rsidRPr="0007128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)</w:t>
      </w:r>
    </w:p>
    <w:p w14:paraId="35BDC33C" w14:textId="77777777" w:rsidR="00631488" w:rsidRPr="001D296A" w:rsidRDefault="003D5FE4" w:rsidP="00631488">
      <w:pPr>
        <w:spacing w:after="120"/>
        <w:jc w:val="both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071283">
        <w:rPr>
          <w:rFonts w:ascii="Arial" w:hAnsi="Arial" w:cs="Arial"/>
          <w:b/>
          <w:bCs/>
          <w:color w:val="212121"/>
          <w:sz w:val="24"/>
          <w:szCs w:val="24"/>
          <w:shd w:val="clear" w:color="auto" w:fill="FFFFFF"/>
        </w:rPr>
        <w:t xml:space="preserve">Příloha č.2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Posouzení shody metodik </w:t>
      </w:r>
      <w:r w:rsidR="005D033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hodnocení výzkumných organizací resortů 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s M17 podle odpovědí posuzovatel</w:t>
      </w:r>
      <w:r w:rsidR="009018C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ů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na otázky (kritéria sh</w:t>
      </w:r>
      <w:r w:rsidR="009018C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ody</w:t>
      </w:r>
      <w:r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)</w:t>
      </w:r>
      <w:r w:rsidR="009018C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– vyplněné dotazníky za metodiky jednotlivých resortů (zaslané dotazníky b</w:t>
      </w:r>
      <w:r w:rsidR="004F242E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>yly</w:t>
      </w:r>
      <w:r w:rsidR="009018C0" w:rsidRPr="00071283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anonymizovány). </w:t>
      </w:r>
      <w:r w:rsidR="00631488" w:rsidRPr="001D296A">
        <w:rPr>
          <w:rFonts w:ascii="Arial" w:hAnsi="Arial" w:cs="Arial"/>
          <w:color w:val="212121"/>
          <w:sz w:val="24"/>
          <w:szCs w:val="24"/>
          <w:shd w:val="clear" w:color="auto" w:fill="FFFFFF"/>
        </w:rPr>
        <w:t>Za většinu metodik jsou přiloženy dotazníky dvou posuzovatelů, pou</w:t>
      </w:r>
      <w:r w:rsidR="00631488">
        <w:rPr>
          <w:rFonts w:ascii="Arial" w:hAnsi="Arial" w:cs="Arial"/>
          <w:color w:val="212121"/>
          <w:sz w:val="24"/>
          <w:szCs w:val="24"/>
          <w:shd w:val="clear" w:color="auto" w:fill="FFFFFF"/>
        </w:rPr>
        <w:t>ze v případě, že j</w:t>
      </w:r>
      <w:r w:rsidR="00631488" w:rsidRPr="001D296A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e posouzení </w:t>
      </w:r>
      <w:r w:rsidR="00631488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v </w:t>
      </w:r>
      <w:r w:rsidR="00631488" w:rsidRPr="001D296A">
        <w:rPr>
          <w:rFonts w:ascii="Arial" w:hAnsi="Arial" w:cs="Arial"/>
          <w:color w:val="212121"/>
          <w:sz w:val="24"/>
          <w:szCs w:val="24"/>
          <w:shd w:val="clear" w:color="auto" w:fill="FFFFFF"/>
        </w:rPr>
        <w:t>souladu od obou posuzovatelů shodné</w:t>
      </w:r>
      <w:r w:rsidR="00631488">
        <w:rPr>
          <w:rFonts w:ascii="Arial" w:hAnsi="Arial" w:cs="Arial"/>
          <w:color w:val="212121"/>
          <w:sz w:val="24"/>
          <w:szCs w:val="24"/>
          <w:shd w:val="clear" w:color="auto" w:fill="FFFFFF"/>
        </w:rPr>
        <w:t>,</w:t>
      </w:r>
      <w:r w:rsidR="00631488" w:rsidRPr="001D296A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je uveden pouze jeden vyplněný dotazník.   </w:t>
      </w:r>
    </w:p>
    <w:p w14:paraId="45408502" w14:textId="03D8F864" w:rsidR="003D5FE4" w:rsidRPr="00071283" w:rsidRDefault="003D5FE4" w:rsidP="00071283">
      <w:pPr>
        <w:spacing w:after="120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</w:p>
    <w:sectPr w:rsidR="003D5FE4" w:rsidRPr="00071283" w:rsidSect="00071283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502F4" w14:textId="77777777" w:rsidR="00071283" w:rsidRDefault="00071283" w:rsidP="00071283">
      <w:pPr>
        <w:spacing w:after="0" w:line="240" w:lineRule="auto"/>
      </w:pPr>
      <w:r>
        <w:separator/>
      </w:r>
    </w:p>
  </w:endnote>
  <w:endnote w:type="continuationSeparator" w:id="0">
    <w:p w14:paraId="31E07355" w14:textId="77777777" w:rsidR="00071283" w:rsidRDefault="00071283" w:rsidP="0007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C4802" w14:textId="77777777" w:rsidR="00071283" w:rsidRDefault="00071283" w:rsidP="00071283">
      <w:pPr>
        <w:spacing w:after="0" w:line="240" w:lineRule="auto"/>
      </w:pPr>
      <w:r>
        <w:separator/>
      </w:r>
    </w:p>
  </w:footnote>
  <w:footnote w:type="continuationSeparator" w:id="0">
    <w:p w14:paraId="665BF5A5" w14:textId="77777777" w:rsidR="00071283" w:rsidRDefault="00071283" w:rsidP="0007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071283" w14:paraId="579A7780" w14:textId="77777777" w:rsidTr="000712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71184BA9" w14:textId="28602E25" w:rsidR="00071283" w:rsidRPr="009758E5" w:rsidRDefault="00071283" w:rsidP="000712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63360" behindDoc="0" locked="0" layoutInCell="1" allowOverlap="1" wp14:anchorId="5BE745A9" wp14:editId="52684E4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="003B64A7">
            <w:rPr>
              <w:rFonts w:ascii="Arial" w:hAnsi="Arial" w:cs="Arial"/>
              <w:b/>
            </w:rPr>
            <w:t xml:space="preserve">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</w:tr>
  </w:tbl>
  <w:p w14:paraId="379132F6" w14:textId="77777777" w:rsidR="00071283" w:rsidRDefault="000712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071283" w14:paraId="686D4AA5" w14:textId="77777777" w:rsidTr="001B0E4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9403A96" w14:textId="4791AE5F" w:rsidR="00071283" w:rsidRPr="009758E5" w:rsidRDefault="00071283" w:rsidP="000712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61312" behindDoc="0" locked="0" layoutInCell="1" allowOverlap="1" wp14:anchorId="43D59088" wp14:editId="73167D2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="00077C9E">
            <w:rPr>
              <w:rFonts w:ascii="Arial" w:hAnsi="Arial" w:cs="Arial"/>
              <w:b/>
            </w:rPr>
            <w:t xml:space="preserve">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40145E2A" w14:textId="77777777" w:rsidR="00071283" w:rsidRPr="00C12F55" w:rsidRDefault="00071283" w:rsidP="0007128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378/A2 b</w:t>
          </w:r>
        </w:p>
      </w:tc>
    </w:tr>
  </w:tbl>
  <w:p w14:paraId="023589FD" w14:textId="77777777" w:rsidR="00071283" w:rsidRDefault="000712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A461F"/>
    <w:multiLevelType w:val="hybridMultilevel"/>
    <w:tmpl w:val="7F62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70DD1"/>
    <w:multiLevelType w:val="hybridMultilevel"/>
    <w:tmpl w:val="3296F6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B4579F"/>
    <w:multiLevelType w:val="hybridMultilevel"/>
    <w:tmpl w:val="AC56E4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60F7A"/>
    <w:multiLevelType w:val="hybridMultilevel"/>
    <w:tmpl w:val="52E6C2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5086A"/>
    <w:multiLevelType w:val="hybridMultilevel"/>
    <w:tmpl w:val="AC56E4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67FE3"/>
    <w:multiLevelType w:val="hybridMultilevel"/>
    <w:tmpl w:val="0AF81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D099F"/>
    <w:multiLevelType w:val="hybridMultilevel"/>
    <w:tmpl w:val="538488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15"/>
    <w:rsid w:val="0006352E"/>
    <w:rsid w:val="00065DEF"/>
    <w:rsid w:val="00071283"/>
    <w:rsid w:val="00077C9E"/>
    <w:rsid w:val="000F0E23"/>
    <w:rsid w:val="000F3129"/>
    <w:rsid w:val="0011746E"/>
    <w:rsid w:val="00133439"/>
    <w:rsid w:val="00186F90"/>
    <w:rsid w:val="001B76A8"/>
    <w:rsid w:val="001D7A41"/>
    <w:rsid w:val="00204466"/>
    <w:rsid w:val="002372BA"/>
    <w:rsid w:val="00284E04"/>
    <w:rsid w:val="00285E44"/>
    <w:rsid w:val="002970F7"/>
    <w:rsid w:val="002B286D"/>
    <w:rsid w:val="002C5125"/>
    <w:rsid w:val="002C658C"/>
    <w:rsid w:val="002E4E91"/>
    <w:rsid w:val="002E5E2D"/>
    <w:rsid w:val="003129D5"/>
    <w:rsid w:val="00341284"/>
    <w:rsid w:val="00367973"/>
    <w:rsid w:val="003B64A7"/>
    <w:rsid w:val="003D1234"/>
    <w:rsid w:val="003D5FE4"/>
    <w:rsid w:val="003D7071"/>
    <w:rsid w:val="004259E0"/>
    <w:rsid w:val="00456504"/>
    <w:rsid w:val="00466348"/>
    <w:rsid w:val="004A6366"/>
    <w:rsid w:val="004C5BAF"/>
    <w:rsid w:val="004E1F39"/>
    <w:rsid w:val="004F242E"/>
    <w:rsid w:val="00506870"/>
    <w:rsid w:val="0052486A"/>
    <w:rsid w:val="00543F90"/>
    <w:rsid w:val="00545300"/>
    <w:rsid w:val="00553B4E"/>
    <w:rsid w:val="00593F05"/>
    <w:rsid w:val="005A6822"/>
    <w:rsid w:val="005D033E"/>
    <w:rsid w:val="005E2F2E"/>
    <w:rsid w:val="00614B90"/>
    <w:rsid w:val="00631488"/>
    <w:rsid w:val="006544E6"/>
    <w:rsid w:val="006B7799"/>
    <w:rsid w:val="006D6F0B"/>
    <w:rsid w:val="006E7D9B"/>
    <w:rsid w:val="006F0D91"/>
    <w:rsid w:val="006F3AE0"/>
    <w:rsid w:val="007118A5"/>
    <w:rsid w:val="0073372E"/>
    <w:rsid w:val="007E2D12"/>
    <w:rsid w:val="00872059"/>
    <w:rsid w:val="00876183"/>
    <w:rsid w:val="00886DEC"/>
    <w:rsid w:val="008A3ABB"/>
    <w:rsid w:val="008A61E0"/>
    <w:rsid w:val="008B1607"/>
    <w:rsid w:val="008D0906"/>
    <w:rsid w:val="009018C0"/>
    <w:rsid w:val="00903CC2"/>
    <w:rsid w:val="0095495C"/>
    <w:rsid w:val="009751BD"/>
    <w:rsid w:val="009A2D42"/>
    <w:rsid w:val="009A6674"/>
    <w:rsid w:val="009B141C"/>
    <w:rsid w:val="00A16FBD"/>
    <w:rsid w:val="00A4141A"/>
    <w:rsid w:val="00A4338E"/>
    <w:rsid w:val="00A53F8E"/>
    <w:rsid w:val="00AE291D"/>
    <w:rsid w:val="00B27A31"/>
    <w:rsid w:val="00B32D34"/>
    <w:rsid w:val="00B55AF6"/>
    <w:rsid w:val="00BB3700"/>
    <w:rsid w:val="00BC2920"/>
    <w:rsid w:val="00BD4533"/>
    <w:rsid w:val="00C01C34"/>
    <w:rsid w:val="00C15393"/>
    <w:rsid w:val="00C15C15"/>
    <w:rsid w:val="00C34AB0"/>
    <w:rsid w:val="00C50030"/>
    <w:rsid w:val="00C51DFB"/>
    <w:rsid w:val="00C52143"/>
    <w:rsid w:val="00C72353"/>
    <w:rsid w:val="00CF1E3C"/>
    <w:rsid w:val="00D05589"/>
    <w:rsid w:val="00D23518"/>
    <w:rsid w:val="00D426C9"/>
    <w:rsid w:val="00D5580E"/>
    <w:rsid w:val="00D71139"/>
    <w:rsid w:val="00D81A15"/>
    <w:rsid w:val="00D91758"/>
    <w:rsid w:val="00D91E91"/>
    <w:rsid w:val="00E15907"/>
    <w:rsid w:val="00E34F1D"/>
    <w:rsid w:val="00E93BA4"/>
    <w:rsid w:val="00E95120"/>
    <w:rsid w:val="00EB0689"/>
    <w:rsid w:val="00F06D3E"/>
    <w:rsid w:val="00F31B0E"/>
    <w:rsid w:val="00F545BA"/>
    <w:rsid w:val="00F56348"/>
    <w:rsid w:val="00F6158E"/>
    <w:rsid w:val="00FC55D4"/>
    <w:rsid w:val="00FC6337"/>
    <w:rsid w:val="00FD3F26"/>
    <w:rsid w:val="00FE1189"/>
    <w:rsid w:val="00FF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3BF09"/>
  <w15:chartTrackingRefBased/>
  <w15:docId w15:val="{E71C64B6-472E-42BF-BCA7-1E0D2F81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7118A5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118A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D7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70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70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0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07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7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1283"/>
  </w:style>
  <w:style w:type="paragraph" w:styleId="Zpat">
    <w:name w:val="footer"/>
    <w:basedOn w:val="Normln"/>
    <w:link w:val="ZpatChar"/>
    <w:uiPriority w:val="99"/>
    <w:unhideWhenUsed/>
    <w:rsid w:val="0007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1283"/>
  </w:style>
  <w:style w:type="table" w:styleId="Mkatabulky">
    <w:name w:val="Table Grid"/>
    <w:basedOn w:val="Normlntabulka"/>
    <w:uiPriority w:val="59"/>
    <w:rsid w:val="00071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F4709-8A53-4B0D-9C6C-CB54507B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1234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Kocourek</dc:creator>
  <cp:keywords/>
  <dc:description/>
  <cp:lastModifiedBy>Avakian Markéta</cp:lastModifiedBy>
  <cp:revision>3</cp:revision>
  <cp:lastPrinted>2022-04-01T07:46:00Z</cp:lastPrinted>
  <dcterms:created xsi:type="dcterms:W3CDTF">2022-04-12T10:21:00Z</dcterms:created>
  <dcterms:modified xsi:type="dcterms:W3CDTF">2022-04-12T12:09:00Z</dcterms:modified>
</cp:coreProperties>
</file>