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112A51">
        <w:trPr>
          <w:trHeight w:val="1671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75958" w:rsidP="00112A51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12A51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VaVaI</w:t>
            </w:r>
            <w:proofErr w:type="spellEnd"/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na rok 202</w:t>
            </w:r>
            <w:r w:rsidR="00376A11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3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s</w:t>
            </w:r>
            <w:r w:rsidR="00112A51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e střednědobým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výhledem na léta 202</w:t>
            </w:r>
            <w:r w:rsidR="00376A11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4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a 202</w:t>
            </w:r>
            <w:r w:rsidR="00376A11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5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</w:t>
            </w:r>
            <w:r w:rsidR="00112A51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a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dlouhodobým výhledem do roku 202</w:t>
            </w:r>
            <w:r w:rsidR="00376A11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9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“</w:t>
            </w:r>
            <w:r w:rsidR="00B7293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vypořádání </w:t>
            </w:r>
            <w:r w:rsidR="00FD257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mezirezortního </w:t>
            </w:r>
            <w:r w:rsidR="00B72932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připomínkového řízení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A922B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6A1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514DC8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922B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376A1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>d</w:t>
            </w:r>
            <w:r w:rsidR="00376A11">
              <w:rPr>
                <w:rFonts w:ascii="Arial" w:hAnsi="Arial" w:cs="Arial"/>
                <w:bCs/>
                <w:i/>
                <w:sz w:val="22"/>
                <w:szCs w:val="22"/>
              </w:rPr>
              <w:t>r</w:t>
            </w: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. </w:t>
            </w:r>
            <w:r w:rsidR="00376A11">
              <w:rPr>
                <w:rFonts w:ascii="Arial" w:hAnsi="Arial" w:cs="Arial"/>
                <w:bCs/>
                <w:i/>
                <w:sz w:val="22"/>
                <w:szCs w:val="22"/>
              </w:rPr>
              <w:t>Baran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76A11" w:rsidP="00514DC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Filip, Ing. Špičková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12A51">
              <w:rPr>
                <w:rFonts w:ascii="Arial" w:hAnsi="Arial" w:cs="Arial"/>
                <w:i/>
                <w:sz w:val="22"/>
                <w:szCs w:val="22"/>
              </w:rPr>
              <w:t xml:space="preserve">Odbor VVI, </w:t>
            </w:r>
            <w:r w:rsidR="00514DC8">
              <w:rPr>
                <w:rFonts w:ascii="Arial" w:hAnsi="Arial" w:cs="Arial"/>
                <w:i/>
                <w:sz w:val="22"/>
                <w:szCs w:val="22"/>
              </w:rPr>
              <w:t>květ</w:t>
            </w:r>
            <w:r>
              <w:rPr>
                <w:rFonts w:ascii="Arial" w:hAnsi="Arial" w:cs="Arial"/>
                <w:i/>
                <w:sz w:val="22"/>
                <w:szCs w:val="22"/>
              </w:rPr>
              <w:t>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B459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B4596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1349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8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8E23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362C">
              <w:rPr>
                <w:rFonts w:ascii="Arial" w:hAnsi="Arial" w:cs="Arial"/>
                <w:sz w:val="22"/>
                <w:szCs w:val="22"/>
              </w:rPr>
              <w:t xml:space="preserve">návrh střednědobého výhledu </w:t>
            </w:r>
            <w:r w:rsidRPr="008E23A9">
              <w:rPr>
                <w:rFonts w:ascii="Arial" w:hAnsi="Arial" w:cs="Arial"/>
                <w:sz w:val="22"/>
                <w:szCs w:val="22"/>
              </w:rPr>
              <w:t>podpory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>inovací a návrh výše celkových výdajů na výzkum, vývoj a inovace jednotlivých rozpočtových kapitol a návrh jejich rozdělení.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8C64C4" w:rsidRPr="00721FBB">
              <w:rPr>
                <w:rFonts w:ascii="Arial" w:hAnsi="Arial" w:cs="Arial"/>
                <w:sz w:val="22"/>
                <w:szCs w:val="22"/>
              </w:rPr>
              <w:t xml:space="preserve">ermín předložení návrhu rozpočtu na </w:t>
            </w:r>
            <w:proofErr w:type="spellStart"/>
            <w:r w:rsidR="008C64C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C64C4" w:rsidRPr="00721F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vládě je </w:t>
            </w:r>
            <w:r w:rsidR="008C64C4" w:rsidRPr="00721FBB"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§ 5a odst. 5 </w:t>
            </w:r>
            <w:r w:rsidR="008C64C4" w:rsidRPr="00721FBB">
              <w:rPr>
                <w:rFonts w:ascii="Arial" w:hAnsi="Arial" w:cs="Arial"/>
                <w:sz w:val="22"/>
                <w:szCs w:val="22"/>
              </w:rPr>
              <w:t>zákona č. 130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/2002 Sb. </w:t>
            </w:r>
            <w:r w:rsidR="008C64C4" w:rsidRPr="008C64C4">
              <w:rPr>
                <w:rFonts w:ascii="Arial" w:hAnsi="Arial" w:cs="Arial"/>
                <w:b/>
                <w:sz w:val="22"/>
                <w:szCs w:val="22"/>
              </w:rPr>
              <w:t>do 31. května 202</w:t>
            </w:r>
            <w:r w:rsidR="00376A1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64C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A4223" w:rsidRDefault="00DB38A2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mimořádném zasedání Rady dne 12. dubna 2022 byl schválen 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 w:rsidR="00001349"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3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001349">
              <w:rPr>
                <w:rFonts w:ascii="Arial" w:hAnsi="Arial" w:cs="Arial"/>
                <w:sz w:val="22"/>
                <w:szCs w:val="22"/>
              </w:rPr>
              <w:t>e střednědobým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 w:rsidR="00001349"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4</w:t>
            </w:r>
            <w:r w:rsidR="00001349"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376A11">
              <w:rPr>
                <w:rFonts w:ascii="Arial" w:hAnsi="Arial" w:cs="Arial"/>
                <w:sz w:val="22"/>
                <w:szCs w:val="22"/>
              </w:rPr>
              <w:t>5</w:t>
            </w:r>
            <w:r w:rsidR="00001349"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="00001349"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9</w:t>
            </w:r>
            <w:r w:rsidR="00001349" w:rsidRPr="008E23A9">
              <w:rPr>
                <w:rFonts w:ascii="Arial" w:hAnsi="Arial" w:cs="Arial"/>
                <w:sz w:val="22"/>
                <w:szCs w:val="22"/>
              </w:rPr>
              <w:t>“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  a Rada požádala svoji předsedkyni o předložení materiálu do mezirezortního připomínkového řízení (dále jen „MPŘ“). </w:t>
            </w:r>
          </w:p>
          <w:p w:rsidR="001A497A" w:rsidRDefault="005A4223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 ohledem na aktuální situaci ve státním rozpočtu i aktuální události bylo p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ro rok 2023 </w:t>
            </w:r>
            <w:r w:rsidR="001A497A">
              <w:rPr>
                <w:rFonts w:ascii="Arial" w:hAnsi="Arial" w:cs="Arial"/>
                <w:sz w:val="22"/>
                <w:szCs w:val="22"/>
              </w:rPr>
              <w:t>navrže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no ponechat výši výdajů na </w:t>
            </w:r>
            <w:proofErr w:type="spellStart"/>
            <w:r w:rsidR="00161AF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61A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1AF6" w:rsidRPr="00760880">
              <w:rPr>
                <w:rFonts w:ascii="Arial" w:hAnsi="Arial" w:cs="Arial"/>
                <w:sz w:val="22"/>
                <w:szCs w:val="22"/>
              </w:rPr>
              <w:t>ve výši střednědobého výhledu na rok 2023 schváleného usnesením vlády č. 911/2021, ve znění promítnutých úsporných opatření v rámci návrhu státního rozpočtu na rok 2022, který byl schválen usnesením vlády ze dne 9. února 2022 č. 80 (po úpravách ve státní pokladně</w:t>
            </w:r>
            <w:r>
              <w:rPr>
                <w:rFonts w:ascii="Arial" w:hAnsi="Arial" w:cs="Arial"/>
                <w:sz w:val="22"/>
                <w:szCs w:val="22"/>
              </w:rPr>
              <w:t>, tj. celkem 39 323 893,2 tis. Kč</w:t>
            </w:r>
            <w:r w:rsidR="00161AF6" w:rsidRPr="00760880">
              <w:rPr>
                <w:rFonts w:ascii="Arial" w:hAnsi="Arial" w:cs="Arial"/>
                <w:sz w:val="22"/>
                <w:szCs w:val="22"/>
              </w:rPr>
              <w:t>)</w:t>
            </w:r>
            <w:r w:rsidR="00161AF6">
              <w:rPr>
                <w:rFonts w:ascii="Arial" w:hAnsi="Arial" w:cs="Arial"/>
                <w:sz w:val="22"/>
                <w:szCs w:val="22"/>
              </w:rPr>
              <w:t>, nicméně s úpravami spočívajícími v </w:t>
            </w:r>
            <w:r w:rsidR="00161AF6" w:rsidRPr="004B314C">
              <w:rPr>
                <w:rFonts w:ascii="Arial" w:hAnsi="Arial" w:cs="Arial"/>
                <w:sz w:val="22"/>
                <w:szCs w:val="22"/>
              </w:rPr>
              <w:t>přesunech výdajů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 mezi rozpočtovými kapitolami </w:t>
            </w:r>
            <w:r w:rsidR="004B314C">
              <w:rPr>
                <w:rFonts w:ascii="Arial" w:hAnsi="Arial" w:cs="Arial"/>
                <w:sz w:val="22"/>
                <w:szCs w:val="22"/>
              </w:rPr>
              <w:t xml:space="preserve">(snížení o 10 mil. Kč u MPSV, 15 mil. Kč u </w:t>
            </w:r>
            <w:proofErr w:type="spellStart"/>
            <w:r w:rsidR="004B314C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 w:rsidR="004B314C">
              <w:rPr>
                <w:rFonts w:ascii="Arial" w:hAnsi="Arial" w:cs="Arial"/>
                <w:sz w:val="22"/>
                <w:szCs w:val="22"/>
              </w:rPr>
              <w:t xml:space="preserve">, 20 mil. Kč u MŠMT, 5 mil. Kč u MK, 15 mil. Kč u AV ČR, 15 mil. Kč u GA ČR a 20 mil. Kč u MPO) 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ve snaze najít zdroje pro program ERC CZ </w:t>
            </w:r>
            <w:r w:rsidR="004B314C">
              <w:rPr>
                <w:rFonts w:ascii="Arial" w:hAnsi="Arial" w:cs="Arial"/>
                <w:sz w:val="22"/>
                <w:szCs w:val="22"/>
              </w:rPr>
              <w:t xml:space="preserve">(navýšení o 50 mil. Kč) 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a nový program SIGMA </w:t>
            </w:r>
            <w:r w:rsidR="004B314C">
              <w:rPr>
                <w:rFonts w:ascii="Arial" w:hAnsi="Arial" w:cs="Arial"/>
                <w:sz w:val="22"/>
                <w:szCs w:val="22"/>
              </w:rPr>
              <w:t>(nová alokace 50 mil. Kč s tím, že TA ČR přislíbila převést na program dalších 100 mil. Kč z NNV v r. 2023</w:t>
            </w:r>
            <w:bookmarkStart w:id="0" w:name="_GoBack"/>
            <w:bookmarkEnd w:id="0"/>
            <w:r w:rsidR="004B314C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161AF6">
              <w:rPr>
                <w:rFonts w:ascii="Arial" w:hAnsi="Arial" w:cs="Arial"/>
                <w:sz w:val="22"/>
                <w:szCs w:val="22"/>
              </w:rPr>
              <w:t>v rámci platného střednědobého výhledu</w:t>
            </w:r>
            <w:r>
              <w:rPr>
                <w:rFonts w:ascii="Arial" w:hAnsi="Arial" w:cs="Arial"/>
                <w:sz w:val="22"/>
                <w:szCs w:val="22"/>
              </w:rPr>
              <w:t xml:space="preserve"> a alespoň částečně tak uspokojit priority Rady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B314C">
              <w:rPr>
                <w:rFonts w:ascii="Arial" w:hAnsi="Arial" w:cs="Arial"/>
                <w:sz w:val="22"/>
                <w:szCs w:val="22"/>
              </w:rPr>
              <w:t xml:space="preserve">Dále se dohodlo MPO a TA ČR na přesunu 140 mil. Kč z MPO na rezortní program TREND administrovaný TA ČR. </w:t>
            </w:r>
            <w:r w:rsidR="001A497A">
              <w:rPr>
                <w:rFonts w:ascii="Arial" w:hAnsi="Arial" w:cs="Arial"/>
                <w:sz w:val="22"/>
                <w:szCs w:val="22"/>
              </w:rPr>
              <w:t>C</w:t>
            </w:r>
            <w:r w:rsidR="00161AF6" w:rsidRPr="00760880">
              <w:rPr>
                <w:rFonts w:ascii="Arial" w:hAnsi="Arial" w:cs="Arial"/>
                <w:sz w:val="22"/>
                <w:szCs w:val="22"/>
              </w:rPr>
              <w:t xml:space="preserve">elkový objem financování </w:t>
            </w:r>
            <w:r w:rsidR="001A497A">
              <w:rPr>
                <w:rFonts w:ascii="Arial" w:hAnsi="Arial" w:cs="Arial"/>
                <w:sz w:val="22"/>
                <w:szCs w:val="22"/>
              </w:rPr>
              <w:t>byl</w:t>
            </w:r>
            <w:r w:rsidR="00161AF6" w:rsidRPr="00760880">
              <w:rPr>
                <w:rFonts w:ascii="Arial" w:hAnsi="Arial" w:cs="Arial"/>
                <w:sz w:val="22"/>
                <w:szCs w:val="22"/>
              </w:rPr>
              <w:t xml:space="preserve"> tak navržen o 249,8 mil. Kč vyšší, než výdaje roku 2022 dle zákona</w:t>
            </w:r>
            <w:r w:rsidR="00161AF6">
              <w:rPr>
                <w:rFonts w:ascii="Arial" w:hAnsi="Arial" w:cs="Arial"/>
                <w:sz w:val="22"/>
                <w:szCs w:val="22"/>
              </w:rPr>
              <w:t xml:space="preserve"> č. 57/2022 o státním rozpočtu ČR.</w:t>
            </w:r>
          </w:p>
          <w:p w:rsidR="001A497A" w:rsidRDefault="001A497A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Výdaje na rok 2024 byly navrženy o 4 118,2 mil. Kč vyšší, než výdaje pro rok 2023 a o 4 106,3 mil. Kč vyšší, než </w:t>
            </w:r>
            <w:r w:rsidRPr="00731BC8">
              <w:rPr>
                <w:rFonts w:ascii="Arial" w:hAnsi="Arial" w:cs="Arial"/>
                <w:sz w:val="22"/>
                <w:szCs w:val="22"/>
              </w:rPr>
              <w:t>platný střednědobý výhled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731BC8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31BC8">
              <w:rPr>
                <w:rFonts w:ascii="Arial" w:hAnsi="Arial" w:cs="Arial"/>
                <w:sz w:val="22"/>
                <w:szCs w:val="22"/>
              </w:rPr>
              <w:t xml:space="preserve"> navrh</w:t>
            </w:r>
            <w:r>
              <w:rPr>
                <w:rFonts w:ascii="Arial" w:hAnsi="Arial" w:cs="Arial"/>
                <w:sz w:val="22"/>
                <w:szCs w:val="22"/>
              </w:rPr>
              <w:t>la</w:t>
            </w:r>
            <w:r w:rsidRPr="00731BC8">
              <w:rPr>
                <w:rFonts w:ascii="Arial" w:hAnsi="Arial" w:cs="Arial"/>
                <w:sz w:val="22"/>
                <w:szCs w:val="22"/>
              </w:rPr>
              <w:t xml:space="preserve"> Rada navýšení výdajů o </w:t>
            </w:r>
            <w:r>
              <w:rPr>
                <w:rFonts w:ascii="Arial" w:hAnsi="Arial" w:cs="Arial"/>
                <w:sz w:val="22"/>
                <w:szCs w:val="22"/>
              </w:rPr>
              <w:t>1 779,9</w:t>
            </w:r>
            <w:r w:rsidRPr="00731BC8">
              <w:rPr>
                <w:rFonts w:ascii="Arial" w:hAnsi="Arial" w:cs="Arial"/>
                <w:sz w:val="22"/>
                <w:szCs w:val="22"/>
              </w:rPr>
              <w:t xml:space="preserve"> mil. Kč oproti </w:t>
            </w:r>
            <w:r>
              <w:rPr>
                <w:rFonts w:ascii="Arial" w:hAnsi="Arial" w:cs="Arial"/>
                <w:sz w:val="22"/>
                <w:szCs w:val="22"/>
              </w:rPr>
              <w:t>návrhu výdajů na rok 2024</w:t>
            </w:r>
            <w:r w:rsidRPr="00731BC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5102BC">
              <w:rPr>
                <w:rFonts w:ascii="Arial" w:hAnsi="Arial" w:cs="Arial"/>
                <w:sz w:val="22"/>
                <w:szCs w:val="22"/>
              </w:rPr>
              <w:t>V rámci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jednání s jednotlivými kapitolami byly zapojeny veškeré NNV ke krytí</w:t>
            </w:r>
            <w:r w:rsidRPr="00AD4B54">
              <w:rPr>
                <w:rFonts w:ascii="Arial" w:hAnsi="Arial" w:cs="Arial"/>
                <w:sz w:val="22"/>
                <w:szCs w:val="22"/>
              </w:rPr>
              <w:t xml:space="preserve"> nadpožadavků.</w:t>
            </w:r>
          </w:p>
          <w:p w:rsidR="001A497A" w:rsidRDefault="001A497A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Připomínky vznesené jednotlivými připomínkovými místy a jejich vypořádání jsou uvedeny v příloze IV Vypořádání připomínkového řízení, která je součástí </w:t>
            </w:r>
            <w:r w:rsidR="00E94337">
              <w:rPr>
                <w:rFonts w:ascii="Arial" w:hAnsi="Arial" w:cs="Arial"/>
                <w:sz w:val="22"/>
                <w:szCs w:val="22"/>
              </w:rPr>
              <w:t xml:space="preserve">předkládaného materiálu pro jednání vlády (viz příloha). </w:t>
            </w:r>
            <w:r w:rsidR="00EF4480">
              <w:rPr>
                <w:rFonts w:ascii="Arial" w:hAnsi="Arial" w:cs="Arial"/>
                <w:sz w:val="22"/>
                <w:szCs w:val="22"/>
              </w:rPr>
              <w:t xml:space="preserve">Většina připomínek se týkala uvedených přesunů v návrhu výdajů na rok 2023, MF dále vyjádřilo nesouhlas s návrhem střednědobých výdajů na rok 2024 a 2025. </w:t>
            </w:r>
          </w:p>
          <w:p w:rsidR="00E94337" w:rsidRDefault="00E94337" w:rsidP="00E943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Dne 28. dubna 2022 proběhlo vypořádání připomínek s jednotlivými připomínkovými místy formou v</w:t>
            </w:r>
            <w:r w:rsidRPr="00FC4429">
              <w:rPr>
                <w:rFonts w:ascii="Arial" w:hAnsi="Arial" w:cs="Arial"/>
                <w:sz w:val="22"/>
                <w:szCs w:val="22"/>
              </w:rPr>
              <w:t>ideokonference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922B0">
              <w:rPr>
                <w:rFonts w:ascii="Arial" w:hAnsi="Arial" w:cs="Arial"/>
                <w:sz w:val="22"/>
                <w:szCs w:val="22"/>
              </w:rPr>
              <w:t xml:space="preserve">V případě </w:t>
            </w:r>
            <w:r w:rsidRPr="00437E69">
              <w:rPr>
                <w:rFonts w:ascii="Arial" w:hAnsi="Arial" w:cs="Arial"/>
                <w:sz w:val="22"/>
                <w:szCs w:val="22"/>
              </w:rPr>
              <w:t>rozporů návazně proběhla jednání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na úrovni předsednictva Rady s příslušnými náměstky ministrů MF, MK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F4480" w:rsidRPr="0012078C" w:rsidRDefault="00A14E98" w:rsidP="00E943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návaznosti na dodatečně vznesený požadavek Ministerstva obrany (dále jen „MO“) na řešení vrácení 215 mil. Kč do rozpočtu MO do konce roku 2023, které </w:t>
            </w:r>
            <w:r w:rsidR="00C33CBA">
              <w:rPr>
                <w:rFonts w:ascii="Arial" w:hAnsi="Arial" w:cs="Arial"/>
                <w:sz w:val="22"/>
                <w:szCs w:val="22"/>
              </w:rPr>
              <w:t xml:space="preserve">MO </w:t>
            </w:r>
            <w:r>
              <w:rPr>
                <w:rFonts w:ascii="Arial" w:hAnsi="Arial" w:cs="Arial"/>
                <w:sz w:val="22"/>
                <w:szCs w:val="22"/>
              </w:rPr>
              <w:t>poskytl</w:t>
            </w:r>
            <w:r w:rsidR="00C33CBA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 koncem roku 2021 </w:t>
            </w:r>
            <w:r w:rsidR="00913E5C">
              <w:rPr>
                <w:rFonts w:ascii="Arial" w:hAnsi="Arial" w:cs="Arial"/>
                <w:sz w:val="22"/>
                <w:szCs w:val="22"/>
              </w:rPr>
              <w:t>kapitol</w:t>
            </w:r>
            <w:r w:rsidR="00C33CBA">
              <w:rPr>
                <w:rFonts w:ascii="Arial" w:hAnsi="Arial" w:cs="Arial"/>
                <w:sz w:val="22"/>
                <w:szCs w:val="22"/>
              </w:rPr>
              <w:t>e</w:t>
            </w:r>
            <w:r w:rsidR="00913E5C">
              <w:rPr>
                <w:rFonts w:ascii="Arial" w:hAnsi="Arial" w:cs="Arial"/>
                <w:sz w:val="22"/>
                <w:szCs w:val="22"/>
              </w:rPr>
              <w:t xml:space="preserve"> Technologické agentury (na 5. veřejnou soutěž programu TREND) </w:t>
            </w:r>
            <w:r>
              <w:rPr>
                <w:rFonts w:ascii="Arial" w:hAnsi="Arial" w:cs="Arial"/>
                <w:sz w:val="22"/>
                <w:szCs w:val="22"/>
              </w:rPr>
              <w:t xml:space="preserve">k dočasnému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řešení financování části komponenty 5.2 Národního plánu obnovy, bylo na jednání předsednictva Rady dne 12. května 2022 odsouhlaseno navýšit výdaje MO navrhované pro rok 2024 o 215 mil. Kč a navýšit tak i celkový objem výdajů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navrhovaný pro rok 2024 o uvedenou částku.</w:t>
            </w:r>
          </w:p>
          <w:p w:rsidR="00001349" w:rsidRPr="008E23A9" w:rsidRDefault="008B4CE0" w:rsidP="00001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4CE0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001349" w:rsidRPr="008E23A9">
              <w:rPr>
                <w:rFonts w:ascii="Arial" w:hAnsi="Arial" w:cs="Arial"/>
                <w:b/>
                <w:sz w:val="22"/>
                <w:szCs w:val="22"/>
              </w:rPr>
              <w:t xml:space="preserve">elkové objemy výdajů </w:t>
            </w:r>
            <w:r w:rsidR="00D33C3F">
              <w:rPr>
                <w:rFonts w:ascii="Arial" w:hAnsi="Arial" w:cs="Arial"/>
                <w:b/>
                <w:sz w:val="22"/>
                <w:szCs w:val="22"/>
              </w:rPr>
              <w:t xml:space="preserve">jsou </w:t>
            </w:r>
            <w:r w:rsidR="00001349" w:rsidRPr="008E23A9">
              <w:rPr>
                <w:rFonts w:ascii="Arial" w:hAnsi="Arial" w:cs="Arial"/>
                <w:b/>
                <w:sz w:val="22"/>
                <w:szCs w:val="22"/>
              </w:rPr>
              <w:t>navrženy takto:</w:t>
            </w:r>
          </w:p>
          <w:p w:rsidR="00001349" w:rsidRPr="00796D9C" w:rsidRDefault="00001349" w:rsidP="00796D9C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6D9C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376A11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celkem 3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D33C3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D33C3F">
              <w:rPr>
                <w:rFonts w:ascii="Arial" w:hAnsi="Arial" w:cs="Arial"/>
                <w:b/>
                <w:sz w:val="22"/>
                <w:szCs w:val="22"/>
              </w:rPr>
              <w:t> 893,2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001349" w:rsidRPr="00796D9C" w:rsidRDefault="00001349" w:rsidP="00796D9C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6D9C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376A11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D33C3F">
              <w:rPr>
                <w:rFonts w:ascii="Arial" w:hAnsi="Arial" w:cs="Arial"/>
                <w:b/>
                <w:sz w:val="22"/>
                <w:szCs w:val="22"/>
              </w:rPr>
              <w:t>43 </w:t>
            </w:r>
            <w:r w:rsidR="00FA5E05">
              <w:rPr>
                <w:rFonts w:ascii="Arial" w:hAnsi="Arial" w:cs="Arial"/>
                <w:b/>
                <w:sz w:val="22"/>
                <w:szCs w:val="22"/>
              </w:rPr>
              <w:t>657</w:t>
            </w:r>
            <w:r w:rsidR="00D33C3F">
              <w:rPr>
                <w:rFonts w:ascii="Arial" w:hAnsi="Arial" w:cs="Arial"/>
                <w:b/>
                <w:sz w:val="22"/>
                <w:szCs w:val="22"/>
              </w:rPr>
              <w:t> 052,</w:t>
            </w:r>
            <w:r w:rsidR="00183EB7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001349" w:rsidRPr="00796D9C" w:rsidRDefault="00001349" w:rsidP="00796D9C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6D9C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376A11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D33C3F">
              <w:rPr>
                <w:rFonts w:ascii="Arial" w:hAnsi="Arial" w:cs="Arial"/>
                <w:b/>
                <w:sz w:val="22"/>
                <w:szCs w:val="22"/>
              </w:rPr>
              <w:t>45 221 969,</w:t>
            </w:r>
            <w:r w:rsidR="00183EB7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C66EAC">
              <w:rPr>
                <w:rFonts w:ascii="Arial" w:hAnsi="Arial" w:cs="Arial"/>
                <w:b/>
                <w:sz w:val="22"/>
                <w:szCs w:val="22"/>
              </w:rPr>
              <w:t xml:space="preserve"> tis. Kč.</w:t>
            </w:r>
          </w:p>
          <w:p w:rsidR="002D743C" w:rsidRDefault="00001349" w:rsidP="002D743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předložen kompletní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materiál </w:t>
            </w:r>
            <w:r>
              <w:rPr>
                <w:rFonts w:ascii="Arial" w:hAnsi="Arial" w:cs="Arial"/>
                <w:sz w:val="22"/>
                <w:szCs w:val="22"/>
              </w:rPr>
              <w:t xml:space="preserve">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3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4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376A11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</w:t>
            </w:r>
            <w:r w:rsidRPr="00F07D14">
              <w:rPr>
                <w:rFonts w:ascii="Arial" w:hAnsi="Arial" w:cs="Arial"/>
                <w:sz w:val="22"/>
                <w:szCs w:val="22"/>
              </w:rPr>
              <w:t>02</w:t>
            </w:r>
            <w:r w:rsidR="00376A11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52B39">
              <w:rPr>
                <w:rFonts w:ascii="Arial" w:hAnsi="Arial" w:cs="Arial"/>
                <w:sz w:val="22"/>
                <w:szCs w:val="22"/>
              </w:rPr>
              <w:t xml:space="preserve">(odpovídající </w:t>
            </w:r>
            <w:r w:rsidR="002D743C">
              <w:rPr>
                <w:rFonts w:ascii="Arial" w:hAnsi="Arial" w:cs="Arial"/>
                <w:sz w:val="22"/>
                <w:szCs w:val="22"/>
              </w:rPr>
              <w:t>upravenému návrhu Rady) po zapracování vypořádání připomínek z mezirezortního připomínkového řízení.</w:t>
            </w:r>
          </w:p>
          <w:p w:rsidR="002D743C" w:rsidRPr="00437E69" w:rsidRDefault="002D743C" w:rsidP="002D743C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2078C">
              <w:rPr>
                <w:rFonts w:ascii="Arial" w:hAnsi="Arial" w:cs="Arial"/>
                <w:b/>
                <w:sz w:val="22"/>
                <w:szCs w:val="22"/>
              </w:rPr>
              <w:t xml:space="preserve">Materiál </w:t>
            </w:r>
            <w:r w:rsidRPr="00437E69">
              <w:rPr>
                <w:rFonts w:ascii="Arial" w:hAnsi="Arial" w:cs="Arial"/>
                <w:b/>
                <w:sz w:val="22"/>
                <w:szCs w:val="22"/>
              </w:rPr>
              <w:t>je předkládán s</w:t>
            </w:r>
            <w:r w:rsidR="0012078C" w:rsidRPr="00437E6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2B0" w:rsidRPr="00437E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437E69">
              <w:rPr>
                <w:rFonts w:ascii="Arial" w:hAnsi="Arial" w:cs="Arial"/>
                <w:b/>
                <w:sz w:val="22"/>
                <w:szCs w:val="22"/>
              </w:rPr>
              <w:t xml:space="preserve"> rozpor</w:t>
            </w:r>
            <w:r w:rsidR="00A922B0" w:rsidRPr="00437E69">
              <w:rPr>
                <w:rFonts w:ascii="Arial" w:hAnsi="Arial" w:cs="Arial"/>
                <w:b/>
                <w:sz w:val="22"/>
                <w:szCs w:val="22"/>
              </w:rPr>
              <w:t>em</w:t>
            </w:r>
            <w:r w:rsidR="0012078C" w:rsidRPr="00437E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78C" w:rsidRPr="00437E69">
              <w:rPr>
                <w:rFonts w:ascii="Arial" w:hAnsi="Arial" w:cs="Arial"/>
                <w:b/>
                <w:sz w:val="22"/>
                <w:szCs w:val="22"/>
              </w:rPr>
              <w:t>s Ministerstvem financí</w:t>
            </w:r>
            <w:r w:rsidR="00A922B0" w:rsidRPr="00437E69">
              <w:rPr>
                <w:rFonts w:ascii="Arial" w:hAnsi="Arial" w:cs="Arial"/>
                <w:sz w:val="22"/>
                <w:szCs w:val="22"/>
              </w:rPr>
              <w:t>, který</w:t>
            </w:r>
            <w:r w:rsidR="0012078C" w:rsidRPr="00437E69">
              <w:rPr>
                <w:rFonts w:ascii="Arial" w:hAnsi="Arial" w:cs="Arial"/>
                <w:sz w:val="22"/>
                <w:szCs w:val="22"/>
              </w:rPr>
              <w:t xml:space="preserve"> se týk</w:t>
            </w:r>
            <w:r w:rsidR="00A922B0" w:rsidRPr="00437E69">
              <w:rPr>
                <w:rFonts w:ascii="Arial" w:hAnsi="Arial" w:cs="Arial"/>
                <w:sz w:val="22"/>
                <w:szCs w:val="22"/>
              </w:rPr>
              <w:t>á</w:t>
            </w:r>
            <w:r w:rsidR="0012078C" w:rsidRPr="00437E69">
              <w:rPr>
                <w:rFonts w:ascii="Arial" w:hAnsi="Arial" w:cs="Arial"/>
                <w:sz w:val="22"/>
                <w:szCs w:val="22"/>
              </w:rPr>
              <w:t xml:space="preserve"> navýšení výdajů na </w:t>
            </w:r>
            <w:proofErr w:type="spellStart"/>
            <w:r w:rsidR="0012078C" w:rsidRPr="00437E6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2078C" w:rsidRPr="00437E69">
              <w:rPr>
                <w:rFonts w:ascii="Arial" w:hAnsi="Arial" w:cs="Arial"/>
                <w:sz w:val="22"/>
                <w:szCs w:val="22"/>
              </w:rPr>
              <w:t xml:space="preserve"> v letech 202</w:t>
            </w:r>
            <w:r w:rsidR="00A922B0" w:rsidRPr="00437E69">
              <w:rPr>
                <w:rFonts w:ascii="Arial" w:hAnsi="Arial" w:cs="Arial"/>
                <w:sz w:val="22"/>
                <w:szCs w:val="22"/>
              </w:rPr>
              <w:t>4</w:t>
            </w:r>
            <w:r w:rsidR="0012078C" w:rsidRPr="00437E69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376A11" w:rsidRPr="00437E69">
              <w:rPr>
                <w:rFonts w:ascii="Arial" w:hAnsi="Arial" w:cs="Arial"/>
                <w:sz w:val="22"/>
                <w:szCs w:val="22"/>
              </w:rPr>
              <w:t>5</w:t>
            </w:r>
            <w:r w:rsidR="00437E69" w:rsidRPr="00437E6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4337">
              <w:rPr>
                <w:rFonts w:ascii="Arial" w:hAnsi="Arial" w:cs="Arial"/>
                <w:b/>
                <w:sz w:val="22"/>
                <w:szCs w:val="22"/>
              </w:rPr>
              <w:t>a se 2</w:t>
            </w:r>
            <w:r w:rsidR="00437E69" w:rsidRPr="00437E69">
              <w:rPr>
                <w:rFonts w:ascii="Arial" w:hAnsi="Arial" w:cs="Arial"/>
                <w:b/>
                <w:sz w:val="22"/>
                <w:szCs w:val="22"/>
              </w:rPr>
              <w:t xml:space="preserve"> rozpory s Ministerstvem kultury</w:t>
            </w:r>
            <w:r w:rsidR="00E94337">
              <w:rPr>
                <w:rFonts w:ascii="Arial" w:hAnsi="Arial" w:cs="Arial"/>
                <w:b/>
                <w:sz w:val="22"/>
                <w:szCs w:val="22"/>
              </w:rPr>
              <w:t xml:space="preserve"> a</w:t>
            </w:r>
            <w:r w:rsidR="00437E69" w:rsidRPr="00437E69">
              <w:rPr>
                <w:rFonts w:ascii="Arial" w:hAnsi="Arial" w:cs="Arial"/>
                <w:b/>
                <w:sz w:val="22"/>
                <w:szCs w:val="22"/>
              </w:rPr>
              <w:t xml:space="preserve"> Ministerstvem zemědělství</w:t>
            </w:r>
            <w:r w:rsidR="00437E69" w:rsidRPr="00437E69">
              <w:rPr>
                <w:rFonts w:ascii="Arial" w:hAnsi="Arial" w:cs="Arial"/>
                <w:sz w:val="22"/>
                <w:szCs w:val="22"/>
              </w:rPr>
              <w:t xml:space="preserve"> týkající se návrhu výdajů na </w:t>
            </w:r>
            <w:proofErr w:type="spellStart"/>
            <w:r w:rsidR="00437E69" w:rsidRPr="00437E6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37E69" w:rsidRPr="00437E69">
              <w:rPr>
                <w:rFonts w:ascii="Arial" w:hAnsi="Arial" w:cs="Arial"/>
                <w:sz w:val="22"/>
                <w:szCs w:val="22"/>
              </w:rPr>
              <w:t xml:space="preserve"> v roce 2023.</w:t>
            </w:r>
          </w:p>
          <w:p w:rsidR="006A2327" w:rsidRPr="00201EA8" w:rsidRDefault="006A2327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D33C3F">
        <w:trPr>
          <w:trHeight w:val="408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:rsidR="00001349" w:rsidRPr="00C31031" w:rsidRDefault="00001349" w:rsidP="0000134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Kompletní materiál 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3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4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910C7B">
              <w:rPr>
                <w:rFonts w:ascii="Arial" w:hAnsi="Arial" w:cs="Arial"/>
                <w:sz w:val="22"/>
                <w:szCs w:val="22"/>
              </w:rPr>
              <w:t>202</w:t>
            </w:r>
            <w:r w:rsidR="00376A11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  <w:p w:rsidR="00774961" w:rsidRPr="00774961" w:rsidRDefault="00774961" w:rsidP="00001349">
            <w:pPr>
              <w:pStyle w:val="Odstavecseseznamem"/>
              <w:spacing w:after="120"/>
              <w:ind w:left="714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F81B53">
        <w:trPr>
          <w:trHeight w:val="1980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D2861" w:rsidRPr="001037FB" w:rsidRDefault="00DD2861" w:rsidP="00922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7FB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2D743C" w:rsidRPr="00437E69" w:rsidRDefault="002D743C" w:rsidP="002D743C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ind w:left="73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E69">
              <w:rPr>
                <w:rFonts w:ascii="Arial" w:hAnsi="Arial" w:cs="Arial"/>
                <w:sz w:val="22"/>
                <w:szCs w:val="22"/>
              </w:rPr>
              <w:t>konstatuje, že předložený návrh rozpočtu byl projednán se všemi připomínkovými místy a je předkládán s</w:t>
            </w:r>
            <w:r w:rsidR="00DB2A06" w:rsidRPr="00437E69">
              <w:rPr>
                <w:rFonts w:ascii="Arial" w:hAnsi="Arial" w:cs="Arial"/>
                <w:sz w:val="22"/>
                <w:szCs w:val="22"/>
              </w:rPr>
              <w:t> rozpory</w:t>
            </w:r>
            <w:r w:rsidRPr="00437E69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503F3A" w:rsidRDefault="00001349" w:rsidP="003F5C53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ind w:left="73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D2D"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2D743C">
              <w:rPr>
                <w:rFonts w:ascii="Arial" w:hAnsi="Arial" w:cs="Arial"/>
                <w:sz w:val="22"/>
                <w:szCs w:val="22"/>
              </w:rPr>
              <w:t xml:space="preserve">předložený </w:t>
            </w:r>
            <w:r w:rsidRPr="00E95D2D">
              <w:rPr>
                <w:rFonts w:ascii="Arial" w:hAnsi="Arial" w:cs="Arial"/>
                <w:sz w:val="22"/>
                <w:szCs w:val="22"/>
              </w:rPr>
              <w:t>„Návrh výdajů státního rozpočtu ČR na výzkum, experimentální vývoj a 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3</w:t>
            </w:r>
            <w:r w:rsidRPr="00E95D2D">
              <w:rPr>
                <w:rFonts w:ascii="Arial" w:hAnsi="Arial" w:cs="Arial"/>
                <w:sz w:val="22"/>
                <w:szCs w:val="22"/>
              </w:rPr>
              <w:t xml:space="preserve"> s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76A11">
              <w:rPr>
                <w:rFonts w:ascii="Arial" w:hAnsi="Arial" w:cs="Arial"/>
                <w:sz w:val="22"/>
                <w:szCs w:val="22"/>
              </w:rPr>
              <w:t>4</w:t>
            </w:r>
            <w:r w:rsidRPr="00E95D2D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71172F">
              <w:rPr>
                <w:rFonts w:ascii="Arial" w:hAnsi="Arial" w:cs="Arial"/>
                <w:sz w:val="22"/>
                <w:szCs w:val="22"/>
              </w:rPr>
              <w:t>202</w:t>
            </w:r>
            <w:r w:rsidR="00376A11">
              <w:rPr>
                <w:rFonts w:ascii="Arial" w:hAnsi="Arial" w:cs="Arial"/>
                <w:sz w:val="22"/>
                <w:szCs w:val="22"/>
              </w:rPr>
              <w:t>5</w:t>
            </w:r>
            <w:r w:rsidRPr="0071172F">
              <w:rPr>
                <w:rFonts w:ascii="Arial" w:hAnsi="Arial" w:cs="Arial"/>
                <w:sz w:val="22"/>
                <w:szCs w:val="22"/>
              </w:rPr>
              <w:t xml:space="preserve"> a dlouhodobým </w:t>
            </w:r>
            <w:r>
              <w:rPr>
                <w:rFonts w:ascii="Arial" w:hAnsi="Arial" w:cs="Arial"/>
                <w:sz w:val="22"/>
                <w:szCs w:val="22"/>
              </w:rPr>
              <w:t>výhledem do roku 202</w:t>
            </w:r>
            <w:r w:rsidR="00376A11">
              <w:rPr>
                <w:rFonts w:ascii="Arial" w:hAnsi="Arial" w:cs="Arial"/>
                <w:sz w:val="22"/>
                <w:szCs w:val="22"/>
              </w:rPr>
              <w:t>9</w:t>
            </w:r>
            <w:r w:rsidRPr="0071172F">
              <w:rPr>
                <w:rFonts w:ascii="Arial" w:hAnsi="Arial" w:cs="Arial"/>
                <w:sz w:val="22"/>
                <w:szCs w:val="22"/>
              </w:rPr>
              <w:t>“</w:t>
            </w:r>
            <w:r w:rsidRPr="005F3CA4">
              <w:rPr>
                <w:rFonts w:ascii="Arial" w:hAnsi="Arial" w:cs="Arial"/>
                <w:sz w:val="22"/>
                <w:szCs w:val="22"/>
              </w:rPr>
              <w:t>,</w:t>
            </w:r>
            <w:r w:rsidR="002D743C" w:rsidRPr="00183076">
              <w:rPr>
                <w:rFonts w:ascii="Arial" w:hAnsi="Arial" w:cs="Arial"/>
                <w:sz w:val="22"/>
                <w:szCs w:val="22"/>
              </w:rPr>
              <w:t xml:space="preserve"> včetně vypořádání mezirezortního připomínkového řízení, po úpravách dle jednání Rady,</w:t>
            </w:r>
          </w:p>
          <w:p w:rsidR="00001349" w:rsidRPr="00503F3A" w:rsidRDefault="00D33C3F" w:rsidP="00AD044D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žádá předsedkyni Rady a ministryn</w:t>
            </w:r>
            <w:r w:rsidR="00FC4429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vědu, výzkum a inovace o</w:t>
            </w:r>
            <w:r w:rsidR="00001349" w:rsidRPr="00503F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3F3A" w:rsidRPr="00503F3A">
              <w:rPr>
                <w:rFonts w:ascii="Arial" w:hAnsi="Arial" w:cs="Arial"/>
                <w:sz w:val="22"/>
                <w:szCs w:val="22"/>
              </w:rPr>
              <w:t>předlož</w:t>
            </w:r>
            <w:r>
              <w:rPr>
                <w:rFonts w:ascii="Arial" w:hAnsi="Arial" w:cs="Arial"/>
                <w:sz w:val="22"/>
                <w:szCs w:val="22"/>
              </w:rPr>
              <w:t>ení</w:t>
            </w:r>
            <w:r w:rsidR="00001349" w:rsidRPr="00503F3A">
              <w:rPr>
                <w:rFonts w:ascii="Arial" w:hAnsi="Arial" w:cs="Arial"/>
                <w:sz w:val="22"/>
                <w:szCs w:val="22"/>
              </w:rPr>
              <w:t xml:space="preserve"> výše uveden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="00001349" w:rsidRPr="00503F3A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001349" w:rsidRPr="00503F3A">
              <w:rPr>
                <w:rFonts w:ascii="Arial" w:hAnsi="Arial" w:cs="Arial"/>
                <w:sz w:val="22"/>
                <w:szCs w:val="22"/>
              </w:rPr>
              <w:t xml:space="preserve"> na jednání vlády.</w:t>
            </w:r>
          </w:p>
          <w:p w:rsidR="00DD2861" w:rsidRPr="00CC13FC" w:rsidRDefault="00DD2861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1B53" w:rsidRPr="00DE2BC0" w:rsidTr="00F81B53">
        <w:trPr>
          <w:trHeight w:val="1244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81B53" w:rsidRPr="00A4086D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D33C3F" w:rsidRDefault="00D33C3F" w:rsidP="00376A11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Předsedkyně Rady</w:t>
            </w:r>
          </w:p>
          <w:p w:rsidR="00F81B53" w:rsidRPr="00F81B53" w:rsidRDefault="00F81B53" w:rsidP="00376A11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 xml:space="preserve">Odbor </w:t>
            </w:r>
            <w:r w:rsidR="00376A11">
              <w:rPr>
                <w:rFonts w:ascii="Arial" w:hAnsi="Arial" w:cs="Arial"/>
              </w:rPr>
              <w:t>koordinace</w:t>
            </w:r>
            <w:r w:rsidRPr="00A4086D">
              <w:rPr>
                <w:rFonts w:ascii="Arial" w:hAnsi="Arial" w:cs="Arial"/>
              </w:rPr>
              <w:t xml:space="preserve"> v</w:t>
            </w:r>
            <w:r w:rsidR="00376A11">
              <w:rPr>
                <w:rFonts w:ascii="Arial" w:hAnsi="Arial" w:cs="Arial"/>
              </w:rPr>
              <w:t>ědy</w:t>
            </w:r>
            <w:r w:rsidRPr="00A4086D">
              <w:rPr>
                <w:rFonts w:ascii="Arial" w:hAnsi="Arial" w:cs="Arial"/>
              </w:rPr>
              <w:t>, vývoj</w:t>
            </w:r>
            <w:r w:rsidR="00376A11">
              <w:rPr>
                <w:rFonts w:ascii="Arial" w:hAnsi="Arial" w:cs="Arial"/>
              </w:rPr>
              <w:t>e a inovací</w:t>
            </w:r>
          </w:p>
        </w:tc>
      </w:tr>
    </w:tbl>
    <w:p w:rsidR="00F86D54" w:rsidRDefault="004B314C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92" w:rsidRDefault="00566A92" w:rsidP="008F77F6">
      <w:r>
        <w:separator/>
      </w:r>
    </w:p>
  </w:endnote>
  <w:endnote w:type="continuationSeparator" w:id="0">
    <w:p w:rsidR="00566A92" w:rsidRDefault="00566A9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92" w:rsidRDefault="00566A92" w:rsidP="008F77F6">
      <w:r>
        <w:separator/>
      </w:r>
    </w:p>
  </w:footnote>
  <w:footnote w:type="continuationSeparator" w:id="0">
    <w:p w:rsidR="00566A92" w:rsidRDefault="00566A9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9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28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0"/>
  </w:num>
  <w:num w:numId="27">
    <w:abstractNumId w:val="1"/>
  </w:num>
  <w:num w:numId="28">
    <w:abstractNumId w:val="2"/>
  </w:num>
  <w:num w:numId="29">
    <w:abstractNumId w:val="3"/>
  </w:num>
  <w:num w:numId="30">
    <w:abstractNumId w:val="11"/>
  </w:num>
  <w:num w:numId="31">
    <w:abstractNumId w:val="2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263D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0F6149"/>
    <w:rsid w:val="001037FB"/>
    <w:rsid w:val="00112A51"/>
    <w:rsid w:val="00113915"/>
    <w:rsid w:val="00115DD5"/>
    <w:rsid w:val="0012078C"/>
    <w:rsid w:val="00121AF3"/>
    <w:rsid w:val="00127410"/>
    <w:rsid w:val="00141492"/>
    <w:rsid w:val="001522BB"/>
    <w:rsid w:val="00154AA2"/>
    <w:rsid w:val="001609A7"/>
    <w:rsid w:val="00161AF6"/>
    <w:rsid w:val="0017784E"/>
    <w:rsid w:val="001803A0"/>
    <w:rsid w:val="001829AF"/>
    <w:rsid w:val="00183EB7"/>
    <w:rsid w:val="001A1063"/>
    <w:rsid w:val="001A497A"/>
    <w:rsid w:val="001C7679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65D7D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D743C"/>
    <w:rsid w:val="002E4B82"/>
    <w:rsid w:val="002F01DD"/>
    <w:rsid w:val="002F0A5C"/>
    <w:rsid w:val="002F2693"/>
    <w:rsid w:val="002F611A"/>
    <w:rsid w:val="00300D1C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61212"/>
    <w:rsid w:val="00376A11"/>
    <w:rsid w:val="00376D0F"/>
    <w:rsid w:val="00380040"/>
    <w:rsid w:val="00386CBE"/>
    <w:rsid w:val="00387B05"/>
    <w:rsid w:val="003948B8"/>
    <w:rsid w:val="003B1822"/>
    <w:rsid w:val="003B26EE"/>
    <w:rsid w:val="003C0F31"/>
    <w:rsid w:val="003C1580"/>
    <w:rsid w:val="003C6480"/>
    <w:rsid w:val="003D19B3"/>
    <w:rsid w:val="003D40C2"/>
    <w:rsid w:val="003E51D9"/>
    <w:rsid w:val="003E7039"/>
    <w:rsid w:val="003E7754"/>
    <w:rsid w:val="003F5C53"/>
    <w:rsid w:val="00404D23"/>
    <w:rsid w:val="004061F6"/>
    <w:rsid w:val="004064D0"/>
    <w:rsid w:val="00410727"/>
    <w:rsid w:val="00417BC0"/>
    <w:rsid w:val="00432005"/>
    <w:rsid w:val="00437E69"/>
    <w:rsid w:val="00457D6D"/>
    <w:rsid w:val="00461A40"/>
    <w:rsid w:val="00472BCC"/>
    <w:rsid w:val="00494A1F"/>
    <w:rsid w:val="00495E87"/>
    <w:rsid w:val="004A757F"/>
    <w:rsid w:val="004B2F16"/>
    <w:rsid w:val="004B314C"/>
    <w:rsid w:val="004C3552"/>
    <w:rsid w:val="004E013D"/>
    <w:rsid w:val="00503F3A"/>
    <w:rsid w:val="005075A4"/>
    <w:rsid w:val="00512FD6"/>
    <w:rsid w:val="00514DC8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85368"/>
    <w:rsid w:val="005934EE"/>
    <w:rsid w:val="00597D2A"/>
    <w:rsid w:val="005A4223"/>
    <w:rsid w:val="005E4326"/>
    <w:rsid w:val="005E68D4"/>
    <w:rsid w:val="005E69C3"/>
    <w:rsid w:val="005F3CA4"/>
    <w:rsid w:val="005F4CC0"/>
    <w:rsid w:val="005F58A6"/>
    <w:rsid w:val="005F5FEE"/>
    <w:rsid w:val="006006CA"/>
    <w:rsid w:val="00605DD3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1929"/>
    <w:rsid w:val="00713180"/>
    <w:rsid w:val="0071524F"/>
    <w:rsid w:val="00731B10"/>
    <w:rsid w:val="00731BC8"/>
    <w:rsid w:val="00745A67"/>
    <w:rsid w:val="00746D9F"/>
    <w:rsid w:val="00754FD6"/>
    <w:rsid w:val="00760880"/>
    <w:rsid w:val="007621DC"/>
    <w:rsid w:val="00762A4B"/>
    <w:rsid w:val="007633F1"/>
    <w:rsid w:val="00763A51"/>
    <w:rsid w:val="00763D84"/>
    <w:rsid w:val="00774961"/>
    <w:rsid w:val="00796D9C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6A8F"/>
    <w:rsid w:val="008B4CE0"/>
    <w:rsid w:val="008B7337"/>
    <w:rsid w:val="008C4325"/>
    <w:rsid w:val="008C64C4"/>
    <w:rsid w:val="008C676F"/>
    <w:rsid w:val="008C7F2E"/>
    <w:rsid w:val="008F2AFF"/>
    <w:rsid w:val="008F3497"/>
    <w:rsid w:val="008F35D6"/>
    <w:rsid w:val="008F5980"/>
    <w:rsid w:val="008F77F6"/>
    <w:rsid w:val="00900D95"/>
    <w:rsid w:val="00910C7B"/>
    <w:rsid w:val="00913E5C"/>
    <w:rsid w:val="009227E4"/>
    <w:rsid w:val="00925EA0"/>
    <w:rsid w:val="0093478D"/>
    <w:rsid w:val="00942A5D"/>
    <w:rsid w:val="009623C1"/>
    <w:rsid w:val="009670F4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C1281"/>
    <w:rsid w:val="009C1F93"/>
    <w:rsid w:val="009D64DE"/>
    <w:rsid w:val="009E4631"/>
    <w:rsid w:val="00A14E98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83D19"/>
    <w:rsid w:val="00A922B0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72932"/>
    <w:rsid w:val="00B75D5B"/>
    <w:rsid w:val="00B80B94"/>
    <w:rsid w:val="00B87930"/>
    <w:rsid w:val="00B92CFA"/>
    <w:rsid w:val="00BA148D"/>
    <w:rsid w:val="00BA54FD"/>
    <w:rsid w:val="00BB0768"/>
    <w:rsid w:val="00BB420B"/>
    <w:rsid w:val="00BB551D"/>
    <w:rsid w:val="00BE4D1F"/>
    <w:rsid w:val="00BF1633"/>
    <w:rsid w:val="00C035F6"/>
    <w:rsid w:val="00C16B45"/>
    <w:rsid w:val="00C20639"/>
    <w:rsid w:val="00C21DC2"/>
    <w:rsid w:val="00C231EF"/>
    <w:rsid w:val="00C33CBA"/>
    <w:rsid w:val="00C4228E"/>
    <w:rsid w:val="00C51585"/>
    <w:rsid w:val="00C51BF6"/>
    <w:rsid w:val="00C577F5"/>
    <w:rsid w:val="00C656C4"/>
    <w:rsid w:val="00C66EAC"/>
    <w:rsid w:val="00C70BB9"/>
    <w:rsid w:val="00C76EEC"/>
    <w:rsid w:val="00C81447"/>
    <w:rsid w:val="00CA3D08"/>
    <w:rsid w:val="00CC13FC"/>
    <w:rsid w:val="00CC3195"/>
    <w:rsid w:val="00CD54DB"/>
    <w:rsid w:val="00CD59A9"/>
    <w:rsid w:val="00CE20A7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25457"/>
    <w:rsid w:val="00D27C56"/>
    <w:rsid w:val="00D33C3F"/>
    <w:rsid w:val="00D35DDA"/>
    <w:rsid w:val="00D50564"/>
    <w:rsid w:val="00D85836"/>
    <w:rsid w:val="00D96DE7"/>
    <w:rsid w:val="00DA042B"/>
    <w:rsid w:val="00DB1A95"/>
    <w:rsid w:val="00DB2A06"/>
    <w:rsid w:val="00DB38A2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1659B"/>
    <w:rsid w:val="00E20B63"/>
    <w:rsid w:val="00E245B6"/>
    <w:rsid w:val="00E3443B"/>
    <w:rsid w:val="00E345E6"/>
    <w:rsid w:val="00E37300"/>
    <w:rsid w:val="00E41678"/>
    <w:rsid w:val="00E52D50"/>
    <w:rsid w:val="00E53700"/>
    <w:rsid w:val="00E55460"/>
    <w:rsid w:val="00E64CA1"/>
    <w:rsid w:val="00E84184"/>
    <w:rsid w:val="00E94337"/>
    <w:rsid w:val="00EA63D9"/>
    <w:rsid w:val="00EC047C"/>
    <w:rsid w:val="00EC5543"/>
    <w:rsid w:val="00EC70A1"/>
    <w:rsid w:val="00ED1CDD"/>
    <w:rsid w:val="00ED7158"/>
    <w:rsid w:val="00EE3E85"/>
    <w:rsid w:val="00EF3114"/>
    <w:rsid w:val="00EF4480"/>
    <w:rsid w:val="00F156EE"/>
    <w:rsid w:val="00F200FE"/>
    <w:rsid w:val="00F24D60"/>
    <w:rsid w:val="00F25066"/>
    <w:rsid w:val="00F3227C"/>
    <w:rsid w:val="00F32478"/>
    <w:rsid w:val="00F36FE0"/>
    <w:rsid w:val="00F43A4C"/>
    <w:rsid w:val="00F52322"/>
    <w:rsid w:val="00F5508B"/>
    <w:rsid w:val="00F607E2"/>
    <w:rsid w:val="00F76232"/>
    <w:rsid w:val="00F81A4E"/>
    <w:rsid w:val="00F81B53"/>
    <w:rsid w:val="00F81EBC"/>
    <w:rsid w:val="00F848B5"/>
    <w:rsid w:val="00F92BF0"/>
    <w:rsid w:val="00FA489B"/>
    <w:rsid w:val="00FA5E05"/>
    <w:rsid w:val="00FB0BA2"/>
    <w:rsid w:val="00FC4429"/>
    <w:rsid w:val="00FD0BAB"/>
    <w:rsid w:val="00FD2572"/>
    <w:rsid w:val="00FD797F"/>
    <w:rsid w:val="00FD7ADB"/>
    <w:rsid w:val="00FE13A8"/>
    <w:rsid w:val="00FF01ED"/>
    <w:rsid w:val="00FF0B2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7ABC949E"/>
  <w15:docId w15:val="{78F84DD5-16C1-46DC-9B25-EB93392B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/FrontClanek.aspx?idsekce=8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069F3-6257-42A1-849F-C1C88AC3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772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Špičková Hana</cp:lastModifiedBy>
  <cp:revision>15</cp:revision>
  <cp:lastPrinted>2020-02-20T13:14:00Z</cp:lastPrinted>
  <dcterms:created xsi:type="dcterms:W3CDTF">2022-04-19T14:17:00Z</dcterms:created>
  <dcterms:modified xsi:type="dcterms:W3CDTF">2022-05-13T11:26:00Z</dcterms:modified>
</cp:coreProperties>
</file>