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6D9BE" w14:textId="77777777" w:rsidR="008C0D54" w:rsidRPr="008C0D54" w:rsidRDefault="008C0D54" w:rsidP="008C0D54">
      <w:pPr>
        <w:spacing w:before="120" w:after="120" w:line="207" w:lineRule="atLeast"/>
        <w:jc w:val="both"/>
        <w:rPr>
          <w:rFonts w:ascii="Arial" w:eastAsia="Times New Roman" w:hAnsi="Arial" w:cs="Arial"/>
          <w:b/>
          <w:color w:val="000000"/>
          <w:sz w:val="18"/>
          <w:szCs w:val="18"/>
          <w:u w:val="single"/>
        </w:rPr>
      </w:pPr>
      <w:r w:rsidRPr="008C0D54">
        <w:rPr>
          <w:rFonts w:ascii="Arial" w:eastAsia="Times New Roman" w:hAnsi="Arial" w:cs="Arial"/>
          <w:b/>
          <w:color w:val="000000"/>
          <w:sz w:val="18"/>
          <w:szCs w:val="18"/>
          <w:u w:val="single"/>
        </w:rPr>
        <w:t>K finančním nástrojům:</w:t>
      </w:r>
    </w:p>
    <w:p w14:paraId="51C1FB26" w14:textId="799E0398" w:rsidR="008C0D54" w:rsidRPr="008C0D54" w:rsidRDefault="008C0D54" w:rsidP="008C0D54">
      <w:pPr>
        <w:spacing w:before="120" w:after="120" w:line="207" w:lineRule="atLeast"/>
        <w:jc w:val="both"/>
        <w:rPr>
          <w:rFonts w:ascii="Helvetica" w:eastAsia="Times New Roman" w:hAnsi="Helvetica" w:cs="Times New Roman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K návrhům p</w:t>
      </w:r>
      <w:r w:rsidRPr="008C0D54">
        <w:rPr>
          <w:rFonts w:ascii="Arial" w:eastAsia="Times New Roman" w:hAnsi="Arial" w:cs="Arial"/>
          <w:color w:val="000000"/>
          <w:sz w:val="18"/>
          <w:szCs w:val="18"/>
        </w:rPr>
        <w:t>ři minulých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novelizacích zákona 130/2002 Sb., o podpoře výzkumu, patřily také úpravy možných finančních nástrojů podpory výzkumu, i když pouze některých, relativně nejjednodušších, jak je uvedeno níže. </w:t>
      </w: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 xml:space="preserve"> </w:t>
      </w:r>
      <w:r w:rsidRPr="008C0D54">
        <w:rPr>
          <w:rFonts w:ascii="Arial" w:eastAsia="Times New Roman" w:hAnsi="Arial" w:cs="Arial"/>
          <w:color w:val="000000"/>
          <w:sz w:val="18"/>
          <w:szCs w:val="18"/>
        </w:rPr>
        <w:t xml:space="preserve">Tyto formy </w:t>
      </w:r>
      <w:r>
        <w:rPr>
          <w:rFonts w:ascii="Arial" w:eastAsia="Times New Roman" w:hAnsi="Arial" w:cs="Arial"/>
          <w:color w:val="000000"/>
          <w:sz w:val="18"/>
          <w:szCs w:val="18"/>
        </w:rPr>
        <w:t>podpory nebyly -</w:t>
      </w:r>
      <w:r w:rsidRPr="008C0D54">
        <w:rPr>
          <w:rFonts w:ascii="Arial" w:eastAsia="Times New Roman" w:hAnsi="Arial" w:cs="Arial"/>
          <w:color w:val="000000"/>
          <w:sz w:val="18"/>
          <w:szCs w:val="18"/>
        </w:rPr>
        <w:t xml:space="preserve"> v souladu s dosavadní koncepcí zákona 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- </w:t>
      </w:r>
      <w:r w:rsidRPr="008C0D54">
        <w:rPr>
          <w:rFonts w:ascii="Arial" w:eastAsia="Times New Roman" w:hAnsi="Arial" w:cs="Arial"/>
          <w:color w:val="000000"/>
          <w:sz w:val="18"/>
          <w:szCs w:val="18"/>
        </w:rPr>
        <w:t>zahrnuty do definic, jelikož jejich význam vyplývá z jiných právních předpisů, zejména zákona č. 218/2000 Sb., o rozpočtových pravidlech a o změně některých souvisejících zákonů, ve znění pozdějších předpisů.</w:t>
      </w:r>
    </w:p>
    <w:p w14:paraId="19CCC2D0" w14:textId="10EF9838" w:rsidR="008C0D54" w:rsidRPr="008C0D54" w:rsidRDefault="008C0D54" w:rsidP="008C0D54">
      <w:pPr>
        <w:spacing w:before="120" w:after="120" w:line="207" w:lineRule="atLeast"/>
        <w:jc w:val="both"/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8C0D54">
        <w:rPr>
          <w:rFonts w:ascii="Arial" w:eastAsia="Times New Roman" w:hAnsi="Arial" w:cs="Arial"/>
          <w:color w:val="000000"/>
          <w:sz w:val="18"/>
          <w:szCs w:val="18"/>
        </w:rPr>
        <w:t>Základním nástrojem veřejné podpory výzkumu a vývoje zůstávají nevratné dotace jako nepochybně dominantní forma pro celou oblast výzkumu, vývoje a inovací. N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icméně dotace mohou být doplněny </w:t>
      </w:r>
      <w:r w:rsidRPr="008C0D54">
        <w:rPr>
          <w:rFonts w:ascii="Arial" w:eastAsia="Times New Roman" w:hAnsi="Arial" w:cs="Arial"/>
          <w:color w:val="000000"/>
          <w:sz w:val="18"/>
          <w:szCs w:val="18"/>
        </w:rPr>
        <w:t>následujícími nástroji:</w:t>
      </w:r>
    </w:p>
    <w:p w14:paraId="5F5A6F84" w14:textId="77777777" w:rsidR="008C0D54" w:rsidRPr="008C0D54" w:rsidRDefault="008C0D54" w:rsidP="008C0D54">
      <w:pPr>
        <w:spacing w:before="120" w:after="120" w:line="207" w:lineRule="atLeast"/>
        <w:jc w:val="both"/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8C0D54">
        <w:rPr>
          <w:rFonts w:ascii="Arial" w:eastAsia="Times New Roman" w:hAnsi="Arial" w:cs="Arial"/>
          <w:color w:val="000000"/>
          <w:sz w:val="18"/>
          <w:szCs w:val="18"/>
        </w:rPr>
        <w:t xml:space="preserve">a) </w:t>
      </w:r>
      <w:r w:rsidRPr="008C0D54">
        <w:rPr>
          <w:rFonts w:ascii="Arial" w:eastAsia="Times New Roman" w:hAnsi="Arial" w:cs="Arial"/>
          <w:b/>
          <w:color w:val="000000"/>
          <w:sz w:val="18"/>
          <w:szCs w:val="18"/>
        </w:rPr>
        <w:t>návratná finanční výpomoc</w:t>
      </w:r>
      <w:r w:rsidRPr="008C0D54">
        <w:rPr>
          <w:rFonts w:ascii="Arial" w:eastAsia="Times New Roman" w:hAnsi="Arial" w:cs="Arial"/>
          <w:color w:val="000000"/>
          <w:sz w:val="18"/>
          <w:szCs w:val="18"/>
        </w:rPr>
        <w:t xml:space="preserve"> (ve smyslu zákona č. 218/2000 Sb., o rozpočtových pravidlech),</w:t>
      </w:r>
    </w:p>
    <w:p w14:paraId="2B74FF82" w14:textId="77777777" w:rsidR="008C0D54" w:rsidRPr="008C0D54" w:rsidRDefault="008C0D54" w:rsidP="008C0D54">
      <w:pPr>
        <w:spacing w:before="120" w:after="120" w:line="207" w:lineRule="atLeast"/>
        <w:ind w:left="30"/>
        <w:jc w:val="both"/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8C0D54">
        <w:rPr>
          <w:rFonts w:ascii="Arial" w:eastAsia="Times New Roman" w:hAnsi="Arial" w:cs="Arial"/>
          <w:color w:val="000000"/>
          <w:sz w:val="18"/>
          <w:szCs w:val="18"/>
        </w:rPr>
        <w:t xml:space="preserve">b) </w:t>
      </w:r>
      <w:r w:rsidRPr="008C0D54">
        <w:rPr>
          <w:rFonts w:ascii="Arial" w:eastAsia="Times New Roman" w:hAnsi="Arial" w:cs="Arial"/>
          <w:b/>
          <w:color w:val="000000"/>
          <w:sz w:val="18"/>
          <w:szCs w:val="18"/>
        </w:rPr>
        <w:t>dotace s podmíněnou návratností</w:t>
      </w:r>
      <w:r w:rsidRPr="008C0D54">
        <w:rPr>
          <w:rFonts w:ascii="Arial" w:eastAsia="Times New Roman" w:hAnsi="Arial" w:cs="Arial"/>
          <w:color w:val="000000"/>
          <w:sz w:val="18"/>
          <w:szCs w:val="18"/>
        </w:rPr>
        <w:t xml:space="preserve"> (tedy speciální typ dotace - ve smyslu zákona č. 218/2000 Sb.), u které pravidla programu podpory stanoví možnost jejího částečného vracení například na bázi podílu z čistých příjmů projektu, podílu z licenčních poplatků apod. U tohoto nástroje se předpokládá větší míra využití tam, kde se projekty blíží praktickým aplikacím poznatků (tedy bez využití v základním výzkumu, více v aplikovaném výzkumu a výrazněji ve vývoji a inovacích při transferu znalostí).</w:t>
      </w:r>
    </w:p>
    <w:p w14:paraId="427AEEED" w14:textId="77777777" w:rsidR="008C0D54" w:rsidRPr="008C0D54" w:rsidRDefault="008C0D54" w:rsidP="008C0D54">
      <w:pPr>
        <w:spacing w:before="120" w:after="120" w:line="207" w:lineRule="atLeast"/>
        <w:jc w:val="both"/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8C0D54">
        <w:rPr>
          <w:rFonts w:ascii="Arial" w:eastAsia="Times New Roman" w:hAnsi="Arial" w:cs="Arial"/>
          <w:color w:val="000000"/>
          <w:sz w:val="18"/>
          <w:szCs w:val="18"/>
        </w:rPr>
        <w:t>Forma dotace s podmíněnou návratností je promítnutím koncepce nástroje vratné pomoci upravené v článku 67 Nařízení Evropského parlamentu a Rady (EU) č. 1303/2013 ze dne 17. prosince 2013 o společných ustanoveních o Evropském fondu pro regionální rozvoj, Evropském sociálním fondu, Fondu soudržnosti, Evropském zemědělském fondu pro rozvoj venkova a Evropském námořním a rybářském fondu, o obecných ustanoveních o Evropském fondu pro regionální rozvoj, Evropském sociálním fondu, Fondu soudržnosti a Evropském námořním a rybářském fondu a o zrušení nařízení Rady (ES) č. 1083/2006.</w:t>
      </w:r>
    </w:p>
    <w:p w14:paraId="5A81140F" w14:textId="2B6213C8" w:rsidR="008C0D54" w:rsidRDefault="008C0D54" w:rsidP="008C0D54">
      <w:pPr>
        <w:spacing w:after="160" w:line="19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C0D54">
        <w:rPr>
          <w:rFonts w:ascii="Arial" w:eastAsia="Times New Roman" w:hAnsi="Arial" w:cs="Arial"/>
          <w:color w:val="000000"/>
          <w:sz w:val="18"/>
          <w:szCs w:val="18"/>
        </w:rPr>
        <w:t>Tyto formy jsou povoleny v článku 5 odst. 2 nařízení Komise (EU) č. 651/2014 ze dne 17. června 2014, kterým se v souladu s články 107 a 108 Smlouvy prohlašují určité kategorie podpory za slučitelné s vnitřním trhem. Tyto formy podpory, jako např. půjčky, subvence úrokových sazeb apod. jsou určeny především pro podporu inovací, tedy částí inovačního řetězce, blízké trhu.</w:t>
      </w:r>
    </w:p>
    <w:p w14:paraId="6C9DA0FE" w14:textId="29190395" w:rsidR="008C0D54" w:rsidRDefault="008C0D54" w:rsidP="008C0D54">
      <w:pPr>
        <w:spacing w:after="160" w:line="193" w:lineRule="atLeast"/>
        <w:jc w:val="both"/>
        <w:rPr>
          <w:rFonts w:ascii="Helvetica" w:eastAsia="Times New Roman" w:hAnsi="Helvetica" w:cs="Times New Roman"/>
          <w:color w:val="000000"/>
          <w:sz w:val="18"/>
          <w:szCs w:val="18"/>
        </w:rPr>
      </w:pPr>
      <w:r>
        <w:rPr>
          <w:rFonts w:ascii="Helvetica" w:eastAsia="Times New Roman" w:hAnsi="Helvetica" w:cs="Times New Roman"/>
          <w:color w:val="000000"/>
          <w:sz w:val="18"/>
          <w:szCs w:val="18"/>
        </w:rPr>
        <w:t>Je nepochybně možné využít také další možnosti, zejména ve spolupráci s Národní rozvojovou bankou</w:t>
      </w:r>
      <w:r w:rsidR="00C16B60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. Při očekávaném nedostatku finančních prostředků na </w:t>
      </w:r>
      <w:proofErr w:type="spellStart"/>
      <w:r w:rsidR="00C16B60">
        <w:rPr>
          <w:rFonts w:ascii="Helvetica" w:eastAsia="Times New Roman" w:hAnsi="Helvetica" w:cs="Times New Roman"/>
          <w:color w:val="000000"/>
          <w:sz w:val="18"/>
          <w:szCs w:val="18"/>
        </w:rPr>
        <w:t>VaVaI</w:t>
      </w:r>
      <w:proofErr w:type="spellEnd"/>
      <w:r w:rsidR="00C16B60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v následujícím období by zejména návratná finanční výpomoc (pokud by nebyla chápána jako nedovolená veřejná podpora u SME) na vlastní podíl financování projektů účelové podpory mohla být pobídkou pro další spolupráci výzkumných organizací a firem.</w:t>
      </w:r>
    </w:p>
    <w:p w14:paraId="3FAB250C" w14:textId="0630104C" w:rsidR="00C16B60" w:rsidRDefault="00C16B60" w:rsidP="008C0D54">
      <w:pPr>
        <w:spacing w:after="160" w:line="193" w:lineRule="atLeast"/>
        <w:jc w:val="both"/>
        <w:rPr>
          <w:rFonts w:ascii="Helvetica" w:eastAsia="Times New Roman" w:hAnsi="Helvetica" w:cs="Times New Roman"/>
          <w:color w:val="000000"/>
          <w:sz w:val="18"/>
          <w:szCs w:val="18"/>
        </w:rPr>
      </w:pP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Rut </w:t>
      </w:r>
      <w:proofErr w:type="spellStart"/>
      <w:r>
        <w:rPr>
          <w:rFonts w:ascii="Helvetica" w:eastAsia="Times New Roman" w:hAnsi="Helvetica" w:cs="Times New Roman"/>
          <w:color w:val="000000"/>
          <w:sz w:val="18"/>
          <w:szCs w:val="18"/>
        </w:rPr>
        <w:t>Bízková</w:t>
      </w:r>
      <w:proofErr w:type="spellEnd"/>
      <w:r>
        <w:rPr>
          <w:rFonts w:ascii="Helvetica" w:eastAsia="Times New Roman" w:hAnsi="Helvetica" w:cs="Times New Roman"/>
          <w:color w:val="000000"/>
          <w:sz w:val="18"/>
          <w:szCs w:val="18"/>
        </w:rPr>
        <w:t>, 15. 9. 2022</w:t>
      </w:r>
      <w:bookmarkStart w:id="0" w:name="_GoBack"/>
      <w:bookmarkEnd w:id="0"/>
    </w:p>
    <w:p w14:paraId="1114962C" w14:textId="77777777" w:rsidR="00C16B60" w:rsidRPr="008C0D54" w:rsidRDefault="00C16B60" w:rsidP="008C0D54">
      <w:pPr>
        <w:spacing w:after="160" w:line="193" w:lineRule="atLeast"/>
        <w:jc w:val="both"/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24EB7258" w14:textId="77777777" w:rsidR="008C0D54" w:rsidRPr="008C0D54" w:rsidRDefault="008C0D54" w:rsidP="008C0D54">
      <w:pPr>
        <w:rPr>
          <w:rFonts w:ascii="Times New Roman" w:eastAsia="Times New Roman" w:hAnsi="Times New Roman" w:cs="Times New Roman"/>
        </w:rPr>
      </w:pPr>
    </w:p>
    <w:p w14:paraId="70BB1740" w14:textId="77777777" w:rsidR="00F86622" w:rsidRDefault="00F86622"/>
    <w:sectPr w:rsidR="00F86622" w:rsidSect="00B1030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D54"/>
    <w:rsid w:val="00264711"/>
    <w:rsid w:val="008C0D54"/>
    <w:rsid w:val="00943568"/>
    <w:rsid w:val="00B10305"/>
    <w:rsid w:val="00C16B60"/>
    <w:rsid w:val="00F8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92157F1"/>
  <w15:chartTrackingRefBased/>
  <w15:docId w15:val="{A4439DE3-8B04-9141-A7A9-9F40E9EEF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13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 bizkova</dc:creator>
  <cp:keywords/>
  <dc:description/>
  <cp:lastModifiedBy>rut bizkova</cp:lastModifiedBy>
  <cp:revision>1</cp:revision>
  <dcterms:created xsi:type="dcterms:W3CDTF">2022-09-15T04:34:00Z</dcterms:created>
  <dcterms:modified xsi:type="dcterms:W3CDTF">2022-09-15T04:49:00Z</dcterms:modified>
</cp:coreProperties>
</file>