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B7B41" w14:textId="1C62266A" w:rsidR="00441C14" w:rsidRPr="009E23A6" w:rsidRDefault="00441C14" w:rsidP="00441C14">
      <w:pPr>
        <w:jc w:val="center"/>
        <w:rPr>
          <w:rFonts w:cs="Arial"/>
          <w:sz w:val="28"/>
          <w:szCs w:val="28"/>
        </w:rPr>
      </w:pPr>
      <w:bookmarkStart w:id="0" w:name="_Hlk108764048"/>
      <w:bookmarkStart w:id="1" w:name="_GoBack"/>
      <w:bookmarkEnd w:id="1"/>
      <w:r w:rsidRPr="009E23A6">
        <w:rPr>
          <w:rFonts w:cs="Arial"/>
          <w:sz w:val="28"/>
          <w:szCs w:val="28"/>
        </w:rPr>
        <w:t>Program na podporu aplikovaného výzkumu Ministerstva zemědělství na období 2024 – 2032</w:t>
      </w:r>
    </w:p>
    <w:p w14:paraId="1EA667EA" w14:textId="1DB13A04" w:rsidR="00441C14" w:rsidRPr="009E23A6" w:rsidRDefault="00441C14" w:rsidP="00441C14">
      <w:pPr>
        <w:jc w:val="center"/>
        <w:rPr>
          <w:rFonts w:cs="Arial"/>
          <w:b/>
          <w:bCs/>
          <w:sz w:val="28"/>
          <w:szCs w:val="28"/>
        </w:rPr>
      </w:pPr>
      <w:r w:rsidRPr="009E23A6">
        <w:rPr>
          <w:rFonts w:cs="Arial"/>
          <w:b/>
          <w:bCs/>
          <w:sz w:val="28"/>
          <w:szCs w:val="28"/>
        </w:rPr>
        <w:t xml:space="preserve"> ZEMĚ II </w:t>
      </w:r>
    </w:p>
    <w:p w14:paraId="4F332986" w14:textId="77777777" w:rsidR="007F18EF" w:rsidRPr="009E23A6" w:rsidRDefault="007F18EF">
      <w:pPr>
        <w:spacing w:before="0" w:after="160" w:line="259" w:lineRule="auto"/>
        <w:jc w:val="left"/>
        <w:rPr>
          <w:rFonts w:cs="Arial"/>
          <w:b/>
          <w:bCs/>
          <w:sz w:val="28"/>
          <w:szCs w:val="28"/>
        </w:rPr>
      </w:pPr>
    </w:p>
    <w:p w14:paraId="68539F06" w14:textId="77777777" w:rsidR="007F18EF" w:rsidRPr="009E23A6" w:rsidRDefault="007F18EF">
      <w:pPr>
        <w:spacing w:before="0" w:after="160" w:line="259" w:lineRule="auto"/>
        <w:jc w:val="left"/>
        <w:rPr>
          <w:rFonts w:cs="Arial"/>
          <w:b/>
          <w:bCs/>
          <w:sz w:val="28"/>
          <w:szCs w:val="28"/>
        </w:rPr>
      </w:pPr>
      <w:r w:rsidRPr="009E23A6">
        <w:rPr>
          <w:rFonts w:cs="Arial"/>
          <w:b/>
          <w:bCs/>
          <w:sz w:val="28"/>
          <w:szCs w:val="28"/>
        </w:rPr>
        <w:br w:type="page"/>
      </w:r>
    </w:p>
    <w:sdt>
      <w:sdtPr>
        <w:rPr>
          <w:rFonts w:ascii="Arial" w:eastAsia="Arial" w:hAnsi="Arial" w:cs="Times New Roman"/>
          <w:color w:val="auto"/>
          <w:sz w:val="22"/>
          <w:szCs w:val="24"/>
        </w:rPr>
        <w:id w:val="-182973998"/>
        <w:docPartObj>
          <w:docPartGallery w:val="Table of Contents"/>
          <w:docPartUnique/>
        </w:docPartObj>
      </w:sdtPr>
      <w:sdtEndPr>
        <w:rPr>
          <w:b/>
          <w:bCs/>
        </w:rPr>
      </w:sdtEndPr>
      <w:sdtContent>
        <w:p w14:paraId="4D023903" w14:textId="28F92EFF" w:rsidR="007F18EF" w:rsidRPr="009E23A6" w:rsidRDefault="007F18EF">
          <w:pPr>
            <w:pStyle w:val="Nadpisobsahu"/>
            <w:rPr>
              <w:rFonts w:ascii="Arial" w:hAnsi="Arial" w:cs="Arial"/>
              <w:b/>
              <w:bCs/>
              <w:color w:val="auto"/>
              <w:sz w:val="24"/>
              <w:szCs w:val="24"/>
            </w:rPr>
          </w:pPr>
          <w:r w:rsidRPr="009E23A6">
            <w:rPr>
              <w:rFonts w:ascii="Arial" w:hAnsi="Arial" w:cs="Arial"/>
              <w:b/>
              <w:bCs/>
              <w:color w:val="auto"/>
              <w:sz w:val="24"/>
              <w:szCs w:val="24"/>
            </w:rPr>
            <w:t>Obsah</w:t>
          </w:r>
        </w:p>
        <w:p w14:paraId="3AEE7ED9" w14:textId="0D948AD6" w:rsidR="009E23A6" w:rsidRDefault="007F18EF">
          <w:pPr>
            <w:pStyle w:val="Obsah1"/>
            <w:rPr>
              <w:rFonts w:asciiTheme="minorHAnsi" w:eastAsiaTheme="minorEastAsia" w:hAnsiTheme="minorHAnsi" w:cstheme="minorBidi"/>
              <w:noProof/>
              <w:szCs w:val="22"/>
            </w:rPr>
          </w:pPr>
          <w:r w:rsidRPr="009E23A6">
            <w:fldChar w:fldCharType="begin"/>
          </w:r>
          <w:r w:rsidRPr="009E23A6">
            <w:instrText xml:space="preserve"> TOC \o "1-3" \h \z \u </w:instrText>
          </w:r>
          <w:r w:rsidRPr="009E23A6">
            <w:fldChar w:fldCharType="separate"/>
          </w:r>
          <w:hyperlink w:anchor="_Toc115938883" w:history="1">
            <w:r w:rsidR="009E23A6" w:rsidRPr="00D94627">
              <w:rPr>
                <w:rStyle w:val="Hypertextovodkaz"/>
                <w:noProof/>
              </w:rPr>
              <w:t>1.</w:t>
            </w:r>
            <w:r w:rsidR="009E23A6">
              <w:rPr>
                <w:rFonts w:asciiTheme="minorHAnsi" w:eastAsiaTheme="minorEastAsia" w:hAnsiTheme="minorHAnsi" w:cstheme="minorBidi"/>
                <w:noProof/>
                <w:szCs w:val="22"/>
              </w:rPr>
              <w:tab/>
            </w:r>
            <w:r w:rsidR="009E23A6" w:rsidRPr="00D94627">
              <w:rPr>
                <w:rStyle w:val="Hypertextovodkaz"/>
                <w:noProof/>
              </w:rPr>
              <w:t>Identifikační údaje</w:t>
            </w:r>
            <w:r w:rsidR="009E23A6">
              <w:rPr>
                <w:noProof/>
                <w:webHidden/>
              </w:rPr>
              <w:tab/>
            </w:r>
            <w:r w:rsidR="009E23A6">
              <w:rPr>
                <w:noProof/>
                <w:webHidden/>
              </w:rPr>
              <w:fldChar w:fldCharType="begin"/>
            </w:r>
            <w:r w:rsidR="009E23A6">
              <w:rPr>
                <w:noProof/>
                <w:webHidden/>
              </w:rPr>
              <w:instrText xml:space="preserve"> PAGEREF _Toc115938883 \h </w:instrText>
            </w:r>
            <w:r w:rsidR="009E23A6">
              <w:rPr>
                <w:noProof/>
                <w:webHidden/>
              </w:rPr>
            </w:r>
            <w:r w:rsidR="009E23A6">
              <w:rPr>
                <w:noProof/>
                <w:webHidden/>
              </w:rPr>
              <w:fldChar w:fldCharType="separate"/>
            </w:r>
            <w:r w:rsidR="009E23A6">
              <w:rPr>
                <w:noProof/>
                <w:webHidden/>
              </w:rPr>
              <w:t>3</w:t>
            </w:r>
            <w:r w:rsidR="009E23A6">
              <w:rPr>
                <w:noProof/>
                <w:webHidden/>
              </w:rPr>
              <w:fldChar w:fldCharType="end"/>
            </w:r>
          </w:hyperlink>
        </w:p>
        <w:p w14:paraId="6A852F02" w14:textId="737AE04A"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84" w:history="1">
            <w:r w:rsidR="009E23A6" w:rsidRPr="00D94627">
              <w:rPr>
                <w:rStyle w:val="Hypertextovodkaz"/>
                <w:rFonts w:cs="Arial"/>
                <w:noProof/>
              </w:rPr>
              <w:t>1.1.</w:t>
            </w:r>
            <w:r w:rsidR="009E23A6">
              <w:rPr>
                <w:rFonts w:asciiTheme="minorHAnsi" w:eastAsiaTheme="minorEastAsia" w:hAnsiTheme="minorHAnsi" w:cstheme="minorBidi"/>
                <w:noProof/>
                <w:szCs w:val="22"/>
              </w:rPr>
              <w:tab/>
            </w:r>
            <w:r w:rsidR="009E23A6" w:rsidRPr="00D94627">
              <w:rPr>
                <w:rStyle w:val="Hypertextovodkaz"/>
                <w:noProof/>
              </w:rPr>
              <w:t>Název Programu</w:t>
            </w:r>
            <w:r w:rsidR="009E23A6">
              <w:rPr>
                <w:noProof/>
                <w:webHidden/>
              </w:rPr>
              <w:tab/>
            </w:r>
            <w:r w:rsidR="009E23A6">
              <w:rPr>
                <w:noProof/>
                <w:webHidden/>
              </w:rPr>
              <w:fldChar w:fldCharType="begin"/>
            </w:r>
            <w:r w:rsidR="009E23A6">
              <w:rPr>
                <w:noProof/>
                <w:webHidden/>
              </w:rPr>
              <w:instrText xml:space="preserve"> PAGEREF _Toc115938884 \h </w:instrText>
            </w:r>
            <w:r w:rsidR="009E23A6">
              <w:rPr>
                <w:noProof/>
                <w:webHidden/>
              </w:rPr>
            </w:r>
            <w:r w:rsidR="009E23A6">
              <w:rPr>
                <w:noProof/>
                <w:webHidden/>
              </w:rPr>
              <w:fldChar w:fldCharType="separate"/>
            </w:r>
            <w:r w:rsidR="009E23A6">
              <w:rPr>
                <w:noProof/>
                <w:webHidden/>
              </w:rPr>
              <w:t>3</w:t>
            </w:r>
            <w:r w:rsidR="009E23A6">
              <w:rPr>
                <w:noProof/>
                <w:webHidden/>
              </w:rPr>
              <w:fldChar w:fldCharType="end"/>
            </w:r>
          </w:hyperlink>
        </w:p>
        <w:p w14:paraId="12695A50" w14:textId="3AD7082C"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85" w:history="1">
            <w:r w:rsidR="009E23A6" w:rsidRPr="00D94627">
              <w:rPr>
                <w:rStyle w:val="Hypertextovodkaz"/>
                <w:rFonts w:cs="Arial"/>
                <w:noProof/>
              </w:rPr>
              <w:t>1.2.</w:t>
            </w:r>
            <w:r w:rsidR="009E23A6">
              <w:rPr>
                <w:rFonts w:asciiTheme="minorHAnsi" w:eastAsiaTheme="minorEastAsia" w:hAnsiTheme="minorHAnsi" w:cstheme="minorBidi"/>
                <w:noProof/>
                <w:szCs w:val="22"/>
              </w:rPr>
              <w:tab/>
            </w:r>
            <w:r w:rsidR="009E23A6" w:rsidRPr="00D94627">
              <w:rPr>
                <w:rStyle w:val="Hypertextovodkaz"/>
                <w:noProof/>
              </w:rPr>
              <w:t>Právní rámec Programu</w:t>
            </w:r>
            <w:r w:rsidR="009E23A6">
              <w:rPr>
                <w:noProof/>
                <w:webHidden/>
              </w:rPr>
              <w:tab/>
            </w:r>
            <w:r w:rsidR="009E23A6">
              <w:rPr>
                <w:noProof/>
                <w:webHidden/>
              </w:rPr>
              <w:fldChar w:fldCharType="begin"/>
            </w:r>
            <w:r w:rsidR="009E23A6">
              <w:rPr>
                <w:noProof/>
                <w:webHidden/>
              </w:rPr>
              <w:instrText xml:space="preserve"> PAGEREF _Toc115938885 \h </w:instrText>
            </w:r>
            <w:r w:rsidR="009E23A6">
              <w:rPr>
                <w:noProof/>
                <w:webHidden/>
              </w:rPr>
            </w:r>
            <w:r w:rsidR="009E23A6">
              <w:rPr>
                <w:noProof/>
                <w:webHidden/>
              </w:rPr>
              <w:fldChar w:fldCharType="separate"/>
            </w:r>
            <w:r w:rsidR="009E23A6">
              <w:rPr>
                <w:noProof/>
                <w:webHidden/>
              </w:rPr>
              <w:t>3</w:t>
            </w:r>
            <w:r w:rsidR="009E23A6">
              <w:rPr>
                <w:noProof/>
                <w:webHidden/>
              </w:rPr>
              <w:fldChar w:fldCharType="end"/>
            </w:r>
          </w:hyperlink>
        </w:p>
        <w:p w14:paraId="6EBA68D4" w14:textId="324F2B7D"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86" w:history="1">
            <w:r w:rsidR="009E23A6" w:rsidRPr="00D94627">
              <w:rPr>
                <w:rStyle w:val="Hypertextovodkaz"/>
                <w:rFonts w:cs="Arial"/>
                <w:noProof/>
              </w:rPr>
              <w:t>1.3.</w:t>
            </w:r>
            <w:r w:rsidR="009E23A6">
              <w:rPr>
                <w:rFonts w:asciiTheme="minorHAnsi" w:eastAsiaTheme="minorEastAsia" w:hAnsiTheme="minorHAnsi" w:cstheme="minorBidi"/>
                <w:noProof/>
                <w:szCs w:val="22"/>
              </w:rPr>
              <w:tab/>
            </w:r>
            <w:r w:rsidR="009E23A6" w:rsidRPr="00D94627">
              <w:rPr>
                <w:rStyle w:val="Hypertextovodkaz"/>
                <w:noProof/>
              </w:rPr>
              <w:t>Poskytovatel</w:t>
            </w:r>
            <w:r w:rsidR="009E23A6">
              <w:rPr>
                <w:noProof/>
                <w:webHidden/>
              </w:rPr>
              <w:tab/>
            </w:r>
            <w:r w:rsidR="009E23A6">
              <w:rPr>
                <w:noProof/>
                <w:webHidden/>
              </w:rPr>
              <w:fldChar w:fldCharType="begin"/>
            </w:r>
            <w:r w:rsidR="009E23A6">
              <w:rPr>
                <w:noProof/>
                <w:webHidden/>
              </w:rPr>
              <w:instrText xml:space="preserve"> PAGEREF _Toc115938886 \h </w:instrText>
            </w:r>
            <w:r w:rsidR="009E23A6">
              <w:rPr>
                <w:noProof/>
                <w:webHidden/>
              </w:rPr>
            </w:r>
            <w:r w:rsidR="009E23A6">
              <w:rPr>
                <w:noProof/>
                <w:webHidden/>
              </w:rPr>
              <w:fldChar w:fldCharType="separate"/>
            </w:r>
            <w:r w:rsidR="009E23A6">
              <w:rPr>
                <w:noProof/>
                <w:webHidden/>
              </w:rPr>
              <w:t>4</w:t>
            </w:r>
            <w:r w:rsidR="009E23A6">
              <w:rPr>
                <w:noProof/>
                <w:webHidden/>
              </w:rPr>
              <w:fldChar w:fldCharType="end"/>
            </w:r>
          </w:hyperlink>
        </w:p>
        <w:p w14:paraId="00548EF2" w14:textId="11C08D16"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87" w:history="1">
            <w:r w:rsidR="009E23A6" w:rsidRPr="00D94627">
              <w:rPr>
                <w:rStyle w:val="Hypertextovodkaz"/>
                <w:rFonts w:cs="Arial"/>
                <w:noProof/>
              </w:rPr>
              <w:t>1.4.</w:t>
            </w:r>
            <w:r w:rsidR="009E23A6">
              <w:rPr>
                <w:rFonts w:asciiTheme="minorHAnsi" w:eastAsiaTheme="minorEastAsia" w:hAnsiTheme="minorHAnsi" w:cstheme="minorBidi"/>
                <w:noProof/>
                <w:szCs w:val="22"/>
              </w:rPr>
              <w:tab/>
            </w:r>
            <w:r w:rsidR="009E23A6" w:rsidRPr="00D94627">
              <w:rPr>
                <w:rStyle w:val="Hypertextovodkaz"/>
                <w:noProof/>
              </w:rPr>
              <w:t>Identifikační kód Programu</w:t>
            </w:r>
            <w:r w:rsidR="009E23A6">
              <w:rPr>
                <w:noProof/>
                <w:webHidden/>
              </w:rPr>
              <w:tab/>
            </w:r>
            <w:r w:rsidR="009E23A6">
              <w:rPr>
                <w:noProof/>
                <w:webHidden/>
              </w:rPr>
              <w:fldChar w:fldCharType="begin"/>
            </w:r>
            <w:r w:rsidR="009E23A6">
              <w:rPr>
                <w:noProof/>
                <w:webHidden/>
              </w:rPr>
              <w:instrText xml:space="preserve"> PAGEREF _Toc115938887 \h </w:instrText>
            </w:r>
            <w:r w:rsidR="009E23A6">
              <w:rPr>
                <w:noProof/>
                <w:webHidden/>
              </w:rPr>
            </w:r>
            <w:r w:rsidR="009E23A6">
              <w:rPr>
                <w:noProof/>
                <w:webHidden/>
              </w:rPr>
              <w:fldChar w:fldCharType="separate"/>
            </w:r>
            <w:r w:rsidR="009E23A6">
              <w:rPr>
                <w:noProof/>
                <w:webHidden/>
              </w:rPr>
              <w:t>4</w:t>
            </w:r>
            <w:r w:rsidR="009E23A6">
              <w:rPr>
                <w:noProof/>
                <w:webHidden/>
              </w:rPr>
              <w:fldChar w:fldCharType="end"/>
            </w:r>
          </w:hyperlink>
        </w:p>
        <w:p w14:paraId="46FC8C31" w14:textId="1B990AA6"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88" w:history="1">
            <w:r w:rsidR="009E23A6" w:rsidRPr="00D94627">
              <w:rPr>
                <w:rStyle w:val="Hypertextovodkaz"/>
                <w:rFonts w:cs="Arial"/>
                <w:noProof/>
              </w:rPr>
              <w:t>1.5.</w:t>
            </w:r>
            <w:r w:rsidR="009E23A6">
              <w:rPr>
                <w:rFonts w:asciiTheme="minorHAnsi" w:eastAsiaTheme="minorEastAsia" w:hAnsiTheme="minorHAnsi" w:cstheme="minorBidi"/>
                <w:noProof/>
                <w:szCs w:val="22"/>
              </w:rPr>
              <w:tab/>
            </w:r>
            <w:r w:rsidR="009E23A6" w:rsidRPr="00D94627">
              <w:rPr>
                <w:rStyle w:val="Hypertextovodkaz"/>
                <w:noProof/>
              </w:rPr>
              <w:t>Doba trvání Programu</w:t>
            </w:r>
            <w:r w:rsidR="009E23A6">
              <w:rPr>
                <w:noProof/>
                <w:webHidden/>
              </w:rPr>
              <w:tab/>
            </w:r>
            <w:r w:rsidR="009E23A6">
              <w:rPr>
                <w:noProof/>
                <w:webHidden/>
              </w:rPr>
              <w:fldChar w:fldCharType="begin"/>
            </w:r>
            <w:r w:rsidR="009E23A6">
              <w:rPr>
                <w:noProof/>
                <w:webHidden/>
              </w:rPr>
              <w:instrText xml:space="preserve"> PAGEREF _Toc115938888 \h </w:instrText>
            </w:r>
            <w:r w:rsidR="009E23A6">
              <w:rPr>
                <w:noProof/>
                <w:webHidden/>
              </w:rPr>
            </w:r>
            <w:r w:rsidR="009E23A6">
              <w:rPr>
                <w:noProof/>
                <w:webHidden/>
              </w:rPr>
              <w:fldChar w:fldCharType="separate"/>
            </w:r>
            <w:r w:rsidR="009E23A6">
              <w:rPr>
                <w:noProof/>
                <w:webHidden/>
              </w:rPr>
              <w:t>4</w:t>
            </w:r>
            <w:r w:rsidR="009E23A6">
              <w:rPr>
                <w:noProof/>
                <w:webHidden/>
              </w:rPr>
              <w:fldChar w:fldCharType="end"/>
            </w:r>
          </w:hyperlink>
        </w:p>
        <w:p w14:paraId="619B0912" w14:textId="55842A1B" w:rsidR="009E23A6" w:rsidRDefault="00F830E2">
          <w:pPr>
            <w:pStyle w:val="Obsah1"/>
            <w:rPr>
              <w:rFonts w:asciiTheme="minorHAnsi" w:eastAsiaTheme="minorEastAsia" w:hAnsiTheme="minorHAnsi" w:cstheme="minorBidi"/>
              <w:noProof/>
              <w:szCs w:val="22"/>
            </w:rPr>
          </w:pPr>
          <w:hyperlink w:anchor="_Toc115938889" w:history="1">
            <w:r w:rsidR="009E23A6" w:rsidRPr="00D94627">
              <w:rPr>
                <w:rStyle w:val="Hypertextovodkaz"/>
                <w:noProof/>
              </w:rPr>
              <w:t>2.</w:t>
            </w:r>
            <w:r w:rsidR="009E23A6">
              <w:rPr>
                <w:rFonts w:asciiTheme="minorHAnsi" w:eastAsiaTheme="minorEastAsia" w:hAnsiTheme="minorHAnsi" w:cstheme="minorBidi"/>
                <w:noProof/>
                <w:szCs w:val="22"/>
              </w:rPr>
              <w:tab/>
            </w:r>
            <w:r w:rsidR="009E23A6" w:rsidRPr="00D94627">
              <w:rPr>
                <w:rStyle w:val="Hypertextovodkaz"/>
                <w:noProof/>
              </w:rPr>
              <w:t>Poslání a odůvodnění Programu</w:t>
            </w:r>
            <w:r w:rsidR="009E23A6">
              <w:rPr>
                <w:noProof/>
                <w:webHidden/>
              </w:rPr>
              <w:tab/>
            </w:r>
            <w:r w:rsidR="009E23A6">
              <w:rPr>
                <w:noProof/>
                <w:webHidden/>
              </w:rPr>
              <w:fldChar w:fldCharType="begin"/>
            </w:r>
            <w:r w:rsidR="009E23A6">
              <w:rPr>
                <w:noProof/>
                <w:webHidden/>
              </w:rPr>
              <w:instrText xml:space="preserve"> PAGEREF _Toc115938889 \h </w:instrText>
            </w:r>
            <w:r w:rsidR="009E23A6">
              <w:rPr>
                <w:noProof/>
                <w:webHidden/>
              </w:rPr>
            </w:r>
            <w:r w:rsidR="009E23A6">
              <w:rPr>
                <w:noProof/>
                <w:webHidden/>
              </w:rPr>
              <w:fldChar w:fldCharType="separate"/>
            </w:r>
            <w:r w:rsidR="009E23A6">
              <w:rPr>
                <w:noProof/>
                <w:webHidden/>
              </w:rPr>
              <w:t>5</w:t>
            </w:r>
            <w:r w:rsidR="009E23A6">
              <w:rPr>
                <w:noProof/>
                <w:webHidden/>
              </w:rPr>
              <w:fldChar w:fldCharType="end"/>
            </w:r>
          </w:hyperlink>
        </w:p>
        <w:p w14:paraId="13B7D487" w14:textId="30F29A0A"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90" w:history="1">
            <w:r w:rsidR="009E23A6" w:rsidRPr="00D94627">
              <w:rPr>
                <w:rStyle w:val="Hypertextovodkaz"/>
                <w:rFonts w:cs="Arial"/>
                <w:noProof/>
              </w:rPr>
              <w:t>2.1.</w:t>
            </w:r>
            <w:r w:rsidR="009E23A6">
              <w:rPr>
                <w:rFonts w:asciiTheme="minorHAnsi" w:eastAsiaTheme="minorEastAsia" w:hAnsiTheme="minorHAnsi" w:cstheme="minorBidi"/>
                <w:noProof/>
                <w:szCs w:val="22"/>
              </w:rPr>
              <w:tab/>
            </w:r>
            <w:r w:rsidR="009E23A6" w:rsidRPr="00D94627">
              <w:rPr>
                <w:rStyle w:val="Hypertextovodkaz"/>
                <w:noProof/>
              </w:rPr>
              <w:t>Řešená problematika</w:t>
            </w:r>
            <w:r w:rsidR="009E23A6">
              <w:rPr>
                <w:noProof/>
                <w:webHidden/>
              </w:rPr>
              <w:tab/>
            </w:r>
            <w:r w:rsidR="009E23A6">
              <w:rPr>
                <w:noProof/>
                <w:webHidden/>
              </w:rPr>
              <w:fldChar w:fldCharType="begin"/>
            </w:r>
            <w:r w:rsidR="009E23A6">
              <w:rPr>
                <w:noProof/>
                <w:webHidden/>
              </w:rPr>
              <w:instrText xml:space="preserve"> PAGEREF _Toc115938890 \h </w:instrText>
            </w:r>
            <w:r w:rsidR="009E23A6">
              <w:rPr>
                <w:noProof/>
                <w:webHidden/>
              </w:rPr>
            </w:r>
            <w:r w:rsidR="009E23A6">
              <w:rPr>
                <w:noProof/>
                <w:webHidden/>
              </w:rPr>
              <w:fldChar w:fldCharType="separate"/>
            </w:r>
            <w:r w:rsidR="009E23A6">
              <w:rPr>
                <w:noProof/>
                <w:webHidden/>
              </w:rPr>
              <w:t>5</w:t>
            </w:r>
            <w:r w:rsidR="009E23A6">
              <w:rPr>
                <w:noProof/>
                <w:webHidden/>
              </w:rPr>
              <w:fldChar w:fldCharType="end"/>
            </w:r>
          </w:hyperlink>
        </w:p>
        <w:p w14:paraId="0E61027B" w14:textId="4E37F840"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91" w:history="1">
            <w:r w:rsidR="009E23A6" w:rsidRPr="00D94627">
              <w:rPr>
                <w:rStyle w:val="Hypertextovodkaz"/>
                <w:rFonts w:cs="Arial"/>
                <w:noProof/>
              </w:rPr>
              <w:t>2.2.</w:t>
            </w:r>
            <w:r w:rsidR="009E23A6">
              <w:rPr>
                <w:rFonts w:asciiTheme="minorHAnsi" w:eastAsiaTheme="minorEastAsia" w:hAnsiTheme="minorHAnsi" w:cstheme="minorBidi"/>
                <w:noProof/>
                <w:szCs w:val="22"/>
              </w:rPr>
              <w:tab/>
            </w:r>
            <w:r w:rsidR="009E23A6" w:rsidRPr="00D94627">
              <w:rPr>
                <w:rStyle w:val="Hypertextovodkaz"/>
                <w:noProof/>
              </w:rPr>
              <w:t>Předchozí programy</w:t>
            </w:r>
            <w:r w:rsidR="009E23A6">
              <w:rPr>
                <w:noProof/>
                <w:webHidden/>
              </w:rPr>
              <w:tab/>
            </w:r>
            <w:r w:rsidR="009E23A6">
              <w:rPr>
                <w:noProof/>
                <w:webHidden/>
              </w:rPr>
              <w:fldChar w:fldCharType="begin"/>
            </w:r>
            <w:r w:rsidR="009E23A6">
              <w:rPr>
                <w:noProof/>
                <w:webHidden/>
              </w:rPr>
              <w:instrText xml:space="preserve"> PAGEREF _Toc115938891 \h </w:instrText>
            </w:r>
            <w:r w:rsidR="009E23A6">
              <w:rPr>
                <w:noProof/>
                <w:webHidden/>
              </w:rPr>
            </w:r>
            <w:r w:rsidR="009E23A6">
              <w:rPr>
                <w:noProof/>
                <w:webHidden/>
              </w:rPr>
              <w:fldChar w:fldCharType="separate"/>
            </w:r>
            <w:r w:rsidR="009E23A6">
              <w:rPr>
                <w:noProof/>
                <w:webHidden/>
              </w:rPr>
              <w:t>6</w:t>
            </w:r>
            <w:r w:rsidR="009E23A6">
              <w:rPr>
                <w:noProof/>
                <w:webHidden/>
              </w:rPr>
              <w:fldChar w:fldCharType="end"/>
            </w:r>
          </w:hyperlink>
        </w:p>
        <w:p w14:paraId="3AA8EE71" w14:textId="32B5ECA7"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92" w:history="1">
            <w:r w:rsidR="009E23A6" w:rsidRPr="00D94627">
              <w:rPr>
                <w:rStyle w:val="Hypertextovodkaz"/>
                <w:rFonts w:cs="Arial"/>
                <w:noProof/>
              </w:rPr>
              <w:t>2.3.</w:t>
            </w:r>
            <w:r w:rsidR="009E23A6">
              <w:rPr>
                <w:rFonts w:asciiTheme="minorHAnsi" w:eastAsiaTheme="minorEastAsia" w:hAnsiTheme="minorHAnsi" w:cstheme="minorBidi"/>
                <w:noProof/>
                <w:szCs w:val="22"/>
              </w:rPr>
              <w:tab/>
            </w:r>
            <w:r w:rsidR="009E23A6" w:rsidRPr="00D94627">
              <w:rPr>
                <w:rStyle w:val="Hypertextovodkaz"/>
                <w:noProof/>
              </w:rPr>
              <w:t>Celospolečenský přínos</w:t>
            </w:r>
            <w:r w:rsidR="009E23A6">
              <w:rPr>
                <w:noProof/>
                <w:webHidden/>
              </w:rPr>
              <w:tab/>
            </w:r>
            <w:r w:rsidR="009E23A6">
              <w:rPr>
                <w:noProof/>
                <w:webHidden/>
              </w:rPr>
              <w:fldChar w:fldCharType="begin"/>
            </w:r>
            <w:r w:rsidR="009E23A6">
              <w:rPr>
                <w:noProof/>
                <w:webHidden/>
              </w:rPr>
              <w:instrText xml:space="preserve"> PAGEREF _Toc115938892 \h </w:instrText>
            </w:r>
            <w:r w:rsidR="009E23A6">
              <w:rPr>
                <w:noProof/>
                <w:webHidden/>
              </w:rPr>
            </w:r>
            <w:r w:rsidR="009E23A6">
              <w:rPr>
                <w:noProof/>
                <w:webHidden/>
              </w:rPr>
              <w:fldChar w:fldCharType="separate"/>
            </w:r>
            <w:r w:rsidR="009E23A6">
              <w:rPr>
                <w:noProof/>
                <w:webHidden/>
              </w:rPr>
              <w:t>7</w:t>
            </w:r>
            <w:r w:rsidR="009E23A6">
              <w:rPr>
                <w:noProof/>
                <w:webHidden/>
              </w:rPr>
              <w:fldChar w:fldCharType="end"/>
            </w:r>
          </w:hyperlink>
        </w:p>
        <w:p w14:paraId="7DD04302" w14:textId="6A99EBB1"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93" w:history="1">
            <w:r w:rsidR="009E23A6" w:rsidRPr="00D94627">
              <w:rPr>
                <w:rStyle w:val="Hypertextovodkaz"/>
                <w:rFonts w:cs="Arial"/>
                <w:noProof/>
              </w:rPr>
              <w:t>2.4.</w:t>
            </w:r>
            <w:r w:rsidR="009E23A6">
              <w:rPr>
                <w:rFonts w:asciiTheme="minorHAnsi" w:eastAsiaTheme="minorEastAsia" w:hAnsiTheme="minorHAnsi" w:cstheme="minorBidi"/>
                <w:noProof/>
                <w:szCs w:val="22"/>
              </w:rPr>
              <w:tab/>
            </w:r>
            <w:r w:rsidR="009E23A6" w:rsidRPr="00D94627">
              <w:rPr>
                <w:rStyle w:val="Hypertextovodkaz"/>
                <w:noProof/>
              </w:rPr>
              <w:t>Cíle Programu</w:t>
            </w:r>
            <w:r w:rsidR="009E23A6">
              <w:rPr>
                <w:noProof/>
                <w:webHidden/>
              </w:rPr>
              <w:tab/>
            </w:r>
            <w:r w:rsidR="009E23A6">
              <w:rPr>
                <w:noProof/>
                <w:webHidden/>
              </w:rPr>
              <w:fldChar w:fldCharType="begin"/>
            </w:r>
            <w:r w:rsidR="009E23A6">
              <w:rPr>
                <w:noProof/>
                <w:webHidden/>
              </w:rPr>
              <w:instrText xml:space="preserve"> PAGEREF _Toc115938893 \h </w:instrText>
            </w:r>
            <w:r w:rsidR="009E23A6">
              <w:rPr>
                <w:noProof/>
                <w:webHidden/>
              </w:rPr>
            </w:r>
            <w:r w:rsidR="009E23A6">
              <w:rPr>
                <w:noProof/>
                <w:webHidden/>
              </w:rPr>
              <w:fldChar w:fldCharType="separate"/>
            </w:r>
            <w:r w:rsidR="009E23A6">
              <w:rPr>
                <w:noProof/>
                <w:webHidden/>
              </w:rPr>
              <w:t>7</w:t>
            </w:r>
            <w:r w:rsidR="009E23A6">
              <w:rPr>
                <w:noProof/>
                <w:webHidden/>
              </w:rPr>
              <w:fldChar w:fldCharType="end"/>
            </w:r>
          </w:hyperlink>
        </w:p>
        <w:p w14:paraId="39A79B63" w14:textId="24736EAA"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894" w:history="1">
            <w:r w:rsidR="009E23A6" w:rsidRPr="00D94627">
              <w:rPr>
                <w:rStyle w:val="Hypertextovodkaz"/>
                <w:rFonts w:cs="Arial"/>
                <w:noProof/>
              </w:rPr>
              <w:t>2.5.</w:t>
            </w:r>
            <w:r w:rsidR="009E23A6">
              <w:rPr>
                <w:rFonts w:asciiTheme="minorHAnsi" w:eastAsiaTheme="minorEastAsia" w:hAnsiTheme="minorHAnsi" w:cstheme="minorBidi"/>
                <w:noProof/>
                <w:szCs w:val="22"/>
              </w:rPr>
              <w:tab/>
            </w:r>
            <w:r w:rsidR="009E23A6" w:rsidRPr="00D94627">
              <w:rPr>
                <w:rStyle w:val="Hypertextovodkaz"/>
                <w:noProof/>
              </w:rPr>
              <w:t>Odůvodnění cílů Programu</w:t>
            </w:r>
            <w:r w:rsidR="009E23A6">
              <w:rPr>
                <w:noProof/>
                <w:webHidden/>
              </w:rPr>
              <w:tab/>
            </w:r>
            <w:r w:rsidR="009E23A6">
              <w:rPr>
                <w:noProof/>
                <w:webHidden/>
              </w:rPr>
              <w:fldChar w:fldCharType="begin"/>
            </w:r>
            <w:r w:rsidR="009E23A6">
              <w:rPr>
                <w:noProof/>
                <w:webHidden/>
              </w:rPr>
              <w:instrText xml:space="preserve"> PAGEREF _Toc115938894 \h </w:instrText>
            </w:r>
            <w:r w:rsidR="009E23A6">
              <w:rPr>
                <w:noProof/>
                <w:webHidden/>
              </w:rPr>
            </w:r>
            <w:r w:rsidR="009E23A6">
              <w:rPr>
                <w:noProof/>
                <w:webHidden/>
              </w:rPr>
              <w:fldChar w:fldCharType="separate"/>
            </w:r>
            <w:r w:rsidR="009E23A6">
              <w:rPr>
                <w:noProof/>
                <w:webHidden/>
              </w:rPr>
              <w:t>8</w:t>
            </w:r>
            <w:r w:rsidR="009E23A6">
              <w:rPr>
                <w:noProof/>
                <w:webHidden/>
              </w:rPr>
              <w:fldChar w:fldCharType="end"/>
            </w:r>
          </w:hyperlink>
        </w:p>
        <w:p w14:paraId="6E0101F3" w14:textId="064223E2" w:rsidR="009E23A6" w:rsidRDefault="00F830E2">
          <w:pPr>
            <w:pStyle w:val="Obsah1"/>
            <w:rPr>
              <w:rFonts w:asciiTheme="minorHAnsi" w:eastAsiaTheme="minorEastAsia" w:hAnsiTheme="minorHAnsi" w:cstheme="minorBidi"/>
              <w:noProof/>
              <w:szCs w:val="22"/>
            </w:rPr>
          </w:pPr>
          <w:hyperlink w:anchor="_Toc115938895" w:history="1">
            <w:r w:rsidR="009E23A6" w:rsidRPr="00D94627">
              <w:rPr>
                <w:rStyle w:val="Hypertextovodkaz"/>
                <w:noProof/>
              </w:rPr>
              <w:t>3.</w:t>
            </w:r>
            <w:r w:rsidR="009E23A6">
              <w:rPr>
                <w:rFonts w:asciiTheme="minorHAnsi" w:eastAsiaTheme="minorEastAsia" w:hAnsiTheme="minorHAnsi" w:cstheme="minorBidi"/>
                <w:noProof/>
                <w:szCs w:val="22"/>
              </w:rPr>
              <w:tab/>
            </w:r>
            <w:r w:rsidR="009E23A6" w:rsidRPr="00D94627">
              <w:rPr>
                <w:rStyle w:val="Hypertextovodkaz"/>
                <w:noProof/>
              </w:rPr>
              <w:t>Výdaje na Program</w:t>
            </w:r>
            <w:r w:rsidR="009E23A6">
              <w:rPr>
                <w:noProof/>
                <w:webHidden/>
              </w:rPr>
              <w:tab/>
            </w:r>
            <w:r w:rsidR="009E23A6">
              <w:rPr>
                <w:noProof/>
                <w:webHidden/>
              </w:rPr>
              <w:fldChar w:fldCharType="begin"/>
            </w:r>
            <w:r w:rsidR="009E23A6">
              <w:rPr>
                <w:noProof/>
                <w:webHidden/>
              </w:rPr>
              <w:instrText xml:space="preserve"> PAGEREF _Toc115938895 \h </w:instrText>
            </w:r>
            <w:r w:rsidR="009E23A6">
              <w:rPr>
                <w:noProof/>
                <w:webHidden/>
              </w:rPr>
            </w:r>
            <w:r w:rsidR="009E23A6">
              <w:rPr>
                <w:noProof/>
                <w:webHidden/>
              </w:rPr>
              <w:fldChar w:fldCharType="separate"/>
            </w:r>
            <w:r w:rsidR="009E23A6">
              <w:rPr>
                <w:noProof/>
                <w:webHidden/>
              </w:rPr>
              <w:t>11</w:t>
            </w:r>
            <w:r w:rsidR="009E23A6">
              <w:rPr>
                <w:noProof/>
                <w:webHidden/>
              </w:rPr>
              <w:fldChar w:fldCharType="end"/>
            </w:r>
          </w:hyperlink>
        </w:p>
        <w:p w14:paraId="37B4B114" w14:textId="3ABE6054" w:rsidR="009E23A6" w:rsidRDefault="00F830E2">
          <w:pPr>
            <w:pStyle w:val="Obsah1"/>
            <w:rPr>
              <w:rFonts w:asciiTheme="minorHAnsi" w:eastAsiaTheme="minorEastAsia" w:hAnsiTheme="minorHAnsi" w:cstheme="minorBidi"/>
              <w:noProof/>
              <w:szCs w:val="22"/>
            </w:rPr>
          </w:pPr>
          <w:hyperlink w:anchor="_Toc115938896" w:history="1">
            <w:r w:rsidR="009E23A6" w:rsidRPr="00D94627">
              <w:rPr>
                <w:rStyle w:val="Hypertextovodkaz"/>
                <w:noProof/>
              </w:rPr>
              <w:t>4.</w:t>
            </w:r>
            <w:r w:rsidR="009E23A6">
              <w:rPr>
                <w:rFonts w:asciiTheme="minorHAnsi" w:eastAsiaTheme="minorEastAsia" w:hAnsiTheme="minorHAnsi" w:cstheme="minorBidi"/>
                <w:noProof/>
                <w:szCs w:val="22"/>
              </w:rPr>
              <w:tab/>
            </w:r>
            <w:r w:rsidR="009E23A6" w:rsidRPr="00D94627">
              <w:rPr>
                <w:rStyle w:val="Hypertextovodkaz"/>
                <w:noProof/>
              </w:rPr>
              <w:t>Intenzita podpory</w:t>
            </w:r>
            <w:r w:rsidR="009E23A6">
              <w:rPr>
                <w:noProof/>
                <w:webHidden/>
              </w:rPr>
              <w:tab/>
            </w:r>
            <w:r w:rsidR="009E23A6">
              <w:rPr>
                <w:noProof/>
                <w:webHidden/>
              </w:rPr>
              <w:fldChar w:fldCharType="begin"/>
            </w:r>
            <w:r w:rsidR="009E23A6">
              <w:rPr>
                <w:noProof/>
                <w:webHidden/>
              </w:rPr>
              <w:instrText xml:space="preserve"> PAGEREF _Toc115938896 \h </w:instrText>
            </w:r>
            <w:r w:rsidR="009E23A6">
              <w:rPr>
                <w:noProof/>
                <w:webHidden/>
              </w:rPr>
            </w:r>
            <w:r w:rsidR="009E23A6">
              <w:rPr>
                <w:noProof/>
                <w:webHidden/>
              </w:rPr>
              <w:fldChar w:fldCharType="separate"/>
            </w:r>
            <w:r w:rsidR="009E23A6">
              <w:rPr>
                <w:noProof/>
                <w:webHidden/>
              </w:rPr>
              <w:t>11</w:t>
            </w:r>
            <w:r w:rsidR="009E23A6">
              <w:rPr>
                <w:noProof/>
                <w:webHidden/>
              </w:rPr>
              <w:fldChar w:fldCharType="end"/>
            </w:r>
          </w:hyperlink>
        </w:p>
        <w:p w14:paraId="29FA1207" w14:textId="2D0AEF30" w:rsidR="009E23A6" w:rsidRDefault="00F830E2">
          <w:pPr>
            <w:pStyle w:val="Obsah1"/>
            <w:rPr>
              <w:rFonts w:asciiTheme="minorHAnsi" w:eastAsiaTheme="minorEastAsia" w:hAnsiTheme="minorHAnsi" w:cstheme="minorBidi"/>
              <w:noProof/>
              <w:szCs w:val="22"/>
            </w:rPr>
          </w:pPr>
          <w:hyperlink w:anchor="_Toc115938897" w:history="1">
            <w:r w:rsidR="009E23A6" w:rsidRPr="00D94627">
              <w:rPr>
                <w:rStyle w:val="Hypertextovodkaz"/>
                <w:noProof/>
              </w:rPr>
              <w:t>5.</w:t>
            </w:r>
            <w:r w:rsidR="009E23A6">
              <w:rPr>
                <w:rFonts w:asciiTheme="minorHAnsi" w:eastAsiaTheme="minorEastAsia" w:hAnsiTheme="minorHAnsi" w:cstheme="minorBidi"/>
                <w:noProof/>
                <w:szCs w:val="22"/>
              </w:rPr>
              <w:tab/>
            </w:r>
            <w:r w:rsidR="009E23A6" w:rsidRPr="00D94627">
              <w:rPr>
                <w:rStyle w:val="Hypertextovodkaz"/>
                <w:noProof/>
              </w:rPr>
              <w:t>Příjemci podpory</w:t>
            </w:r>
            <w:r w:rsidR="009E23A6">
              <w:rPr>
                <w:noProof/>
                <w:webHidden/>
              </w:rPr>
              <w:tab/>
            </w:r>
            <w:r w:rsidR="009E23A6">
              <w:rPr>
                <w:noProof/>
                <w:webHidden/>
              </w:rPr>
              <w:fldChar w:fldCharType="begin"/>
            </w:r>
            <w:r w:rsidR="009E23A6">
              <w:rPr>
                <w:noProof/>
                <w:webHidden/>
              </w:rPr>
              <w:instrText xml:space="preserve"> PAGEREF _Toc115938897 \h </w:instrText>
            </w:r>
            <w:r w:rsidR="009E23A6">
              <w:rPr>
                <w:noProof/>
                <w:webHidden/>
              </w:rPr>
            </w:r>
            <w:r w:rsidR="009E23A6">
              <w:rPr>
                <w:noProof/>
                <w:webHidden/>
              </w:rPr>
              <w:fldChar w:fldCharType="separate"/>
            </w:r>
            <w:r w:rsidR="009E23A6">
              <w:rPr>
                <w:noProof/>
                <w:webHidden/>
              </w:rPr>
              <w:t>14</w:t>
            </w:r>
            <w:r w:rsidR="009E23A6">
              <w:rPr>
                <w:noProof/>
                <w:webHidden/>
              </w:rPr>
              <w:fldChar w:fldCharType="end"/>
            </w:r>
          </w:hyperlink>
        </w:p>
        <w:p w14:paraId="79924E23" w14:textId="6D05F1F6" w:rsidR="009E23A6" w:rsidRDefault="00F830E2">
          <w:pPr>
            <w:pStyle w:val="Obsah1"/>
            <w:rPr>
              <w:rFonts w:asciiTheme="minorHAnsi" w:eastAsiaTheme="minorEastAsia" w:hAnsiTheme="minorHAnsi" w:cstheme="minorBidi"/>
              <w:noProof/>
              <w:szCs w:val="22"/>
            </w:rPr>
          </w:pPr>
          <w:hyperlink w:anchor="_Toc115938898" w:history="1">
            <w:r w:rsidR="009E23A6" w:rsidRPr="00D94627">
              <w:rPr>
                <w:rStyle w:val="Hypertextovodkaz"/>
                <w:noProof/>
              </w:rPr>
              <w:t>6.</w:t>
            </w:r>
            <w:r w:rsidR="009E23A6">
              <w:rPr>
                <w:rFonts w:asciiTheme="minorHAnsi" w:eastAsiaTheme="minorEastAsia" w:hAnsiTheme="minorHAnsi" w:cstheme="minorBidi"/>
                <w:noProof/>
                <w:szCs w:val="22"/>
              </w:rPr>
              <w:tab/>
            </w:r>
            <w:r w:rsidR="009E23A6" w:rsidRPr="00D94627">
              <w:rPr>
                <w:rStyle w:val="Hypertextovodkaz"/>
                <w:noProof/>
              </w:rPr>
              <w:t>Způsobilost uchazečů o podporu</w:t>
            </w:r>
            <w:r w:rsidR="009E23A6">
              <w:rPr>
                <w:noProof/>
                <w:webHidden/>
              </w:rPr>
              <w:tab/>
            </w:r>
            <w:r w:rsidR="009E23A6">
              <w:rPr>
                <w:noProof/>
                <w:webHidden/>
              </w:rPr>
              <w:fldChar w:fldCharType="begin"/>
            </w:r>
            <w:r w:rsidR="009E23A6">
              <w:rPr>
                <w:noProof/>
                <w:webHidden/>
              </w:rPr>
              <w:instrText xml:space="preserve"> PAGEREF _Toc115938898 \h </w:instrText>
            </w:r>
            <w:r w:rsidR="009E23A6">
              <w:rPr>
                <w:noProof/>
                <w:webHidden/>
              </w:rPr>
            </w:r>
            <w:r w:rsidR="009E23A6">
              <w:rPr>
                <w:noProof/>
                <w:webHidden/>
              </w:rPr>
              <w:fldChar w:fldCharType="separate"/>
            </w:r>
            <w:r w:rsidR="009E23A6">
              <w:rPr>
                <w:noProof/>
                <w:webHidden/>
              </w:rPr>
              <w:t>14</w:t>
            </w:r>
            <w:r w:rsidR="009E23A6">
              <w:rPr>
                <w:noProof/>
                <w:webHidden/>
              </w:rPr>
              <w:fldChar w:fldCharType="end"/>
            </w:r>
          </w:hyperlink>
        </w:p>
        <w:p w14:paraId="7CCC8C5F" w14:textId="43A62BC2" w:rsidR="009E23A6" w:rsidRDefault="00F830E2">
          <w:pPr>
            <w:pStyle w:val="Obsah1"/>
            <w:rPr>
              <w:rFonts w:asciiTheme="minorHAnsi" w:eastAsiaTheme="minorEastAsia" w:hAnsiTheme="minorHAnsi" w:cstheme="minorBidi"/>
              <w:noProof/>
              <w:szCs w:val="22"/>
            </w:rPr>
          </w:pPr>
          <w:hyperlink w:anchor="_Toc115938899" w:history="1">
            <w:r w:rsidR="009E23A6" w:rsidRPr="00D94627">
              <w:rPr>
                <w:rStyle w:val="Hypertextovodkaz"/>
                <w:noProof/>
              </w:rPr>
              <w:t>7.</w:t>
            </w:r>
            <w:r w:rsidR="009E23A6">
              <w:rPr>
                <w:rFonts w:asciiTheme="minorHAnsi" w:eastAsiaTheme="minorEastAsia" w:hAnsiTheme="minorHAnsi" w:cstheme="minorBidi"/>
                <w:noProof/>
                <w:szCs w:val="22"/>
              </w:rPr>
              <w:tab/>
            </w:r>
            <w:r w:rsidR="009E23A6" w:rsidRPr="00D94627">
              <w:rPr>
                <w:rStyle w:val="Hypertextovodkaz"/>
                <w:noProof/>
              </w:rPr>
              <w:t>Způsobilé a uznané náklady</w:t>
            </w:r>
            <w:r w:rsidR="009E23A6">
              <w:rPr>
                <w:noProof/>
                <w:webHidden/>
              </w:rPr>
              <w:tab/>
            </w:r>
            <w:r w:rsidR="009E23A6">
              <w:rPr>
                <w:noProof/>
                <w:webHidden/>
              </w:rPr>
              <w:fldChar w:fldCharType="begin"/>
            </w:r>
            <w:r w:rsidR="009E23A6">
              <w:rPr>
                <w:noProof/>
                <w:webHidden/>
              </w:rPr>
              <w:instrText xml:space="preserve"> PAGEREF _Toc115938899 \h </w:instrText>
            </w:r>
            <w:r w:rsidR="009E23A6">
              <w:rPr>
                <w:noProof/>
                <w:webHidden/>
              </w:rPr>
            </w:r>
            <w:r w:rsidR="009E23A6">
              <w:rPr>
                <w:noProof/>
                <w:webHidden/>
              </w:rPr>
              <w:fldChar w:fldCharType="separate"/>
            </w:r>
            <w:r w:rsidR="009E23A6">
              <w:rPr>
                <w:noProof/>
                <w:webHidden/>
              </w:rPr>
              <w:t>15</w:t>
            </w:r>
            <w:r w:rsidR="009E23A6">
              <w:rPr>
                <w:noProof/>
                <w:webHidden/>
              </w:rPr>
              <w:fldChar w:fldCharType="end"/>
            </w:r>
          </w:hyperlink>
        </w:p>
        <w:p w14:paraId="4E321BDC" w14:textId="0234DCA7" w:rsidR="009E23A6" w:rsidRDefault="00F830E2">
          <w:pPr>
            <w:pStyle w:val="Obsah1"/>
            <w:rPr>
              <w:rFonts w:asciiTheme="minorHAnsi" w:eastAsiaTheme="minorEastAsia" w:hAnsiTheme="minorHAnsi" w:cstheme="minorBidi"/>
              <w:noProof/>
              <w:szCs w:val="22"/>
            </w:rPr>
          </w:pPr>
          <w:hyperlink w:anchor="_Toc115938900" w:history="1">
            <w:r w:rsidR="009E23A6" w:rsidRPr="00D94627">
              <w:rPr>
                <w:rStyle w:val="Hypertextovodkaz"/>
                <w:noProof/>
              </w:rPr>
              <w:t>8.</w:t>
            </w:r>
            <w:r w:rsidR="009E23A6">
              <w:rPr>
                <w:rFonts w:asciiTheme="minorHAnsi" w:eastAsiaTheme="minorEastAsia" w:hAnsiTheme="minorHAnsi" w:cstheme="minorBidi"/>
                <w:noProof/>
                <w:szCs w:val="22"/>
              </w:rPr>
              <w:tab/>
            </w:r>
            <w:r w:rsidR="009E23A6" w:rsidRPr="00D94627">
              <w:rPr>
                <w:rStyle w:val="Hypertextovodkaz"/>
                <w:noProof/>
              </w:rPr>
              <w:t>Motivační účinek</w:t>
            </w:r>
            <w:r w:rsidR="009E23A6">
              <w:rPr>
                <w:noProof/>
                <w:webHidden/>
              </w:rPr>
              <w:tab/>
            </w:r>
            <w:r w:rsidR="009E23A6">
              <w:rPr>
                <w:noProof/>
                <w:webHidden/>
              </w:rPr>
              <w:fldChar w:fldCharType="begin"/>
            </w:r>
            <w:r w:rsidR="009E23A6">
              <w:rPr>
                <w:noProof/>
                <w:webHidden/>
              </w:rPr>
              <w:instrText xml:space="preserve"> PAGEREF _Toc115938900 \h </w:instrText>
            </w:r>
            <w:r w:rsidR="009E23A6">
              <w:rPr>
                <w:noProof/>
                <w:webHidden/>
              </w:rPr>
            </w:r>
            <w:r w:rsidR="009E23A6">
              <w:rPr>
                <w:noProof/>
                <w:webHidden/>
              </w:rPr>
              <w:fldChar w:fldCharType="separate"/>
            </w:r>
            <w:r w:rsidR="009E23A6">
              <w:rPr>
                <w:noProof/>
                <w:webHidden/>
              </w:rPr>
              <w:t>16</w:t>
            </w:r>
            <w:r w:rsidR="009E23A6">
              <w:rPr>
                <w:noProof/>
                <w:webHidden/>
              </w:rPr>
              <w:fldChar w:fldCharType="end"/>
            </w:r>
          </w:hyperlink>
        </w:p>
        <w:p w14:paraId="7363B0CB" w14:textId="59E668AD" w:rsidR="009E23A6" w:rsidRDefault="00F830E2">
          <w:pPr>
            <w:pStyle w:val="Obsah1"/>
            <w:rPr>
              <w:rFonts w:asciiTheme="minorHAnsi" w:eastAsiaTheme="minorEastAsia" w:hAnsiTheme="minorHAnsi" w:cstheme="minorBidi"/>
              <w:noProof/>
              <w:szCs w:val="22"/>
            </w:rPr>
          </w:pPr>
          <w:hyperlink w:anchor="_Toc115938901" w:history="1">
            <w:r w:rsidR="009E23A6" w:rsidRPr="00D94627">
              <w:rPr>
                <w:rStyle w:val="Hypertextovodkaz"/>
                <w:noProof/>
              </w:rPr>
              <w:t>9.</w:t>
            </w:r>
            <w:r w:rsidR="009E23A6">
              <w:rPr>
                <w:rFonts w:asciiTheme="minorHAnsi" w:eastAsiaTheme="minorEastAsia" w:hAnsiTheme="minorHAnsi" w:cstheme="minorBidi"/>
                <w:noProof/>
                <w:szCs w:val="22"/>
              </w:rPr>
              <w:tab/>
            </w:r>
            <w:r w:rsidR="009E23A6" w:rsidRPr="00D94627">
              <w:rPr>
                <w:rStyle w:val="Hypertextovodkaz"/>
                <w:noProof/>
              </w:rPr>
              <w:t>Podprogramy</w:t>
            </w:r>
            <w:r w:rsidR="009E23A6">
              <w:rPr>
                <w:noProof/>
                <w:webHidden/>
              </w:rPr>
              <w:tab/>
            </w:r>
            <w:r w:rsidR="009E23A6">
              <w:rPr>
                <w:noProof/>
                <w:webHidden/>
              </w:rPr>
              <w:fldChar w:fldCharType="begin"/>
            </w:r>
            <w:r w:rsidR="009E23A6">
              <w:rPr>
                <w:noProof/>
                <w:webHidden/>
              </w:rPr>
              <w:instrText xml:space="preserve"> PAGEREF _Toc115938901 \h </w:instrText>
            </w:r>
            <w:r w:rsidR="009E23A6">
              <w:rPr>
                <w:noProof/>
                <w:webHidden/>
              </w:rPr>
            </w:r>
            <w:r w:rsidR="009E23A6">
              <w:rPr>
                <w:noProof/>
                <w:webHidden/>
              </w:rPr>
              <w:fldChar w:fldCharType="separate"/>
            </w:r>
            <w:r w:rsidR="009E23A6">
              <w:rPr>
                <w:noProof/>
                <w:webHidden/>
              </w:rPr>
              <w:t>16</w:t>
            </w:r>
            <w:r w:rsidR="009E23A6">
              <w:rPr>
                <w:noProof/>
                <w:webHidden/>
              </w:rPr>
              <w:fldChar w:fldCharType="end"/>
            </w:r>
          </w:hyperlink>
        </w:p>
        <w:p w14:paraId="52824ED6" w14:textId="60574D01"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902" w:history="1">
            <w:r w:rsidR="009E23A6" w:rsidRPr="00D94627">
              <w:rPr>
                <w:rStyle w:val="Hypertextovodkaz"/>
                <w:rFonts w:cs="Arial"/>
                <w:noProof/>
              </w:rPr>
              <w:t>9.1.</w:t>
            </w:r>
            <w:r w:rsidR="009E23A6">
              <w:rPr>
                <w:rFonts w:asciiTheme="minorHAnsi" w:eastAsiaTheme="minorEastAsia" w:hAnsiTheme="minorHAnsi" w:cstheme="minorBidi"/>
                <w:noProof/>
                <w:szCs w:val="22"/>
              </w:rPr>
              <w:tab/>
            </w:r>
            <w:r w:rsidR="009E23A6" w:rsidRPr="00D94627">
              <w:rPr>
                <w:rStyle w:val="Hypertextovodkaz"/>
                <w:noProof/>
              </w:rPr>
              <w:t>Podprogram I</w:t>
            </w:r>
            <w:r w:rsidR="009E23A6">
              <w:rPr>
                <w:noProof/>
                <w:webHidden/>
              </w:rPr>
              <w:tab/>
            </w:r>
            <w:r w:rsidR="009E23A6">
              <w:rPr>
                <w:noProof/>
                <w:webHidden/>
              </w:rPr>
              <w:fldChar w:fldCharType="begin"/>
            </w:r>
            <w:r w:rsidR="009E23A6">
              <w:rPr>
                <w:noProof/>
                <w:webHidden/>
              </w:rPr>
              <w:instrText xml:space="preserve"> PAGEREF _Toc115938902 \h </w:instrText>
            </w:r>
            <w:r w:rsidR="009E23A6">
              <w:rPr>
                <w:noProof/>
                <w:webHidden/>
              </w:rPr>
            </w:r>
            <w:r w:rsidR="009E23A6">
              <w:rPr>
                <w:noProof/>
                <w:webHidden/>
              </w:rPr>
              <w:fldChar w:fldCharType="separate"/>
            </w:r>
            <w:r w:rsidR="009E23A6">
              <w:rPr>
                <w:noProof/>
                <w:webHidden/>
              </w:rPr>
              <w:t>17</w:t>
            </w:r>
            <w:r w:rsidR="009E23A6">
              <w:rPr>
                <w:noProof/>
                <w:webHidden/>
              </w:rPr>
              <w:fldChar w:fldCharType="end"/>
            </w:r>
          </w:hyperlink>
        </w:p>
        <w:p w14:paraId="6C174194" w14:textId="7DEA8BC2" w:rsidR="009E23A6" w:rsidRDefault="00F830E2">
          <w:pPr>
            <w:pStyle w:val="Obsah2"/>
            <w:tabs>
              <w:tab w:val="left" w:pos="880"/>
              <w:tab w:val="right" w:leader="dot" w:pos="9060"/>
            </w:tabs>
            <w:rPr>
              <w:rFonts w:asciiTheme="minorHAnsi" w:eastAsiaTheme="minorEastAsia" w:hAnsiTheme="minorHAnsi" w:cstheme="minorBidi"/>
              <w:noProof/>
              <w:szCs w:val="22"/>
            </w:rPr>
          </w:pPr>
          <w:hyperlink w:anchor="_Toc115938903" w:history="1">
            <w:r w:rsidR="009E23A6" w:rsidRPr="00D94627">
              <w:rPr>
                <w:rStyle w:val="Hypertextovodkaz"/>
                <w:rFonts w:cs="Arial"/>
                <w:noProof/>
              </w:rPr>
              <w:t>9.2.</w:t>
            </w:r>
            <w:r w:rsidR="009E23A6">
              <w:rPr>
                <w:rFonts w:asciiTheme="minorHAnsi" w:eastAsiaTheme="minorEastAsia" w:hAnsiTheme="minorHAnsi" w:cstheme="minorBidi"/>
                <w:noProof/>
                <w:szCs w:val="22"/>
              </w:rPr>
              <w:tab/>
            </w:r>
            <w:r w:rsidR="009E23A6" w:rsidRPr="00D94627">
              <w:rPr>
                <w:rStyle w:val="Hypertextovodkaz"/>
                <w:noProof/>
              </w:rPr>
              <w:t>Podprogram II</w:t>
            </w:r>
            <w:r w:rsidR="009E23A6">
              <w:rPr>
                <w:noProof/>
                <w:webHidden/>
              </w:rPr>
              <w:tab/>
            </w:r>
            <w:r w:rsidR="009E23A6">
              <w:rPr>
                <w:noProof/>
                <w:webHidden/>
              </w:rPr>
              <w:fldChar w:fldCharType="begin"/>
            </w:r>
            <w:r w:rsidR="009E23A6">
              <w:rPr>
                <w:noProof/>
                <w:webHidden/>
              </w:rPr>
              <w:instrText xml:space="preserve"> PAGEREF _Toc115938903 \h </w:instrText>
            </w:r>
            <w:r w:rsidR="009E23A6">
              <w:rPr>
                <w:noProof/>
                <w:webHidden/>
              </w:rPr>
            </w:r>
            <w:r w:rsidR="009E23A6">
              <w:rPr>
                <w:noProof/>
                <w:webHidden/>
              </w:rPr>
              <w:fldChar w:fldCharType="separate"/>
            </w:r>
            <w:r w:rsidR="009E23A6">
              <w:rPr>
                <w:noProof/>
                <w:webHidden/>
              </w:rPr>
              <w:t>18</w:t>
            </w:r>
            <w:r w:rsidR="009E23A6">
              <w:rPr>
                <w:noProof/>
                <w:webHidden/>
              </w:rPr>
              <w:fldChar w:fldCharType="end"/>
            </w:r>
          </w:hyperlink>
        </w:p>
        <w:p w14:paraId="533BC2CD" w14:textId="60121DED" w:rsidR="009E23A6" w:rsidRDefault="00F830E2">
          <w:pPr>
            <w:pStyle w:val="Obsah1"/>
            <w:rPr>
              <w:rFonts w:asciiTheme="minorHAnsi" w:eastAsiaTheme="minorEastAsia" w:hAnsiTheme="minorHAnsi" w:cstheme="minorBidi"/>
              <w:noProof/>
              <w:szCs w:val="22"/>
            </w:rPr>
          </w:pPr>
          <w:hyperlink w:anchor="_Toc115938904" w:history="1">
            <w:r w:rsidR="009E23A6" w:rsidRPr="00D94627">
              <w:rPr>
                <w:rStyle w:val="Hypertextovodkaz"/>
                <w:noProof/>
              </w:rPr>
              <w:t>10.</w:t>
            </w:r>
            <w:r w:rsidR="009E23A6">
              <w:rPr>
                <w:rFonts w:asciiTheme="minorHAnsi" w:eastAsiaTheme="minorEastAsia" w:hAnsiTheme="minorHAnsi" w:cstheme="minorBidi"/>
                <w:noProof/>
                <w:szCs w:val="22"/>
              </w:rPr>
              <w:tab/>
            </w:r>
            <w:r w:rsidR="009E23A6" w:rsidRPr="00D94627">
              <w:rPr>
                <w:rStyle w:val="Hypertextovodkaz"/>
                <w:noProof/>
              </w:rPr>
              <w:t>Klíčové oblasti</w:t>
            </w:r>
            <w:r w:rsidR="009E23A6">
              <w:rPr>
                <w:noProof/>
                <w:webHidden/>
              </w:rPr>
              <w:tab/>
            </w:r>
            <w:r w:rsidR="009E23A6">
              <w:rPr>
                <w:noProof/>
                <w:webHidden/>
              </w:rPr>
              <w:fldChar w:fldCharType="begin"/>
            </w:r>
            <w:r w:rsidR="009E23A6">
              <w:rPr>
                <w:noProof/>
                <w:webHidden/>
              </w:rPr>
              <w:instrText xml:space="preserve"> PAGEREF _Toc115938904 \h </w:instrText>
            </w:r>
            <w:r w:rsidR="009E23A6">
              <w:rPr>
                <w:noProof/>
                <w:webHidden/>
              </w:rPr>
            </w:r>
            <w:r w:rsidR="009E23A6">
              <w:rPr>
                <w:noProof/>
                <w:webHidden/>
              </w:rPr>
              <w:fldChar w:fldCharType="separate"/>
            </w:r>
            <w:r w:rsidR="009E23A6">
              <w:rPr>
                <w:noProof/>
                <w:webHidden/>
              </w:rPr>
              <w:t>19</w:t>
            </w:r>
            <w:r w:rsidR="009E23A6">
              <w:rPr>
                <w:noProof/>
                <w:webHidden/>
              </w:rPr>
              <w:fldChar w:fldCharType="end"/>
            </w:r>
          </w:hyperlink>
        </w:p>
        <w:p w14:paraId="36AD0C03" w14:textId="77D2FC6F"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05" w:history="1">
            <w:r w:rsidR="009E23A6" w:rsidRPr="00D94627">
              <w:rPr>
                <w:rStyle w:val="Hypertextovodkaz"/>
                <w:rFonts w:cs="Arial"/>
                <w:noProof/>
              </w:rPr>
              <w:t>10.1.</w:t>
            </w:r>
            <w:r w:rsidR="009E23A6">
              <w:rPr>
                <w:rFonts w:asciiTheme="minorHAnsi" w:eastAsiaTheme="minorEastAsia" w:hAnsiTheme="minorHAnsi" w:cstheme="minorBidi"/>
                <w:noProof/>
                <w:szCs w:val="22"/>
              </w:rPr>
              <w:tab/>
            </w:r>
            <w:r w:rsidR="009E23A6" w:rsidRPr="00D94627">
              <w:rPr>
                <w:rStyle w:val="Hypertextovodkaz"/>
                <w:noProof/>
              </w:rPr>
              <w:t>Bioekonomika</w:t>
            </w:r>
            <w:r w:rsidR="009E23A6">
              <w:rPr>
                <w:noProof/>
                <w:webHidden/>
              </w:rPr>
              <w:tab/>
            </w:r>
            <w:r w:rsidR="009E23A6">
              <w:rPr>
                <w:noProof/>
                <w:webHidden/>
              </w:rPr>
              <w:fldChar w:fldCharType="begin"/>
            </w:r>
            <w:r w:rsidR="009E23A6">
              <w:rPr>
                <w:noProof/>
                <w:webHidden/>
              </w:rPr>
              <w:instrText xml:space="preserve"> PAGEREF _Toc115938905 \h </w:instrText>
            </w:r>
            <w:r w:rsidR="009E23A6">
              <w:rPr>
                <w:noProof/>
                <w:webHidden/>
              </w:rPr>
            </w:r>
            <w:r w:rsidR="009E23A6">
              <w:rPr>
                <w:noProof/>
                <w:webHidden/>
              </w:rPr>
              <w:fldChar w:fldCharType="separate"/>
            </w:r>
            <w:r w:rsidR="009E23A6">
              <w:rPr>
                <w:noProof/>
                <w:webHidden/>
              </w:rPr>
              <w:t>19</w:t>
            </w:r>
            <w:r w:rsidR="009E23A6">
              <w:rPr>
                <w:noProof/>
                <w:webHidden/>
              </w:rPr>
              <w:fldChar w:fldCharType="end"/>
            </w:r>
          </w:hyperlink>
        </w:p>
        <w:p w14:paraId="27B2AB41" w14:textId="11A06DF2"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06" w:history="1">
            <w:r w:rsidR="009E23A6" w:rsidRPr="00D94627">
              <w:rPr>
                <w:rStyle w:val="Hypertextovodkaz"/>
                <w:rFonts w:cs="Arial"/>
                <w:noProof/>
              </w:rPr>
              <w:t>10.2.</w:t>
            </w:r>
            <w:r w:rsidR="009E23A6">
              <w:rPr>
                <w:rFonts w:asciiTheme="minorHAnsi" w:eastAsiaTheme="minorEastAsia" w:hAnsiTheme="minorHAnsi" w:cstheme="minorBidi"/>
                <w:noProof/>
                <w:szCs w:val="22"/>
              </w:rPr>
              <w:tab/>
            </w:r>
            <w:r w:rsidR="009E23A6" w:rsidRPr="00D94627">
              <w:rPr>
                <w:rStyle w:val="Hypertextovodkaz"/>
                <w:noProof/>
              </w:rPr>
              <w:t>Smart zemědělství</w:t>
            </w:r>
            <w:r w:rsidR="009E23A6">
              <w:rPr>
                <w:noProof/>
                <w:webHidden/>
              </w:rPr>
              <w:tab/>
            </w:r>
            <w:r w:rsidR="009E23A6">
              <w:rPr>
                <w:noProof/>
                <w:webHidden/>
              </w:rPr>
              <w:fldChar w:fldCharType="begin"/>
            </w:r>
            <w:r w:rsidR="009E23A6">
              <w:rPr>
                <w:noProof/>
                <w:webHidden/>
              </w:rPr>
              <w:instrText xml:space="preserve"> PAGEREF _Toc115938906 \h </w:instrText>
            </w:r>
            <w:r w:rsidR="009E23A6">
              <w:rPr>
                <w:noProof/>
                <w:webHidden/>
              </w:rPr>
            </w:r>
            <w:r w:rsidR="009E23A6">
              <w:rPr>
                <w:noProof/>
                <w:webHidden/>
              </w:rPr>
              <w:fldChar w:fldCharType="separate"/>
            </w:r>
            <w:r w:rsidR="009E23A6">
              <w:rPr>
                <w:noProof/>
                <w:webHidden/>
              </w:rPr>
              <w:t>20</w:t>
            </w:r>
            <w:r w:rsidR="009E23A6">
              <w:rPr>
                <w:noProof/>
                <w:webHidden/>
              </w:rPr>
              <w:fldChar w:fldCharType="end"/>
            </w:r>
          </w:hyperlink>
        </w:p>
        <w:p w14:paraId="0C60A021" w14:textId="710D907C"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07" w:history="1">
            <w:r w:rsidR="009E23A6" w:rsidRPr="00D94627">
              <w:rPr>
                <w:rStyle w:val="Hypertextovodkaz"/>
                <w:rFonts w:cs="Arial"/>
                <w:noProof/>
              </w:rPr>
              <w:t>10.3.</w:t>
            </w:r>
            <w:r w:rsidR="009E23A6">
              <w:rPr>
                <w:rFonts w:asciiTheme="minorHAnsi" w:eastAsiaTheme="minorEastAsia" w:hAnsiTheme="minorHAnsi" w:cstheme="minorBidi"/>
                <w:noProof/>
                <w:szCs w:val="22"/>
              </w:rPr>
              <w:tab/>
            </w:r>
            <w:r w:rsidR="009E23A6" w:rsidRPr="00D94627">
              <w:rPr>
                <w:rStyle w:val="Hypertextovodkaz"/>
                <w:noProof/>
              </w:rPr>
              <w:t>Globální změny v biosféře</w:t>
            </w:r>
            <w:r w:rsidR="009E23A6">
              <w:rPr>
                <w:noProof/>
                <w:webHidden/>
              </w:rPr>
              <w:tab/>
            </w:r>
            <w:r w:rsidR="009E23A6">
              <w:rPr>
                <w:noProof/>
                <w:webHidden/>
              </w:rPr>
              <w:fldChar w:fldCharType="begin"/>
            </w:r>
            <w:r w:rsidR="009E23A6">
              <w:rPr>
                <w:noProof/>
                <w:webHidden/>
              </w:rPr>
              <w:instrText xml:space="preserve"> PAGEREF _Toc115938907 \h </w:instrText>
            </w:r>
            <w:r w:rsidR="009E23A6">
              <w:rPr>
                <w:noProof/>
                <w:webHidden/>
              </w:rPr>
            </w:r>
            <w:r w:rsidR="009E23A6">
              <w:rPr>
                <w:noProof/>
                <w:webHidden/>
              </w:rPr>
              <w:fldChar w:fldCharType="separate"/>
            </w:r>
            <w:r w:rsidR="009E23A6">
              <w:rPr>
                <w:noProof/>
                <w:webHidden/>
              </w:rPr>
              <w:t>21</w:t>
            </w:r>
            <w:r w:rsidR="009E23A6">
              <w:rPr>
                <w:noProof/>
                <w:webHidden/>
              </w:rPr>
              <w:fldChar w:fldCharType="end"/>
            </w:r>
          </w:hyperlink>
        </w:p>
        <w:p w14:paraId="71EBB859" w14:textId="18589291" w:rsidR="009E23A6" w:rsidRDefault="00F830E2">
          <w:pPr>
            <w:pStyle w:val="Obsah1"/>
            <w:rPr>
              <w:rFonts w:asciiTheme="minorHAnsi" w:eastAsiaTheme="minorEastAsia" w:hAnsiTheme="minorHAnsi" w:cstheme="minorBidi"/>
              <w:noProof/>
              <w:szCs w:val="22"/>
            </w:rPr>
          </w:pPr>
          <w:hyperlink w:anchor="_Toc115938908" w:history="1">
            <w:r w:rsidR="009E23A6" w:rsidRPr="00D94627">
              <w:rPr>
                <w:rStyle w:val="Hypertextovodkaz"/>
                <w:noProof/>
              </w:rPr>
              <w:t>11.</w:t>
            </w:r>
            <w:r w:rsidR="009E23A6">
              <w:rPr>
                <w:rFonts w:asciiTheme="minorHAnsi" w:eastAsiaTheme="minorEastAsia" w:hAnsiTheme="minorHAnsi" w:cstheme="minorBidi"/>
                <w:noProof/>
                <w:szCs w:val="22"/>
              </w:rPr>
              <w:tab/>
            </w:r>
            <w:r w:rsidR="009E23A6" w:rsidRPr="00D94627">
              <w:rPr>
                <w:rStyle w:val="Hypertextovodkaz"/>
                <w:noProof/>
              </w:rPr>
              <w:t>Výzkumné směry</w:t>
            </w:r>
            <w:r w:rsidR="009E23A6">
              <w:rPr>
                <w:noProof/>
                <w:webHidden/>
              </w:rPr>
              <w:tab/>
            </w:r>
            <w:r w:rsidR="009E23A6">
              <w:rPr>
                <w:noProof/>
                <w:webHidden/>
              </w:rPr>
              <w:fldChar w:fldCharType="begin"/>
            </w:r>
            <w:r w:rsidR="009E23A6">
              <w:rPr>
                <w:noProof/>
                <w:webHidden/>
              </w:rPr>
              <w:instrText xml:space="preserve"> PAGEREF _Toc115938908 \h </w:instrText>
            </w:r>
            <w:r w:rsidR="009E23A6">
              <w:rPr>
                <w:noProof/>
                <w:webHidden/>
              </w:rPr>
            </w:r>
            <w:r w:rsidR="009E23A6">
              <w:rPr>
                <w:noProof/>
                <w:webHidden/>
              </w:rPr>
              <w:fldChar w:fldCharType="separate"/>
            </w:r>
            <w:r w:rsidR="009E23A6">
              <w:rPr>
                <w:noProof/>
                <w:webHidden/>
              </w:rPr>
              <w:t>23</w:t>
            </w:r>
            <w:r w:rsidR="009E23A6">
              <w:rPr>
                <w:noProof/>
                <w:webHidden/>
              </w:rPr>
              <w:fldChar w:fldCharType="end"/>
            </w:r>
          </w:hyperlink>
        </w:p>
        <w:p w14:paraId="7B0C2E88" w14:textId="5B7A7E79"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09" w:history="1">
            <w:r w:rsidR="009E23A6" w:rsidRPr="00D94627">
              <w:rPr>
                <w:rStyle w:val="Hypertextovodkaz"/>
                <w:rFonts w:cs="Arial"/>
                <w:noProof/>
              </w:rPr>
              <w:t>11.1.</w:t>
            </w:r>
            <w:r w:rsidR="009E23A6">
              <w:rPr>
                <w:rFonts w:asciiTheme="minorHAnsi" w:eastAsiaTheme="minorEastAsia" w:hAnsiTheme="minorHAnsi" w:cstheme="minorBidi"/>
                <w:noProof/>
                <w:szCs w:val="22"/>
              </w:rPr>
              <w:tab/>
            </w:r>
            <w:r w:rsidR="009E23A6" w:rsidRPr="00D94627">
              <w:rPr>
                <w:rStyle w:val="Hypertextovodkaz"/>
                <w:noProof/>
              </w:rPr>
              <w:t>Půda</w:t>
            </w:r>
            <w:r w:rsidR="009E23A6">
              <w:rPr>
                <w:noProof/>
                <w:webHidden/>
              </w:rPr>
              <w:tab/>
            </w:r>
            <w:r w:rsidR="009E23A6">
              <w:rPr>
                <w:noProof/>
                <w:webHidden/>
              </w:rPr>
              <w:fldChar w:fldCharType="begin"/>
            </w:r>
            <w:r w:rsidR="009E23A6">
              <w:rPr>
                <w:noProof/>
                <w:webHidden/>
              </w:rPr>
              <w:instrText xml:space="preserve"> PAGEREF _Toc115938909 \h </w:instrText>
            </w:r>
            <w:r w:rsidR="009E23A6">
              <w:rPr>
                <w:noProof/>
                <w:webHidden/>
              </w:rPr>
            </w:r>
            <w:r w:rsidR="009E23A6">
              <w:rPr>
                <w:noProof/>
                <w:webHidden/>
              </w:rPr>
              <w:fldChar w:fldCharType="separate"/>
            </w:r>
            <w:r w:rsidR="009E23A6">
              <w:rPr>
                <w:noProof/>
                <w:webHidden/>
              </w:rPr>
              <w:t>23</w:t>
            </w:r>
            <w:r w:rsidR="009E23A6">
              <w:rPr>
                <w:noProof/>
                <w:webHidden/>
              </w:rPr>
              <w:fldChar w:fldCharType="end"/>
            </w:r>
          </w:hyperlink>
        </w:p>
        <w:p w14:paraId="1D620F85" w14:textId="5586EB42"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0" w:history="1">
            <w:r w:rsidR="009E23A6" w:rsidRPr="00D94627">
              <w:rPr>
                <w:rStyle w:val="Hypertextovodkaz"/>
                <w:rFonts w:cs="Arial"/>
                <w:noProof/>
              </w:rPr>
              <w:t>11.2.</w:t>
            </w:r>
            <w:r w:rsidR="009E23A6">
              <w:rPr>
                <w:rFonts w:asciiTheme="minorHAnsi" w:eastAsiaTheme="minorEastAsia" w:hAnsiTheme="minorHAnsi" w:cstheme="minorBidi"/>
                <w:noProof/>
                <w:szCs w:val="22"/>
              </w:rPr>
              <w:tab/>
            </w:r>
            <w:r w:rsidR="009E23A6" w:rsidRPr="00D94627">
              <w:rPr>
                <w:rStyle w:val="Hypertextovodkaz"/>
                <w:noProof/>
              </w:rPr>
              <w:t>Voda</w:t>
            </w:r>
            <w:r w:rsidR="009E23A6">
              <w:rPr>
                <w:noProof/>
                <w:webHidden/>
              </w:rPr>
              <w:tab/>
            </w:r>
            <w:r w:rsidR="009E23A6">
              <w:rPr>
                <w:noProof/>
                <w:webHidden/>
              </w:rPr>
              <w:fldChar w:fldCharType="begin"/>
            </w:r>
            <w:r w:rsidR="009E23A6">
              <w:rPr>
                <w:noProof/>
                <w:webHidden/>
              </w:rPr>
              <w:instrText xml:space="preserve"> PAGEREF _Toc115938910 \h </w:instrText>
            </w:r>
            <w:r w:rsidR="009E23A6">
              <w:rPr>
                <w:noProof/>
                <w:webHidden/>
              </w:rPr>
            </w:r>
            <w:r w:rsidR="009E23A6">
              <w:rPr>
                <w:noProof/>
                <w:webHidden/>
              </w:rPr>
              <w:fldChar w:fldCharType="separate"/>
            </w:r>
            <w:r w:rsidR="009E23A6">
              <w:rPr>
                <w:noProof/>
                <w:webHidden/>
              </w:rPr>
              <w:t>24</w:t>
            </w:r>
            <w:r w:rsidR="009E23A6">
              <w:rPr>
                <w:noProof/>
                <w:webHidden/>
              </w:rPr>
              <w:fldChar w:fldCharType="end"/>
            </w:r>
          </w:hyperlink>
        </w:p>
        <w:p w14:paraId="55FA1B63" w14:textId="68900A41"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1" w:history="1">
            <w:r w:rsidR="009E23A6" w:rsidRPr="00D94627">
              <w:rPr>
                <w:rStyle w:val="Hypertextovodkaz"/>
                <w:rFonts w:cs="Arial"/>
                <w:noProof/>
              </w:rPr>
              <w:t>11.3.</w:t>
            </w:r>
            <w:r w:rsidR="009E23A6">
              <w:rPr>
                <w:rFonts w:asciiTheme="minorHAnsi" w:eastAsiaTheme="minorEastAsia" w:hAnsiTheme="minorHAnsi" w:cstheme="minorBidi"/>
                <w:noProof/>
                <w:szCs w:val="22"/>
              </w:rPr>
              <w:tab/>
            </w:r>
            <w:r w:rsidR="009E23A6" w:rsidRPr="00D94627">
              <w:rPr>
                <w:rStyle w:val="Hypertextovodkaz"/>
                <w:noProof/>
              </w:rPr>
              <w:t>Biodiverzita</w:t>
            </w:r>
            <w:r w:rsidR="009E23A6">
              <w:rPr>
                <w:noProof/>
                <w:webHidden/>
              </w:rPr>
              <w:tab/>
            </w:r>
            <w:r w:rsidR="009E23A6">
              <w:rPr>
                <w:noProof/>
                <w:webHidden/>
              </w:rPr>
              <w:fldChar w:fldCharType="begin"/>
            </w:r>
            <w:r w:rsidR="009E23A6">
              <w:rPr>
                <w:noProof/>
                <w:webHidden/>
              </w:rPr>
              <w:instrText xml:space="preserve"> PAGEREF _Toc115938911 \h </w:instrText>
            </w:r>
            <w:r w:rsidR="009E23A6">
              <w:rPr>
                <w:noProof/>
                <w:webHidden/>
              </w:rPr>
            </w:r>
            <w:r w:rsidR="009E23A6">
              <w:rPr>
                <w:noProof/>
                <w:webHidden/>
              </w:rPr>
              <w:fldChar w:fldCharType="separate"/>
            </w:r>
            <w:r w:rsidR="009E23A6">
              <w:rPr>
                <w:noProof/>
                <w:webHidden/>
              </w:rPr>
              <w:t>24</w:t>
            </w:r>
            <w:r w:rsidR="009E23A6">
              <w:rPr>
                <w:noProof/>
                <w:webHidden/>
              </w:rPr>
              <w:fldChar w:fldCharType="end"/>
            </w:r>
          </w:hyperlink>
        </w:p>
        <w:p w14:paraId="76F97609" w14:textId="0911FF78"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2" w:history="1">
            <w:r w:rsidR="009E23A6" w:rsidRPr="00D94627">
              <w:rPr>
                <w:rStyle w:val="Hypertextovodkaz"/>
                <w:rFonts w:cs="Arial"/>
                <w:noProof/>
              </w:rPr>
              <w:t>11.4.</w:t>
            </w:r>
            <w:r w:rsidR="009E23A6">
              <w:rPr>
                <w:rFonts w:asciiTheme="minorHAnsi" w:eastAsiaTheme="minorEastAsia" w:hAnsiTheme="minorHAnsi" w:cstheme="minorBidi"/>
                <w:noProof/>
                <w:szCs w:val="22"/>
              </w:rPr>
              <w:tab/>
            </w:r>
            <w:r w:rsidR="009E23A6" w:rsidRPr="00D94627">
              <w:rPr>
                <w:rStyle w:val="Hypertextovodkaz"/>
                <w:noProof/>
              </w:rPr>
              <w:t>Lesnictví a navazující odvětví</w:t>
            </w:r>
            <w:r w:rsidR="009E23A6">
              <w:rPr>
                <w:noProof/>
                <w:webHidden/>
              </w:rPr>
              <w:tab/>
            </w:r>
            <w:r w:rsidR="009E23A6">
              <w:rPr>
                <w:noProof/>
                <w:webHidden/>
              </w:rPr>
              <w:fldChar w:fldCharType="begin"/>
            </w:r>
            <w:r w:rsidR="009E23A6">
              <w:rPr>
                <w:noProof/>
                <w:webHidden/>
              </w:rPr>
              <w:instrText xml:space="preserve"> PAGEREF _Toc115938912 \h </w:instrText>
            </w:r>
            <w:r w:rsidR="009E23A6">
              <w:rPr>
                <w:noProof/>
                <w:webHidden/>
              </w:rPr>
            </w:r>
            <w:r w:rsidR="009E23A6">
              <w:rPr>
                <w:noProof/>
                <w:webHidden/>
              </w:rPr>
              <w:fldChar w:fldCharType="separate"/>
            </w:r>
            <w:r w:rsidR="009E23A6">
              <w:rPr>
                <w:noProof/>
                <w:webHidden/>
              </w:rPr>
              <w:t>25</w:t>
            </w:r>
            <w:r w:rsidR="009E23A6">
              <w:rPr>
                <w:noProof/>
                <w:webHidden/>
              </w:rPr>
              <w:fldChar w:fldCharType="end"/>
            </w:r>
          </w:hyperlink>
        </w:p>
        <w:p w14:paraId="5B3225A3" w14:textId="6CA95D46"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3" w:history="1">
            <w:r w:rsidR="009E23A6" w:rsidRPr="00D94627">
              <w:rPr>
                <w:rStyle w:val="Hypertextovodkaz"/>
                <w:rFonts w:cs="Arial"/>
                <w:noProof/>
              </w:rPr>
              <w:t>11.5.</w:t>
            </w:r>
            <w:r w:rsidR="009E23A6">
              <w:rPr>
                <w:rFonts w:asciiTheme="minorHAnsi" w:eastAsiaTheme="minorEastAsia" w:hAnsiTheme="minorHAnsi" w:cstheme="minorBidi"/>
                <w:noProof/>
                <w:szCs w:val="22"/>
              </w:rPr>
              <w:tab/>
            </w:r>
            <w:r w:rsidR="009E23A6" w:rsidRPr="00D94627">
              <w:rPr>
                <w:rStyle w:val="Hypertextovodkaz"/>
                <w:noProof/>
              </w:rPr>
              <w:t>Rostlinná produkce</w:t>
            </w:r>
            <w:r w:rsidR="009E23A6">
              <w:rPr>
                <w:noProof/>
                <w:webHidden/>
              </w:rPr>
              <w:tab/>
            </w:r>
            <w:r w:rsidR="009E23A6">
              <w:rPr>
                <w:noProof/>
                <w:webHidden/>
              </w:rPr>
              <w:fldChar w:fldCharType="begin"/>
            </w:r>
            <w:r w:rsidR="009E23A6">
              <w:rPr>
                <w:noProof/>
                <w:webHidden/>
              </w:rPr>
              <w:instrText xml:space="preserve"> PAGEREF _Toc115938913 \h </w:instrText>
            </w:r>
            <w:r w:rsidR="009E23A6">
              <w:rPr>
                <w:noProof/>
                <w:webHidden/>
              </w:rPr>
            </w:r>
            <w:r w:rsidR="009E23A6">
              <w:rPr>
                <w:noProof/>
                <w:webHidden/>
              </w:rPr>
              <w:fldChar w:fldCharType="separate"/>
            </w:r>
            <w:r w:rsidR="009E23A6">
              <w:rPr>
                <w:noProof/>
                <w:webHidden/>
              </w:rPr>
              <w:t>25</w:t>
            </w:r>
            <w:r w:rsidR="009E23A6">
              <w:rPr>
                <w:noProof/>
                <w:webHidden/>
              </w:rPr>
              <w:fldChar w:fldCharType="end"/>
            </w:r>
          </w:hyperlink>
        </w:p>
        <w:p w14:paraId="2DDACD7C" w14:textId="4EB8321C"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4" w:history="1">
            <w:r w:rsidR="009E23A6" w:rsidRPr="00D94627">
              <w:rPr>
                <w:rStyle w:val="Hypertextovodkaz"/>
                <w:rFonts w:cs="Arial"/>
                <w:noProof/>
              </w:rPr>
              <w:t>11.6.</w:t>
            </w:r>
            <w:r w:rsidR="009E23A6">
              <w:rPr>
                <w:rFonts w:asciiTheme="minorHAnsi" w:eastAsiaTheme="minorEastAsia" w:hAnsiTheme="minorHAnsi" w:cstheme="minorBidi"/>
                <w:noProof/>
                <w:szCs w:val="22"/>
              </w:rPr>
              <w:tab/>
            </w:r>
            <w:r w:rsidR="009E23A6" w:rsidRPr="00D94627">
              <w:rPr>
                <w:rStyle w:val="Hypertextovodkaz"/>
                <w:noProof/>
              </w:rPr>
              <w:t>Rostlinolékařství</w:t>
            </w:r>
            <w:r w:rsidR="009E23A6">
              <w:rPr>
                <w:noProof/>
                <w:webHidden/>
              </w:rPr>
              <w:tab/>
            </w:r>
            <w:r w:rsidR="009E23A6">
              <w:rPr>
                <w:noProof/>
                <w:webHidden/>
              </w:rPr>
              <w:fldChar w:fldCharType="begin"/>
            </w:r>
            <w:r w:rsidR="009E23A6">
              <w:rPr>
                <w:noProof/>
                <w:webHidden/>
              </w:rPr>
              <w:instrText xml:space="preserve"> PAGEREF _Toc115938914 \h </w:instrText>
            </w:r>
            <w:r w:rsidR="009E23A6">
              <w:rPr>
                <w:noProof/>
                <w:webHidden/>
              </w:rPr>
            </w:r>
            <w:r w:rsidR="009E23A6">
              <w:rPr>
                <w:noProof/>
                <w:webHidden/>
              </w:rPr>
              <w:fldChar w:fldCharType="separate"/>
            </w:r>
            <w:r w:rsidR="009E23A6">
              <w:rPr>
                <w:noProof/>
                <w:webHidden/>
              </w:rPr>
              <w:t>26</w:t>
            </w:r>
            <w:r w:rsidR="009E23A6">
              <w:rPr>
                <w:noProof/>
                <w:webHidden/>
              </w:rPr>
              <w:fldChar w:fldCharType="end"/>
            </w:r>
          </w:hyperlink>
        </w:p>
        <w:p w14:paraId="3E09DDC5" w14:textId="509E4B61"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5" w:history="1">
            <w:r w:rsidR="009E23A6" w:rsidRPr="00D94627">
              <w:rPr>
                <w:rStyle w:val="Hypertextovodkaz"/>
                <w:rFonts w:cs="Arial"/>
                <w:noProof/>
              </w:rPr>
              <w:t>11.7.</w:t>
            </w:r>
            <w:r w:rsidR="009E23A6">
              <w:rPr>
                <w:rFonts w:asciiTheme="minorHAnsi" w:eastAsiaTheme="minorEastAsia" w:hAnsiTheme="minorHAnsi" w:cstheme="minorBidi"/>
                <w:noProof/>
                <w:szCs w:val="22"/>
              </w:rPr>
              <w:tab/>
            </w:r>
            <w:r w:rsidR="009E23A6" w:rsidRPr="00D94627">
              <w:rPr>
                <w:rStyle w:val="Hypertextovodkaz"/>
                <w:noProof/>
              </w:rPr>
              <w:t>Živočišná produkce</w:t>
            </w:r>
            <w:r w:rsidR="009E23A6">
              <w:rPr>
                <w:noProof/>
                <w:webHidden/>
              </w:rPr>
              <w:tab/>
            </w:r>
            <w:r w:rsidR="009E23A6">
              <w:rPr>
                <w:noProof/>
                <w:webHidden/>
              </w:rPr>
              <w:fldChar w:fldCharType="begin"/>
            </w:r>
            <w:r w:rsidR="009E23A6">
              <w:rPr>
                <w:noProof/>
                <w:webHidden/>
              </w:rPr>
              <w:instrText xml:space="preserve"> PAGEREF _Toc115938915 \h </w:instrText>
            </w:r>
            <w:r w:rsidR="009E23A6">
              <w:rPr>
                <w:noProof/>
                <w:webHidden/>
              </w:rPr>
            </w:r>
            <w:r w:rsidR="009E23A6">
              <w:rPr>
                <w:noProof/>
                <w:webHidden/>
              </w:rPr>
              <w:fldChar w:fldCharType="separate"/>
            </w:r>
            <w:r w:rsidR="009E23A6">
              <w:rPr>
                <w:noProof/>
                <w:webHidden/>
              </w:rPr>
              <w:t>27</w:t>
            </w:r>
            <w:r w:rsidR="009E23A6">
              <w:rPr>
                <w:noProof/>
                <w:webHidden/>
              </w:rPr>
              <w:fldChar w:fldCharType="end"/>
            </w:r>
          </w:hyperlink>
        </w:p>
        <w:p w14:paraId="1B8DB299" w14:textId="5702AE81"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6" w:history="1">
            <w:r w:rsidR="009E23A6" w:rsidRPr="00D94627">
              <w:rPr>
                <w:rStyle w:val="Hypertextovodkaz"/>
                <w:rFonts w:cs="Arial"/>
                <w:noProof/>
              </w:rPr>
              <w:t>11.8.</w:t>
            </w:r>
            <w:r w:rsidR="009E23A6">
              <w:rPr>
                <w:rFonts w:asciiTheme="minorHAnsi" w:eastAsiaTheme="minorEastAsia" w:hAnsiTheme="minorHAnsi" w:cstheme="minorBidi"/>
                <w:noProof/>
                <w:szCs w:val="22"/>
              </w:rPr>
              <w:tab/>
            </w:r>
            <w:r w:rsidR="009E23A6" w:rsidRPr="00D94627">
              <w:rPr>
                <w:rStyle w:val="Hypertextovodkaz"/>
                <w:noProof/>
              </w:rPr>
              <w:t>Veterinární medicína</w:t>
            </w:r>
            <w:r w:rsidR="009E23A6">
              <w:rPr>
                <w:noProof/>
                <w:webHidden/>
              </w:rPr>
              <w:tab/>
            </w:r>
            <w:r w:rsidR="009E23A6">
              <w:rPr>
                <w:noProof/>
                <w:webHidden/>
              </w:rPr>
              <w:fldChar w:fldCharType="begin"/>
            </w:r>
            <w:r w:rsidR="009E23A6">
              <w:rPr>
                <w:noProof/>
                <w:webHidden/>
              </w:rPr>
              <w:instrText xml:space="preserve"> PAGEREF _Toc115938916 \h </w:instrText>
            </w:r>
            <w:r w:rsidR="009E23A6">
              <w:rPr>
                <w:noProof/>
                <w:webHidden/>
              </w:rPr>
            </w:r>
            <w:r w:rsidR="009E23A6">
              <w:rPr>
                <w:noProof/>
                <w:webHidden/>
              </w:rPr>
              <w:fldChar w:fldCharType="separate"/>
            </w:r>
            <w:r w:rsidR="009E23A6">
              <w:rPr>
                <w:noProof/>
                <w:webHidden/>
              </w:rPr>
              <w:t>28</w:t>
            </w:r>
            <w:r w:rsidR="009E23A6">
              <w:rPr>
                <w:noProof/>
                <w:webHidden/>
              </w:rPr>
              <w:fldChar w:fldCharType="end"/>
            </w:r>
          </w:hyperlink>
        </w:p>
        <w:p w14:paraId="26095DDE" w14:textId="2B7CE1F1"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7" w:history="1">
            <w:r w:rsidR="009E23A6" w:rsidRPr="00D94627">
              <w:rPr>
                <w:rStyle w:val="Hypertextovodkaz"/>
                <w:rFonts w:cs="Arial"/>
                <w:noProof/>
              </w:rPr>
              <w:t>11.9.</w:t>
            </w:r>
            <w:r w:rsidR="009E23A6">
              <w:rPr>
                <w:rFonts w:asciiTheme="minorHAnsi" w:eastAsiaTheme="minorEastAsia" w:hAnsiTheme="minorHAnsi" w:cstheme="minorBidi"/>
                <w:noProof/>
                <w:szCs w:val="22"/>
              </w:rPr>
              <w:tab/>
            </w:r>
            <w:r w:rsidR="009E23A6" w:rsidRPr="00D94627">
              <w:rPr>
                <w:rStyle w:val="Hypertextovodkaz"/>
                <w:noProof/>
              </w:rPr>
              <w:t>Produkce potravin</w:t>
            </w:r>
            <w:r w:rsidR="009E23A6">
              <w:rPr>
                <w:noProof/>
                <w:webHidden/>
              </w:rPr>
              <w:tab/>
            </w:r>
            <w:r w:rsidR="009E23A6">
              <w:rPr>
                <w:noProof/>
                <w:webHidden/>
              </w:rPr>
              <w:fldChar w:fldCharType="begin"/>
            </w:r>
            <w:r w:rsidR="009E23A6">
              <w:rPr>
                <w:noProof/>
                <w:webHidden/>
              </w:rPr>
              <w:instrText xml:space="preserve"> PAGEREF _Toc115938917 \h </w:instrText>
            </w:r>
            <w:r w:rsidR="009E23A6">
              <w:rPr>
                <w:noProof/>
                <w:webHidden/>
              </w:rPr>
            </w:r>
            <w:r w:rsidR="009E23A6">
              <w:rPr>
                <w:noProof/>
                <w:webHidden/>
              </w:rPr>
              <w:fldChar w:fldCharType="separate"/>
            </w:r>
            <w:r w:rsidR="009E23A6">
              <w:rPr>
                <w:noProof/>
                <w:webHidden/>
              </w:rPr>
              <w:t>28</w:t>
            </w:r>
            <w:r w:rsidR="009E23A6">
              <w:rPr>
                <w:noProof/>
                <w:webHidden/>
              </w:rPr>
              <w:fldChar w:fldCharType="end"/>
            </w:r>
          </w:hyperlink>
        </w:p>
        <w:p w14:paraId="5062CFA9" w14:textId="28EA4699"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8" w:history="1">
            <w:r w:rsidR="009E23A6" w:rsidRPr="00D94627">
              <w:rPr>
                <w:rStyle w:val="Hypertextovodkaz"/>
                <w:rFonts w:cs="Arial"/>
                <w:noProof/>
              </w:rPr>
              <w:t>11.10.</w:t>
            </w:r>
            <w:r w:rsidR="009E23A6">
              <w:rPr>
                <w:rFonts w:asciiTheme="minorHAnsi" w:eastAsiaTheme="minorEastAsia" w:hAnsiTheme="minorHAnsi" w:cstheme="minorBidi"/>
                <w:noProof/>
                <w:szCs w:val="22"/>
              </w:rPr>
              <w:tab/>
            </w:r>
            <w:r w:rsidR="009E23A6" w:rsidRPr="00D94627">
              <w:rPr>
                <w:rStyle w:val="Hypertextovodkaz"/>
                <w:noProof/>
              </w:rPr>
              <w:t>Zemědělská technika</w:t>
            </w:r>
            <w:r w:rsidR="009E23A6">
              <w:rPr>
                <w:noProof/>
                <w:webHidden/>
              </w:rPr>
              <w:tab/>
            </w:r>
            <w:r w:rsidR="009E23A6">
              <w:rPr>
                <w:noProof/>
                <w:webHidden/>
              </w:rPr>
              <w:fldChar w:fldCharType="begin"/>
            </w:r>
            <w:r w:rsidR="009E23A6">
              <w:rPr>
                <w:noProof/>
                <w:webHidden/>
              </w:rPr>
              <w:instrText xml:space="preserve"> PAGEREF _Toc115938918 \h </w:instrText>
            </w:r>
            <w:r w:rsidR="009E23A6">
              <w:rPr>
                <w:noProof/>
                <w:webHidden/>
              </w:rPr>
            </w:r>
            <w:r w:rsidR="009E23A6">
              <w:rPr>
                <w:noProof/>
                <w:webHidden/>
              </w:rPr>
              <w:fldChar w:fldCharType="separate"/>
            </w:r>
            <w:r w:rsidR="009E23A6">
              <w:rPr>
                <w:noProof/>
                <w:webHidden/>
              </w:rPr>
              <w:t>28</w:t>
            </w:r>
            <w:r w:rsidR="009E23A6">
              <w:rPr>
                <w:noProof/>
                <w:webHidden/>
              </w:rPr>
              <w:fldChar w:fldCharType="end"/>
            </w:r>
          </w:hyperlink>
        </w:p>
        <w:p w14:paraId="79C56134" w14:textId="5387A72E"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19" w:history="1">
            <w:r w:rsidR="009E23A6" w:rsidRPr="00D94627">
              <w:rPr>
                <w:rStyle w:val="Hypertextovodkaz"/>
                <w:rFonts w:cs="Arial"/>
                <w:noProof/>
              </w:rPr>
              <w:t>11.11.</w:t>
            </w:r>
            <w:r w:rsidR="009E23A6">
              <w:rPr>
                <w:rFonts w:asciiTheme="minorHAnsi" w:eastAsiaTheme="minorEastAsia" w:hAnsiTheme="minorHAnsi" w:cstheme="minorBidi"/>
                <w:noProof/>
                <w:szCs w:val="22"/>
              </w:rPr>
              <w:tab/>
            </w:r>
            <w:r w:rsidR="009E23A6" w:rsidRPr="00D94627">
              <w:rPr>
                <w:rStyle w:val="Hypertextovodkaz"/>
                <w:noProof/>
              </w:rPr>
              <w:t>Lesnická a zemědělská ekonomika a politika</w:t>
            </w:r>
            <w:r w:rsidR="009E23A6">
              <w:rPr>
                <w:noProof/>
                <w:webHidden/>
              </w:rPr>
              <w:tab/>
            </w:r>
            <w:r w:rsidR="009E23A6">
              <w:rPr>
                <w:noProof/>
                <w:webHidden/>
              </w:rPr>
              <w:fldChar w:fldCharType="begin"/>
            </w:r>
            <w:r w:rsidR="009E23A6">
              <w:rPr>
                <w:noProof/>
                <w:webHidden/>
              </w:rPr>
              <w:instrText xml:space="preserve"> PAGEREF _Toc115938919 \h </w:instrText>
            </w:r>
            <w:r w:rsidR="009E23A6">
              <w:rPr>
                <w:noProof/>
                <w:webHidden/>
              </w:rPr>
            </w:r>
            <w:r w:rsidR="009E23A6">
              <w:rPr>
                <w:noProof/>
                <w:webHidden/>
              </w:rPr>
              <w:fldChar w:fldCharType="separate"/>
            </w:r>
            <w:r w:rsidR="009E23A6">
              <w:rPr>
                <w:noProof/>
                <w:webHidden/>
              </w:rPr>
              <w:t>29</w:t>
            </w:r>
            <w:r w:rsidR="009E23A6">
              <w:rPr>
                <w:noProof/>
                <w:webHidden/>
              </w:rPr>
              <w:fldChar w:fldCharType="end"/>
            </w:r>
          </w:hyperlink>
        </w:p>
        <w:p w14:paraId="242F0DCA" w14:textId="0659BBEC" w:rsidR="009E23A6" w:rsidRDefault="00F830E2">
          <w:pPr>
            <w:pStyle w:val="Obsah1"/>
            <w:rPr>
              <w:rFonts w:asciiTheme="minorHAnsi" w:eastAsiaTheme="minorEastAsia" w:hAnsiTheme="minorHAnsi" w:cstheme="minorBidi"/>
              <w:noProof/>
              <w:szCs w:val="22"/>
            </w:rPr>
          </w:pPr>
          <w:hyperlink w:anchor="_Toc115938920" w:history="1">
            <w:r w:rsidR="009E23A6" w:rsidRPr="00D94627">
              <w:rPr>
                <w:rStyle w:val="Hypertextovodkaz"/>
                <w:noProof/>
              </w:rPr>
              <w:t>12.</w:t>
            </w:r>
            <w:r w:rsidR="009E23A6">
              <w:rPr>
                <w:rFonts w:asciiTheme="minorHAnsi" w:eastAsiaTheme="minorEastAsia" w:hAnsiTheme="minorHAnsi" w:cstheme="minorBidi"/>
                <w:noProof/>
                <w:szCs w:val="22"/>
              </w:rPr>
              <w:tab/>
            </w:r>
            <w:r w:rsidR="009E23A6" w:rsidRPr="00D94627">
              <w:rPr>
                <w:rStyle w:val="Hypertextovodkaz"/>
                <w:noProof/>
              </w:rPr>
              <w:t>Očekávané výsledky Programu</w:t>
            </w:r>
            <w:r w:rsidR="009E23A6">
              <w:rPr>
                <w:noProof/>
                <w:webHidden/>
              </w:rPr>
              <w:tab/>
            </w:r>
            <w:r w:rsidR="009E23A6">
              <w:rPr>
                <w:noProof/>
                <w:webHidden/>
              </w:rPr>
              <w:fldChar w:fldCharType="begin"/>
            </w:r>
            <w:r w:rsidR="009E23A6">
              <w:rPr>
                <w:noProof/>
                <w:webHidden/>
              </w:rPr>
              <w:instrText xml:space="preserve"> PAGEREF _Toc115938920 \h </w:instrText>
            </w:r>
            <w:r w:rsidR="009E23A6">
              <w:rPr>
                <w:noProof/>
                <w:webHidden/>
              </w:rPr>
            </w:r>
            <w:r w:rsidR="009E23A6">
              <w:rPr>
                <w:noProof/>
                <w:webHidden/>
              </w:rPr>
              <w:fldChar w:fldCharType="separate"/>
            </w:r>
            <w:r w:rsidR="009E23A6">
              <w:rPr>
                <w:noProof/>
                <w:webHidden/>
              </w:rPr>
              <w:t>29</w:t>
            </w:r>
            <w:r w:rsidR="009E23A6">
              <w:rPr>
                <w:noProof/>
                <w:webHidden/>
              </w:rPr>
              <w:fldChar w:fldCharType="end"/>
            </w:r>
          </w:hyperlink>
        </w:p>
        <w:p w14:paraId="3C30C8A3" w14:textId="3870FC1A" w:rsidR="009E23A6" w:rsidRDefault="00F830E2">
          <w:pPr>
            <w:pStyle w:val="Obsah1"/>
            <w:rPr>
              <w:rFonts w:asciiTheme="minorHAnsi" w:eastAsiaTheme="minorEastAsia" w:hAnsiTheme="minorHAnsi" w:cstheme="minorBidi"/>
              <w:noProof/>
              <w:szCs w:val="22"/>
            </w:rPr>
          </w:pPr>
          <w:hyperlink w:anchor="_Toc115938921" w:history="1">
            <w:r w:rsidR="009E23A6" w:rsidRPr="00D94627">
              <w:rPr>
                <w:rStyle w:val="Hypertextovodkaz"/>
                <w:noProof/>
              </w:rPr>
              <w:t>13.</w:t>
            </w:r>
            <w:r w:rsidR="009E23A6">
              <w:rPr>
                <w:rFonts w:asciiTheme="minorHAnsi" w:eastAsiaTheme="minorEastAsia" w:hAnsiTheme="minorHAnsi" w:cstheme="minorBidi"/>
                <w:noProof/>
                <w:szCs w:val="22"/>
              </w:rPr>
              <w:tab/>
            </w:r>
            <w:r w:rsidR="009E23A6" w:rsidRPr="00D94627">
              <w:rPr>
                <w:rStyle w:val="Hypertextovodkaz"/>
                <w:noProof/>
              </w:rPr>
              <w:t>Způsob a kritéria hodnocení návrhů projektu</w:t>
            </w:r>
            <w:r w:rsidR="009E23A6">
              <w:rPr>
                <w:noProof/>
                <w:webHidden/>
              </w:rPr>
              <w:tab/>
            </w:r>
            <w:r w:rsidR="009E23A6">
              <w:rPr>
                <w:noProof/>
                <w:webHidden/>
              </w:rPr>
              <w:fldChar w:fldCharType="begin"/>
            </w:r>
            <w:r w:rsidR="009E23A6">
              <w:rPr>
                <w:noProof/>
                <w:webHidden/>
              </w:rPr>
              <w:instrText xml:space="preserve"> PAGEREF _Toc115938921 \h </w:instrText>
            </w:r>
            <w:r w:rsidR="009E23A6">
              <w:rPr>
                <w:noProof/>
                <w:webHidden/>
              </w:rPr>
            </w:r>
            <w:r w:rsidR="009E23A6">
              <w:rPr>
                <w:noProof/>
                <w:webHidden/>
              </w:rPr>
              <w:fldChar w:fldCharType="separate"/>
            </w:r>
            <w:r w:rsidR="009E23A6">
              <w:rPr>
                <w:noProof/>
                <w:webHidden/>
              </w:rPr>
              <w:t>31</w:t>
            </w:r>
            <w:r w:rsidR="009E23A6">
              <w:rPr>
                <w:noProof/>
                <w:webHidden/>
              </w:rPr>
              <w:fldChar w:fldCharType="end"/>
            </w:r>
          </w:hyperlink>
        </w:p>
        <w:p w14:paraId="368DEF48" w14:textId="07620AE2" w:rsidR="009E23A6" w:rsidRDefault="00F830E2">
          <w:pPr>
            <w:pStyle w:val="Obsah1"/>
            <w:rPr>
              <w:rFonts w:asciiTheme="minorHAnsi" w:eastAsiaTheme="minorEastAsia" w:hAnsiTheme="minorHAnsi" w:cstheme="minorBidi"/>
              <w:noProof/>
              <w:szCs w:val="22"/>
            </w:rPr>
          </w:pPr>
          <w:hyperlink w:anchor="_Toc115938922" w:history="1">
            <w:r w:rsidR="009E23A6" w:rsidRPr="00D94627">
              <w:rPr>
                <w:rStyle w:val="Hypertextovodkaz"/>
                <w:noProof/>
              </w:rPr>
              <w:t>14.</w:t>
            </w:r>
            <w:r w:rsidR="009E23A6">
              <w:rPr>
                <w:rFonts w:asciiTheme="minorHAnsi" w:eastAsiaTheme="minorEastAsia" w:hAnsiTheme="minorHAnsi" w:cstheme="minorBidi"/>
                <w:noProof/>
                <w:szCs w:val="22"/>
              </w:rPr>
              <w:tab/>
            </w:r>
            <w:r w:rsidR="009E23A6" w:rsidRPr="00D94627">
              <w:rPr>
                <w:rStyle w:val="Hypertextovodkaz"/>
                <w:noProof/>
              </w:rPr>
              <w:t>Monitoring a evaluace</w:t>
            </w:r>
            <w:r w:rsidR="009E23A6">
              <w:rPr>
                <w:noProof/>
                <w:webHidden/>
              </w:rPr>
              <w:tab/>
            </w:r>
            <w:r w:rsidR="009E23A6">
              <w:rPr>
                <w:noProof/>
                <w:webHidden/>
              </w:rPr>
              <w:fldChar w:fldCharType="begin"/>
            </w:r>
            <w:r w:rsidR="009E23A6">
              <w:rPr>
                <w:noProof/>
                <w:webHidden/>
              </w:rPr>
              <w:instrText xml:space="preserve"> PAGEREF _Toc115938922 \h </w:instrText>
            </w:r>
            <w:r w:rsidR="009E23A6">
              <w:rPr>
                <w:noProof/>
                <w:webHidden/>
              </w:rPr>
            </w:r>
            <w:r w:rsidR="009E23A6">
              <w:rPr>
                <w:noProof/>
                <w:webHidden/>
              </w:rPr>
              <w:fldChar w:fldCharType="separate"/>
            </w:r>
            <w:r w:rsidR="009E23A6">
              <w:rPr>
                <w:noProof/>
                <w:webHidden/>
              </w:rPr>
              <w:t>32</w:t>
            </w:r>
            <w:r w:rsidR="009E23A6">
              <w:rPr>
                <w:noProof/>
                <w:webHidden/>
              </w:rPr>
              <w:fldChar w:fldCharType="end"/>
            </w:r>
          </w:hyperlink>
        </w:p>
        <w:p w14:paraId="7E215D5E" w14:textId="51A291D0"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23" w:history="1">
            <w:r w:rsidR="009E23A6" w:rsidRPr="00D94627">
              <w:rPr>
                <w:rStyle w:val="Hypertextovodkaz"/>
                <w:rFonts w:cs="Arial"/>
                <w:noProof/>
              </w:rPr>
              <w:t>14.1.</w:t>
            </w:r>
            <w:r w:rsidR="009E23A6">
              <w:rPr>
                <w:rFonts w:asciiTheme="minorHAnsi" w:eastAsiaTheme="minorEastAsia" w:hAnsiTheme="minorHAnsi" w:cstheme="minorBidi"/>
                <w:noProof/>
                <w:szCs w:val="22"/>
              </w:rPr>
              <w:tab/>
            </w:r>
            <w:r w:rsidR="009E23A6" w:rsidRPr="00D94627">
              <w:rPr>
                <w:rStyle w:val="Hypertextovodkaz"/>
                <w:noProof/>
              </w:rPr>
              <w:t>Úroveň projektu</w:t>
            </w:r>
            <w:r w:rsidR="009E23A6">
              <w:rPr>
                <w:noProof/>
                <w:webHidden/>
              </w:rPr>
              <w:tab/>
            </w:r>
            <w:r w:rsidR="009E23A6">
              <w:rPr>
                <w:noProof/>
                <w:webHidden/>
              </w:rPr>
              <w:fldChar w:fldCharType="begin"/>
            </w:r>
            <w:r w:rsidR="009E23A6">
              <w:rPr>
                <w:noProof/>
                <w:webHidden/>
              </w:rPr>
              <w:instrText xml:space="preserve"> PAGEREF _Toc115938923 \h </w:instrText>
            </w:r>
            <w:r w:rsidR="009E23A6">
              <w:rPr>
                <w:noProof/>
                <w:webHidden/>
              </w:rPr>
            </w:r>
            <w:r w:rsidR="009E23A6">
              <w:rPr>
                <w:noProof/>
                <w:webHidden/>
              </w:rPr>
              <w:fldChar w:fldCharType="separate"/>
            </w:r>
            <w:r w:rsidR="009E23A6">
              <w:rPr>
                <w:noProof/>
                <w:webHidden/>
              </w:rPr>
              <w:t>32</w:t>
            </w:r>
            <w:r w:rsidR="009E23A6">
              <w:rPr>
                <w:noProof/>
                <w:webHidden/>
              </w:rPr>
              <w:fldChar w:fldCharType="end"/>
            </w:r>
          </w:hyperlink>
        </w:p>
        <w:p w14:paraId="6107D289" w14:textId="41D281F5" w:rsidR="009E23A6" w:rsidRDefault="00F830E2">
          <w:pPr>
            <w:pStyle w:val="Obsah2"/>
            <w:tabs>
              <w:tab w:val="left" w:pos="1100"/>
              <w:tab w:val="right" w:leader="dot" w:pos="9060"/>
            </w:tabs>
            <w:rPr>
              <w:rFonts w:asciiTheme="minorHAnsi" w:eastAsiaTheme="minorEastAsia" w:hAnsiTheme="minorHAnsi" w:cstheme="minorBidi"/>
              <w:noProof/>
              <w:szCs w:val="22"/>
            </w:rPr>
          </w:pPr>
          <w:hyperlink w:anchor="_Toc115938924" w:history="1">
            <w:r w:rsidR="009E23A6" w:rsidRPr="00D94627">
              <w:rPr>
                <w:rStyle w:val="Hypertextovodkaz"/>
                <w:rFonts w:cs="Arial"/>
                <w:noProof/>
              </w:rPr>
              <w:t>14.2.</w:t>
            </w:r>
            <w:r w:rsidR="009E23A6">
              <w:rPr>
                <w:rFonts w:asciiTheme="minorHAnsi" w:eastAsiaTheme="minorEastAsia" w:hAnsiTheme="minorHAnsi" w:cstheme="minorBidi"/>
                <w:noProof/>
                <w:szCs w:val="22"/>
              </w:rPr>
              <w:tab/>
            </w:r>
            <w:r w:rsidR="009E23A6" w:rsidRPr="00D94627">
              <w:rPr>
                <w:rStyle w:val="Hypertextovodkaz"/>
                <w:noProof/>
              </w:rPr>
              <w:t>Úroveň Programu</w:t>
            </w:r>
            <w:r w:rsidR="009E23A6">
              <w:rPr>
                <w:noProof/>
                <w:webHidden/>
              </w:rPr>
              <w:tab/>
            </w:r>
            <w:r w:rsidR="009E23A6">
              <w:rPr>
                <w:noProof/>
                <w:webHidden/>
              </w:rPr>
              <w:fldChar w:fldCharType="begin"/>
            </w:r>
            <w:r w:rsidR="009E23A6">
              <w:rPr>
                <w:noProof/>
                <w:webHidden/>
              </w:rPr>
              <w:instrText xml:space="preserve"> PAGEREF _Toc115938924 \h </w:instrText>
            </w:r>
            <w:r w:rsidR="009E23A6">
              <w:rPr>
                <w:noProof/>
                <w:webHidden/>
              </w:rPr>
            </w:r>
            <w:r w:rsidR="009E23A6">
              <w:rPr>
                <w:noProof/>
                <w:webHidden/>
              </w:rPr>
              <w:fldChar w:fldCharType="separate"/>
            </w:r>
            <w:r w:rsidR="009E23A6">
              <w:rPr>
                <w:noProof/>
                <w:webHidden/>
              </w:rPr>
              <w:t>33</w:t>
            </w:r>
            <w:r w:rsidR="009E23A6">
              <w:rPr>
                <w:noProof/>
                <w:webHidden/>
              </w:rPr>
              <w:fldChar w:fldCharType="end"/>
            </w:r>
          </w:hyperlink>
        </w:p>
        <w:p w14:paraId="0424C77C" w14:textId="62B5AFB0" w:rsidR="009E23A6" w:rsidRDefault="00F830E2">
          <w:pPr>
            <w:pStyle w:val="Obsah3"/>
            <w:tabs>
              <w:tab w:val="right" w:leader="dot" w:pos="9060"/>
            </w:tabs>
            <w:rPr>
              <w:rFonts w:asciiTheme="minorHAnsi" w:eastAsiaTheme="minorEastAsia" w:hAnsiTheme="minorHAnsi" w:cstheme="minorBidi"/>
              <w:noProof/>
              <w:szCs w:val="22"/>
            </w:rPr>
          </w:pPr>
          <w:hyperlink w:anchor="_Toc115938925" w:history="1">
            <w:r w:rsidR="009E23A6" w:rsidRPr="00D94627">
              <w:rPr>
                <w:rStyle w:val="Hypertextovodkaz"/>
                <w:noProof/>
              </w:rPr>
              <w:t>Ex-ante evaluace</w:t>
            </w:r>
            <w:r w:rsidR="009E23A6">
              <w:rPr>
                <w:noProof/>
                <w:webHidden/>
              </w:rPr>
              <w:tab/>
            </w:r>
            <w:r w:rsidR="009E23A6">
              <w:rPr>
                <w:noProof/>
                <w:webHidden/>
              </w:rPr>
              <w:fldChar w:fldCharType="begin"/>
            </w:r>
            <w:r w:rsidR="009E23A6">
              <w:rPr>
                <w:noProof/>
                <w:webHidden/>
              </w:rPr>
              <w:instrText xml:space="preserve"> PAGEREF _Toc115938925 \h </w:instrText>
            </w:r>
            <w:r w:rsidR="009E23A6">
              <w:rPr>
                <w:noProof/>
                <w:webHidden/>
              </w:rPr>
            </w:r>
            <w:r w:rsidR="009E23A6">
              <w:rPr>
                <w:noProof/>
                <w:webHidden/>
              </w:rPr>
              <w:fldChar w:fldCharType="separate"/>
            </w:r>
            <w:r w:rsidR="009E23A6">
              <w:rPr>
                <w:noProof/>
                <w:webHidden/>
              </w:rPr>
              <w:t>33</w:t>
            </w:r>
            <w:r w:rsidR="009E23A6">
              <w:rPr>
                <w:noProof/>
                <w:webHidden/>
              </w:rPr>
              <w:fldChar w:fldCharType="end"/>
            </w:r>
          </w:hyperlink>
        </w:p>
        <w:p w14:paraId="1205A13D" w14:textId="0DD4C775" w:rsidR="009E23A6" w:rsidRDefault="00F830E2">
          <w:pPr>
            <w:pStyle w:val="Obsah3"/>
            <w:tabs>
              <w:tab w:val="right" w:leader="dot" w:pos="9060"/>
            </w:tabs>
            <w:rPr>
              <w:rFonts w:asciiTheme="minorHAnsi" w:eastAsiaTheme="minorEastAsia" w:hAnsiTheme="minorHAnsi" w:cstheme="minorBidi"/>
              <w:noProof/>
              <w:szCs w:val="22"/>
            </w:rPr>
          </w:pPr>
          <w:hyperlink w:anchor="_Toc115938926" w:history="1">
            <w:r w:rsidR="009E23A6" w:rsidRPr="00D94627">
              <w:rPr>
                <w:rStyle w:val="Hypertextovodkaz"/>
                <w:noProof/>
              </w:rPr>
              <w:t>Monitoring</w:t>
            </w:r>
            <w:r w:rsidR="009E23A6">
              <w:rPr>
                <w:noProof/>
                <w:webHidden/>
              </w:rPr>
              <w:tab/>
            </w:r>
            <w:r w:rsidR="009E23A6">
              <w:rPr>
                <w:noProof/>
                <w:webHidden/>
              </w:rPr>
              <w:fldChar w:fldCharType="begin"/>
            </w:r>
            <w:r w:rsidR="009E23A6">
              <w:rPr>
                <w:noProof/>
                <w:webHidden/>
              </w:rPr>
              <w:instrText xml:space="preserve"> PAGEREF _Toc115938926 \h </w:instrText>
            </w:r>
            <w:r w:rsidR="009E23A6">
              <w:rPr>
                <w:noProof/>
                <w:webHidden/>
              </w:rPr>
            </w:r>
            <w:r w:rsidR="009E23A6">
              <w:rPr>
                <w:noProof/>
                <w:webHidden/>
              </w:rPr>
              <w:fldChar w:fldCharType="separate"/>
            </w:r>
            <w:r w:rsidR="009E23A6">
              <w:rPr>
                <w:noProof/>
                <w:webHidden/>
              </w:rPr>
              <w:t>33</w:t>
            </w:r>
            <w:r w:rsidR="009E23A6">
              <w:rPr>
                <w:noProof/>
                <w:webHidden/>
              </w:rPr>
              <w:fldChar w:fldCharType="end"/>
            </w:r>
          </w:hyperlink>
        </w:p>
        <w:p w14:paraId="7D0755AE" w14:textId="1DD13DCE" w:rsidR="009E23A6" w:rsidRDefault="00F830E2">
          <w:pPr>
            <w:pStyle w:val="Obsah3"/>
            <w:tabs>
              <w:tab w:val="right" w:leader="dot" w:pos="9060"/>
            </w:tabs>
            <w:rPr>
              <w:rFonts w:asciiTheme="minorHAnsi" w:eastAsiaTheme="minorEastAsia" w:hAnsiTheme="minorHAnsi" w:cstheme="minorBidi"/>
              <w:noProof/>
              <w:szCs w:val="22"/>
            </w:rPr>
          </w:pPr>
          <w:hyperlink w:anchor="_Toc115938927" w:history="1">
            <w:r w:rsidR="009E23A6" w:rsidRPr="00D94627">
              <w:rPr>
                <w:rStyle w:val="Hypertextovodkaz"/>
                <w:noProof/>
              </w:rPr>
              <w:t>Interim evaluace</w:t>
            </w:r>
            <w:r w:rsidR="009E23A6">
              <w:rPr>
                <w:noProof/>
                <w:webHidden/>
              </w:rPr>
              <w:tab/>
            </w:r>
            <w:r w:rsidR="009E23A6">
              <w:rPr>
                <w:noProof/>
                <w:webHidden/>
              </w:rPr>
              <w:fldChar w:fldCharType="begin"/>
            </w:r>
            <w:r w:rsidR="009E23A6">
              <w:rPr>
                <w:noProof/>
                <w:webHidden/>
              </w:rPr>
              <w:instrText xml:space="preserve"> PAGEREF _Toc115938927 \h </w:instrText>
            </w:r>
            <w:r w:rsidR="009E23A6">
              <w:rPr>
                <w:noProof/>
                <w:webHidden/>
              </w:rPr>
            </w:r>
            <w:r w:rsidR="009E23A6">
              <w:rPr>
                <w:noProof/>
                <w:webHidden/>
              </w:rPr>
              <w:fldChar w:fldCharType="separate"/>
            </w:r>
            <w:r w:rsidR="009E23A6">
              <w:rPr>
                <w:noProof/>
                <w:webHidden/>
              </w:rPr>
              <w:t>33</w:t>
            </w:r>
            <w:r w:rsidR="009E23A6">
              <w:rPr>
                <w:noProof/>
                <w:webHidden/>
              </w:rPr>
              <w:fldChar w:fldCharType="end"/>
            </w:r>
          </w:hyperlink>
        </w:p>
        <w:p w14:paraId="1D6F0114" w14:textId="569E37D8" w:rsidR="009E23A6" w:rsidRDefault="00F830E2">
          <w:pPr>
            <w:pStyle w:val="Obsah3"/>
            <w:tabs>
              <w:tab w:val="right" w:leader="dot" w:pos="9060"/>
            </w:tabs>
            <w:rPr>
              <w:rFonts w:asciiTheme="minorHAnsi" w:eastAsiaTheme="minorEastAsia" w:hAnsiTheme="minorHAnsi" w:cstheme="minorBidi"/>
              <w:noProof/>
              <w:szCs w:val="22"/>
            </w:rPr>
          </w:pPr>
          <w:hyperlink w:anchor="_Toc115938928" w:history="1">
            <w:r w:rsidR="009E23A6" w:rsidRPr="00D94627">
              <w:rPr>
                <w:rStyle w:val="Hypertextovodkaz"/>
                <w:noProof/>
              </w:rPr>
              <w:t>Ex-post evaluace</w:t>
            </w:r>
            <w:r w:rsidR="009E23A6">
              <w:rPr>
                <w:noProof/>
                <w:webHidden/>
              </w:rPr>
              <w:tab/>
            </w:r>
            <w:r w:rsidR="009E23A6">
              <w:rPr>
                <w:noProof/>
                <w:webHidden/>
              </w:rPr>
              <w:fldChar w:fldCharType="begin"/>
            </w:r>
            <w:r w:rsidR="009E23A6">
              <w:rPr>
                <w:noProof/>
                <w:webHidden/>
              </w:rPr>
              <w:instrText xml:space="preserve"> PAGEREF _Toc115938928 \h </w:instrText>
            </w:r>
            <w:r w:rsidR="009E23A6">
              <w:rPr>
                <w:noProof/>
                <w:webHidden/>
              </w:rPr>
            </w:r>
            <w:r w:rsidR="009E23A6">
              <w:rPr>
                <w:noProof/>
                <w:webHidden/>
              </w:rPr>
              <w:fldChar w:fldCharType="separate"/>
            </w:r>
            <w:r w:rsidR="009E23A6">
              <w:rPr>
                <w:noProof/>
                <w:webHidden/>
              </w:rPr>
              <w:t>33</w:t>
            </w:r>
            <w:r w:rsidR="009E23A6">
              <w:rPr>
                <w:noProof/>
                <w:webHidden/>
              </w:rPr>
              <w:fldChar w:fldCharType="end"/>
            </w:r>
          </w:hyperlink>
        </w:p>
        <w:p w14:paraId="46892253" w14:textId="5A27E83C" w:rsidR="009E23A6" w:rsidRDefault="00F830E2">
          <w:pPr>
            <w:pStyle w:val="Obsah3"/>
            <w:tabs>
              <w:tab w:val="right" w:leader="dot" w:pos="9060"/>
            </w:tabs>
            <w:rPr>
              <w:rFonts w:asciiTheme="minorHAnsi" w:eastAsiaTheme="minorEastAsia" w:hAnsiTheme="minorHAnsi" w:cstheme="minorBidi"/>
              <w:noProof/>
              <w:szCs w:val="22"/>
            </w:rPr>
          </w:pPr>
          <w:hyperlink w:anchor="_Toc115938929" w:history="1">
            <w:r w:rsidR="009E23A6" w:rsidRPr="00D94627">
              <w:rPr>
                <w:rStyle w:val="Hypertextovodkaz"/>
                <w:noProof/>
              </w:rPr>
              <w:t>Očekávané přínosy a dopady</w:t>
            </w:r>
            <w:r w:rsidR="009E23A6">
              <w:rPr>
                <w:noProof/>
                <w:webHidden/>
              </w:rPr>
              <w:tab/>
            </w:r>
            <w:r w:rsidR="009E23A6">
              <w:rPr>
                <w:noProof/>
                <w:webHidden/>
              </w:rPr>
              <w:fldChar w:fldCharType="begin"/>
            </w:r>
            <w:r w:rsidR="009E23A6">
              <w:rPr>
                <w:noProof/>
                <w:webHidden/>
              </w:rPr>
              <w:instrText xml:space="preserve"> PAGEREF _Toc115938929 \h </w:instrText>
            </w:r>
            <w:r w:rsidR="009E23A6">
              <w:rPr>
                <w:noProof/>
                <w:webHidden/>
              </w:rPr>
            </w:r>
            <w:r w:rsidR="009E23A6">
              <w:rPr>
                <w:noProof/>
                <w:webHidden/>
              </w:rPr>
              <w:fldChar w:fldCharType="separate"/>
            </w:r>
            <w:r w:rsidR="009E23A6">
              <w:rPr>
                <w:noProof/>
                <w:webHidden/>
              </w:rPr>
              <w:t>34</w:t>
            </w:r>
            <w:r w:rsidR="009E23A6">
              <w:rPr>
                <w:noProof/>
                <w:webHidden/>
              </w:rPr>
              <w:fldChar w:fldCharType="end"/>
            </w:r>
          </w:hyperlink>
        </w:p>
        <w:p w14:paraId="15F69DA0" w14:textId="024E7339" w:rsidR="009E23A6" w:rsidRDefault="00F830E2">
          <w:pPr>
            <w:pStyle w:val="Obsah1"/>
            <w:rPr>
              <w:rFonts w:asciiTheme="minorHAnsi" w:eastAsiaTheme="minorEastAsia" w:hAnsiTheme="minorHAnsi" w:cstheme="minorBidi"/>
              <w:noProof/>
              <w:szCs w:val="22"/>
            </w:rPr>
          </w:pPr>
          <w:hyperlink w:anchor="_Toc115938930" w:history="1">
            <w:r w:rsidR="009E23A6" w:rsidRPr="00D94627">
              <w:rPr>
                <w:rStyle w:val="Hypertextovodkaz"/>
                <w:noProof/>
              </w:rPr>
              <w:t>15.</w:t>
            </w:r>
            <w:r w:rsidR="009E23A6">
              <w:rPr>
                <w:rFonts w:asciiTheme="minorHAnsi" w:eastAsiaTheme="minorEastAsia" w:hAnsiTheme="minorHAnsi" w:cstheme="minorBidi"/>
                <w:noProof/>
                <w:szCs w:val="22"/>
              </w:rPr>
              <w:tab/>
            </w:r>
            <w:r w:rsidR="009E23A6" w:rsidRPr="00D94627">
              <w:rPr>
                <w:rStyle w:val="Hypertextovodkaz"/>
                <w:noProof/>
              </w:rPr>
              <w:t>Kritéria splnění cílů Programu</w:t>
            </w:r>
            <w:r w:rsidR="009E23A6">
              <w:rPr>
                <w:noProof/>
                <w:webHidden/>
              </w:rPr>
              <w:tab/>
            </w:r>
            <w:r w:rsidR="009E23A6">
              <w:rPr>
                <w:noProof/>
                <w:webHidden/>
              </w:rPr>
              <w:fldChar w:fldCharType="begin"/>
            </w:r>
            <w:r w:rsidR="009E23A6">
              <w:rPr>
                <w:noProof/>
                <w:webHidden/>
              </w:rPr>
              <w:instrText xml:space="preserve"> PAGEREF _Toc115938930 \h </w:instrText>
            </w:r>
            <w:r w:rsidR="009E23A6">
              <w:rPr>
                <w:noProof/>
                <w:webHidden/>
              </w:rPr>
            </w:r>
            <w:r w:rsidR="009E23A6">
              <w:rPr>
                <w:noProof/>
                <w:webHidden/>
              </w:rPr>
              <w:fldChar w:fldCharType="separate"/>
            </w:r>
            <w:r w:rsidR="009E23A6">
              <w:rPr>
                <w:noProof/>
                <w:webHidden/>
              </w:rPr>
              <w:t>35</w:t>
            </w:r>
            <w:r w:rsidR="009E23A6">
              <w:rPr>
                <w:noProof/>
                <w:webHidden/>
              </w:rPr>
              <w:fldChar w:fldCharType="end"/>
            </w:r>
          </w:hyperlink>
        </w:p>
        <w:p w14:paraId="3109C3F0" w14:textId="48269367" w:rsidR="009E23A6" w:rsidRDefault="00F830E2">
          <w:pPr>
            <w:pStyle w:val="Obsah1"/>
            <w:rPr>
              <w:rFonts w:asciiTheme="minorHAnsi" w:eastAsiaTheme="minorEastAsia" w:hAnsiTheme="minorHAnsi" w:cstheme="minorBidi"/>
              <w:noProof/>
              <w:szCs w:val="22"/>
            </w:rPr>
          </w:pPr>
          <w:hyperlink w:anchor="_Toc115938931" w:history="1">
            <w:r w:rsidR="009E23A6" w:rsidRPr="00D94627">
              <w:rPr>
                <w:rStyle w:val="Hypertextovodkaz"/>
                <w:noProof/>
              </w:rPr>
              <w:t>16.</w:t>
            </w:r>
            <w:r w:rsidR="009E23A6">
              <w:rPr>
                <w:rFonts w:asciiTheme="minorHAnsi" w:eastAsiaTheme="minorEastAsia" w:hAnsiTheme="minorHAnsi" w:cstheme="minorBidi"/>
                <w:noProof/>
                <w:szCs w:val="22"/>
              </w:rPr>
              <w:tab/>
            </w:r>
            <w:r w:rsidR="009E23A6" w:rsidRPr="00D94627">
              <w:rPr>
                <w:rStyle w:val="Hypertextovodkaz"/>
                <w:noProof/>
              </w:rPr>
              <w:t>Analýza rizik</w:t>
            </w:r>
            <w:r w:rsidR="009E23A6">
              <w:rPr>
                <w:noProof/>
                <w:webHidden/>
              </w:rPr>
              <w:tab/>
            </w:r>
            <w:r w:rsidR="009E23A6">
              <w:rPr>
                <w:noProof/>
                <w:webHidden/>
              </w:rPr>
              <w:fldChar w:fldCharType="begin"/>
            </w:r>
            <w:r w:rsidR="009E23A6">
              <w:rPr>
                <w:noProof/>
                <w:webHidden/>
              </w:rPr>
              <w:instrText xml:space="preserve"> PAGEREF _Toc115938931 \h </w:instrText>
            </w:r>
            <w:r w:rsidR="009E23A6">
              <w:rPr>
                <w:noProof/>
                <w:webHidden/>
              </w:rPr>
            </w:r>
            <w:r w:rsidR="009E23A6">
              <w:rPr>
                <w:noProof/>
                <w:webHidden/>
              </w:rPr>
              <w:fldChar w:fldCharType="separate"/>
            </w:r>
            <w:r w:rsidR="009E23A6">
              <w:rPr>
                <w:noProof/>
                <w:webHidden/>
              </w:rPr>
              <w:t>36</w:t>
            </w:r>
            <w:r w:rsidR="009E23A6">
              <w:rPr>
                <w:noProof/>
                <w:webHidden/>
              </w:rPr>
              <w:fldChar w:fldCharType="end"/>
            </w:r>
          </w:hyperlink>
        </w:p>
        <w:p w14:paraId="5EAEAC98" w14:textId="0BFF8EBA" w:rsidR="009E23A6" w:rsidRDefault="00F830E2">
          <w:pPr>
            <w:pStyle w:val="Obsah1"/>
            <w:rPr>
              <w:rFonts w:asciiTheme="minorHAnsi" w:eastAsiaTheme="minorEastAsia" w:hAnsiTheme="minorHAnsi" w:cstheme="minorBidi"/>
              <w:noProof/>
              <w:szCs w:val="22"/>
            </w:rPr>
          </w:pPr>
          <w:hyperlink w:anchor="_Toc115938932" w:history="1">
            <w:r w:rsidR="009E23A6" w:rsidRPr="00D94627">
              <w:rPr>
                <w:rStyle w:val="Hypertextovodkaz"/>
                <w:noProof/>
              </w:rPr>
              <w:t>17.</w:t>
            </w:r>
            <w:r w:rsidR="009E23A6">
              <w:rPr>
                <w:rFonts w:asciiTheme="minorHAnsi" w:eastAsiaTheme="minorEastAsia" w:hAnsiTheme="minorHAnsi" w:cstheme="minorBidi"/>
                <w:noProof/>
                <w:szCs w:val="22"/>
              </w:rPr>
              <w:tab/>
            </w:r>
            <w:r w:rsidR="009E23A6" w:rsidRPr="00D94627">
              <w:rPr>
                <w:rStyle w:val="Hypertextovodkaz"/>
                <w:noProof/>
              </w:rPr>
              <w:t>Srovnání se zahraničím</w:t>
            </w:r>
            <w:r w:rsidR="009E23A6">
              <w:rPr>
                <w:noProof/>
                <w:webHidden/>
              </w:rPr>
              <w:tab/>
            </w:r>
            <w:r w:rsidR="009E23A6">
              <w:rPr>
                <w:noProof/>
                <w:webHidden/>
              </w:rPr>
              <w:fldChar w:fldCharType="begin"/>
            </w:r>
            <w:r w:rsidR="009E23A6">
              <w:rPr>
                <w:noProof/>
                <w:webHidden/>
              </w:rPr>
              <w:instrText xml:space="preserve"> PAGEREF _Toc115938932 \h </w:instrText>
            </w:r>
            <w:r w:rsidR="009E23A6">
              <w:rPr>
                <w:noProof/>
                <w:webHidden/>
              </w:rPr>
            </w:r>
            <w:r w:rsidR="009E23A6">
              <w:rPr>
                <w:noProof/>
                <w:webHidden/>
              </w:rPr>
              <w:fldChar w:fldCharType="separate"/>
            </w:r>
            <w:r w:rsidR="009E23A6">
              <w:rPr>
                <w:noProof/>
                <w:webHidden/>
              </w:rPr>
              <w:t>38</w:t>
            </w:r>
            <w:r w:rsidR="009E23A6">
              <w:rPr>
                <w:noProof/>
                <w:webHidden/>
              </w:rPr>
              <w:fldChar w:fldCharType="end"/>
            </w:r>
          </w:hyperlink>
        </w:p>
        <w:p w14:paraId="695201C7" w14:textId="04BFFC5E" w:rsidR="007F18EF" w:rsidRPr="009E23A6" w:rsidRDefault="007F18EF">
          <w:r w:rsidRPr="009E23A6">
            <w:rPr>
              <w:b/>
              <w:bCs/>
            </w:rPr>
            <w:fldChar w:fldCharType="end"/>
          </w:r>
        </w:p>
      </w:sdtContent>
    </w:sdt>
    <w:p w14:paraId="4B5D380E" w14:textId="4D403593" w:rsidR="007F18EF" w:rsidRPr="009E23A6" w:rsidRDefault="00441C14" w:rsidP="007F18EF">
      <w:pPr>
        <w:sectPr w:rsidR="007F18EF" w:rsidRPr="009E23A6" w:rsidSect="008442B5">
          <w:footerReference w:type="default" r:id="rId8"/>
          <w:footerReference w:type="first" r:id="rId9"/>
          <w:pgSz w:w="11906" w:h="16838"/>
          <w:pgMar w:top="1418" w:right="1418" w:bottom="1418" w:left="1418" w:header="709" w:footer="709" w:gutter="0"/>
          <w:cols w:space="708"/>
        </w:sectPr>
      </w:pPr>
      <w:r w:rsidRPr="009E23A6">
        <w:rPr>
          <w:rFonts w:cs="Arial"/>
          <w:b/>
          <w:bCs/>
          <w:sz w:val="28"/>
          <w:szCs w:val="28"/>
        </w:rPr>
        <w:br w:type="page"/>
      </w:r>
    </w:p>
    <w:p w14:paraId="4E1DA858" w14:textId="3353864F" w:rsidR="00962A01" w:rsidRPr="009E23A6" w:rsidRDefault="00962A01" w:rsidP="00F4761B">
      <w:pPr>
        <w:pStyle w:val="Nadpis1"/>
        <w:spacing w:line="360" w:lineRule="auto"/>
        <w:rPr>
          <w:szCs w:val="32"/>
        </w:rPr>
      </w:pPr>
      <w:bookmarkStart w:id="2" w:name="_Toc115938883"/>
      <w:bookmarkStart w:id="3" w:name="_Toc112061690"/>
      <w:r w:rsidRPr="009E23A6">
        <w:rPr>
          <w:szCs w:val="32"/>
        </w:rPr>
        <w:lastRenderedPageBreak/>
        <w:t>Identifika</w:t>
      </w:r>
      <w:r w:rsidR="000F28AE" w:rsidRPr="009E23A6">
        <w:rPr>
          <w:szCs w:val="32"/>
        </w:rPr>
        <w:t>ční údaje</w:t>
      </w:r>
      <w:bookmarkEnd w:id="2"/>
    </w:p>
    <w:p w14:paraId="0EBE04D7" w14:textId="131956A5" w:rsidR="0057110D" w:rsidRPr="009E23A6" w:rsidRDefault="0057110D" w:rsidP="00F4761B">
      <w:pPr>
        <w:pStyle w:val="Nadpis2"/>
      </w:pPr>
      <w:bookmarkStart w:id="4" w:name="_Toc115938884"/>
      <w:r w:rsidRPr="009E23A6">
        <w:t>Název Programu</w:t>
      </w:r>
      <w:bookmarkEnd w:id="3"/>
      <w:bookmarkEnd w:id="4"/>
    </w:p>
    <w:p w14:paraId="2ACC73F7" w14:textId="2AC54CCC" w:rsidR="0057110D" w:rsidRPr="009E23A6" w:rsidRDefault="0057110D" w:rsidP="00F4761B">
      <w:r w:rsidRPr="009E23A6">
        <w:t xml:space="preserve">Program na podporu aplikovaného výzkumu Ministerstva zemědělství na období 2024 – 2032, ZEMĚ II (dále také „Program“). </w:t>
      </w:r>
    </w:p>
    <w:p w14:paraId="5C5C9847" w14:textId="77777777" w:rsidR="00962A01" w:rsidRPr="009E23A6" w:rsidRDefault="00962A01" w:rsidP="00F4761B">
      <w:pPr>
        <w:pStyle w:val="Nadpis2"/>
      </w:pPr>
      <w:bookmarkStart w:id="5" w:name="_Toc115938885"/>
      <w:r w:rsidRPr="009E23A6">
        <w:t>Právní rámec Programu</w:t>
      </w:r>
      <w:bookmarkEnd w:id="5"/>
    </w:p>
    <w:p w14:paraId="674AC451" w14:textId="77777777" w:rsidR="00962A01" w:rsidRPr="009E23A6" w:rsidRDefault="00962A01" w:rsidP="00F4761B">
      <w:r w:rsidRPr="009E23A6">
        <w:t>Program bude realizován podle:</w:t>
      </w:r>
    </w:p>
    <w:p w14:paraId="3A5A402D" w14:textId="77777777" w:rsidR="00962A01" w:rsidRPr="009E23A6" w:rsidRDefault="00962A01" w:rsidP="00F4761B">
      <w:pPr>
        <w:pStyle w:val="Odstavecseseznamem"/>
        <w:numPr>
          <w:ilvl w:val="0"/>
          <w:numId w:val="3"/>
        </w:numPr>
      </w:pPr>
      <w:r w:rsidRPr="009E23A6">
        <w:t>Zákona č. 130/2002 Sb., o podpoře výzkumu, experimentálního vývoje a inovací z veřejných prostředků a o změně některých souvisejících zákonů (zákon o podpoře výzkumu, experimentálního vývoje a inovací), ve znění pozdějších předpisů (dále také “zákon č. 130/2002 Sb.”);</w:t>
      </w:r>
    </w:p>
    <w:p w14:paraId="335CD5A4" w14:textId="77777777" w:rsidR="00962A01" w:rsidRPr="009E23A6" w:rsidRDefault="00962A01" w:rsidP="00F4761B">
      <w:pPr>
        <w:pStyle w:val="Odstavecseseznamem"/>
        <w:numPr>
          <w:ilvl w:val="0"/>
          <w:numId w:val="3"/>
        </w:numPr>
      </w:pPr>
      <w:r w:rsidRPr="009E23A6">
        <w:t>Nařízení Komise (EU) č. 651/2014 ze dne 17. června 2014, kterým se v souladu s články 107 a 108 Smlouvy prohlašují určité kategorie podpory za slučitelné s vnitřním trhem</w:t>
      </w:r>
      <w:r w:rsidRPr="009E23A6">
        <w:rPr>
          <w:rStyle w:val="Znakapoznpodarou"/>
        </w:rPr>
        <w:footnoteReference w:id="1"/>
      </w:r>
      <w:r w:rsidRPr="009E23A6">
        <w:t xml:space="preserve"> – zejm. čl. 25 (dále také „GBER“), v platném znění;</w:t>
      </w:r>
    </w:p>
    <w:p w14:paraId="0B7CBF83" w14:textId="77777777" w:rsidR="00962A01" w:rsidRPr="009E23A6" w:rsidRDefault="00962A01" w:rsidP="00F4761B">
      <w:pPr>
        <w:pStyle w:val="Odstavecseseznamem"/>
        <w:numPr>
          <w:ilvl w:val="0"/>
          <w:numId w:val="3"/>
        </w:numPr>
      </w:pPr>
      <w:r w:rsidRPr="009E23A6">
        <w:t>Rámce pro státní podporu výzkumu, vývoje a inovací</w:t>
      </w:r>
      <w:r w:rsidRPr="009E23A6">
        <w:rPr>
          <w:rStyle w:val="Znakapoznpodarou"/>
        </w:rPr>
        <w:footnoteReference w:id="2"/>
      </w:r>
      <w:r w:rsidRPr="009E23A6">
        <w:t xml:space="preserve"> (dále také „Rámec“).</w:t>
      </w:r>
    </w:p>
    <w:p w14:paraId="4BCBAA47" w14:textId="77777777" w:rsidR="00962A01" w:rsidRPr="009E23A6" w:rsidRDefault="00962A01" w:rsidP="00F4761B">
      <w:pPr>
        <w:ind w:right="-90"/>
      </w:pPr>
      <w:r w:rsidRPr="009E23A6">
        <w:t>Pokud podpora projektu zakládá veřejnou podporu podle článku 107 odst. 1 Smlouvy o fungování EU, řídí se podmínkami GBER.</w:t>
      </w:r>
    </w:p>
    <w:p w14:paraId="5F504DA4" w14:textId="77777777" w:rsidR="00962A01" w:rsidRPr="009E23A6" w:rsidRDefault="00962A01" w:rsidP="00F4761B">
      <w:r w:rsidRPr="009E23A6">
        <w:t xml:space="preserve">Příjemcům typu podnik bude poskytována podpora dle GBER. Příjemcům typu výzkumná organizace bude podpora poskytována na činnosti dle bodu 19 Rámce. </w:t>
      </w:r>
    </w:p>
    <w:p w14:paraId="26BF8357" w14:textId="77777777" w:rsidR="00962A01" w:rsidRPr="009E23A6" w:rsidRDefault="00962A01" w:rsidP="00F4761B">
      <w:pPr>
        <w:spacing w:before="0" w:after="0"/>
        <w:jc w:val="left"/>
      </w:pPr>
      <w:r w:rsidRPr="009E23A6">
        <w:t>V rámci tohoto Programu je vyloučeno vyplacení jednotlivé podpory ve prospěch podniku:</w:t>
      </w:r>
    </w:p>
    <w:p w14:paraId="1C1E76A0" w14:textId="77777777" w:rsidR="00962A01" w:rsidRPr="009E23A6" w:rsidRDefault="00962A01" w:rsidP="00F4761B">
      <w:pPr>
        <w:pStyle w:val="Odstavecseseznamem"/>
        <w:numPr>
          <w:ilvl w:val="0"/>
          <w:numId w:val="5"/>
        </w:numPr>
      </w:pPr>
      <w:r w:rsidRPr="00AD3FEC">
        <w:t>vůči němuž byl v návaznosti na rozhodnutí Evropské komise, na základě kterého, byla podpora obdržená od poskytovatele z České republiky prohlášena za protiprávní a neslučitelnou s vnitřním trhem, vystaven dosud nesplacený příkaz k navrácení podpory;</w:t>
      </w:r>
    </w:p>
    <w:p w14:paraId="57B99FAE" w14:textId="77777777" w:rsidR="00962A01" w:rsidRPr="009E23A6" w:rsidRDefault="00962A01" w:rsidP="00F4761B">
      <w:pPr>
        <w:pStyle w:val="Odstavecseseznamem"/>
        <w:numPr>
          <w:ilvl w:val="0"/>
          <w:numId w:val="5"/>
        </w:numPr>
      </w:pPr>
      <w:r w:rsidRPr="009E23A6">
        <w:t>splňujícímu definici podniku v obtížích uvedenou v čl. 2, odst. 18) GBER.</w:t>
      </w:r>
    </w:p>
    <w:p w14:paraId="072FC1F6" w14:textId="77777777" w:rsidR="00962A01" w:rsidRPr="009E23A6" w:rsidRDefault="00962A01" w:rsidP="00F4761B">
      <w:r w:rsidRPr="009E23A6">
        <w:t xml:space="preserve">Pokud jeden podnik obdrží v Programu veřejnou podporu přesahující příslušný limit transparentnosti stanovený v rámci GBER, budou informace o příjemci a jemu poskytnuté </w:t>
      </w:r>
      <w:r w:rsidRPr="009E23A6">
        <w:lastRenderedPageBreak/>
        <w:t>podpoře (v rozsahu dle přílohy III GBER) zveřejněny na centrální webové stránce ve smyslu čl. 9 GBER.</w:t>
      </w:r>
    </w:p>
    <w:p w14:paraId="4E30B57C" w14:textId="77777777" w:rsidR="00962A01" w:rsidRPr="009E23A6" w:rsidRDefault="00962A01" w:rsidP="00F4761B">
      <w:r w:rsidRPr="009E23A6">
        <w:t>Program bude realizován v souladu s klíčovými strategickými dokumenty v oblasti výzkumu, vývoje a inovacích (dále také “VaVaI“). Jedná se o tyto dokumenty:</w:t>
      </w:r>
    </w:p>
    <w:p w14:paraId="3DAF3BF3" w14:textId="77777777" w:rsidR="00962A01" w:rsidRPr="009E23A6" w:rsidRDefault="00962A01" w:rsidP="00F4761B">
      <w:pPr>
        <w:pStyle w:val="Odstavecseseznamem"/>
        <w:numPr>
          <w:ilvl w:val="0"/>
          <w:numId w:val="1"/>
        </w:numPr>
      </w:pPr>
      <w:r w:rsidRPr="009E23A6">
        <w:t>Národní politika výzkumu, vývoje a inovací České republiky 2021+, (dále také „NP VaVaI 2021+“);</w:t>
      </w:r>
    </w:p>
    <w:p w14:paraId="069BB452" w14:textId="77777777" w:rsidR="00962A01" w:rsidRPr="009E23A6" w:rsidRDefault="00962A01" w:rsidP="00F4761B">
      <w:pPr>
        <w:pStyle w:val="Odstavecseseznamem"/>
        <w:numPr>
          <w:ilvl w:val="0"/>
          <w:numId w:val="1"/>
        </w:numPr>
        <w:rPr>
          <w:color w:val="000000"/>
        </w:rPr>
      </w:pPr>
      <w:r w:rsidRPr="009E23A6">
        <w:t>Národní priority orientovaného výzkumu, experimentálního vývoje a inovací do roku 2030 (dále také „NPOV“);</w:t>
      </w:r>
    </w:p>
    <w:p w14:paraId="1E615581" w14:textId="77777777" w:rsidR="00962A01" w:rsidRPr="009E23A6" w:rsidRDefault="00962A01" w:rsidP="00F4761B">
      <w:pPr>
        <w:pStyle w:val="Odstavecseseznamem"/>
        <w:numPr>
          <w:ilvl w:val="0"/>
          <w:numId w:val="1"/>
        </w:numPr>
      </w:pPr>
      <w:r w:rsidRPr="009E23A6">
        <w:t xml:space="preserve">Inovační strategie České republiky 2019–2030; </w:t>
      </w:r>
    </w:p>
    <w:p w14:paraId="1719F3AF" w14:textId="77777777" w:rsidR="00962A01" w:rsidRPr="009E23A6" w:rsidRDefault="00962A01" w:rsidP="00F4761B">
      <w:pPr>
        <w:pStyle w:val="Odstavecseseznamem"/>
        <w:numPr>
          <w:ilvl w:val="0"/>
          <w:numId w:val="1"/>
        </w:numPr>
      </w:pPr>
      <w:r w:rsidRPr="009E23A6">
        <w:t xml:space="preserve">Národní výzkumná a inovační strategie pro inteligentní specializaci České republiky 2021–2027 (dále „Národní RIS3 strategie 2021+“); </w:t>
      </w:r>
    </w:p>
    <w:p w14:paraId="59A62E6E" w14:textId="77777777" w:rsidR="00962A01" w:rsidRPr="009E23A6" w:rsidRDefault="00962A01" w:rsidP="00F4761B">
      <w:pPr>
        <w:pStyle w:val="Odstavecseseznamem"/>
        <w:numPr>
          <w:ilvl w:val="0"/>
          <w:numId w:val="1"/>
        </w:numPr>
        <w:rPr>
          <w:color w:val="000000"/>
        </w:rPr>
      </w:pPr>
      <w:r w:rsidRPr="009E23A6">
        <w:t>Koncepce výzkumu, vývoje a inovací Ministerstva zemědělství ČR na léta 2023–2032 (dále také „</w:t>
      </w:r>
      <w:r w:rsidRPr="009E23A6">
        <w:rPr>
          <w:rFonts w:cs="Arial"/>
        </w:rPr>
        <w:t>Koncepce VaVaI MZe 2023+</w:t>
      </w:r>
      <w:r w:rsidRPr="009E23A6">
        <w:t>“);</w:t>
      </w:r>
    </w:p>
    <w:p w14:paraId="57501218" w14:textId="77777777" w:rsidR="00962A01" w:rsidRPr="009E23A6" w:rsidRDefault="00962A01" w:rsidP="00F4761B">
      <w:pPr>
        <w:pStyle w:val="Odstavecseseznamem"/>
        <w:numPr>
          <w:ilvl w:val="0"/>
          <w:numId w:val="1"/>
        </w:numPr>
      </w:pPr>
      <w:r w:rsidRPr="009E23A6">
        <w:t xml:space="preserve">Strategie resortu Ministerstva zemědělství s výhledem do roku 2030; a další relevantní strategie a koncepční dokumenty schválené vládou. </w:t>
      </w:r>
    </w:p>
    <w:p w14:paraId="35D2FE48" w14:textId="77777777" w:rsidR="00962A01" w:rsidRPr="009E23A6" w:rsidRDefault="00962A01" w:rsidP="00F4761B">
      <w:pPr>
        <w:pStyle w:val="Nadpis2"/>
      </w:pPr>
      <w:bookmarkStart w:id="6" w:name="_Toc115938886"/>
      <w:r w:rsidRPr="009E23A6">
        <w:t>Poskytovatel</w:t>
      </w:r>
      <w:bookmarkEnd w:id="6"/>
    </w:p>
    <w:p w14:paraId="7A71E8A5" w14:textId="77777777" w:rsidR="00962A01" w:rsidRPr="009E23A6" w:rsidRDefault="00962A01" w:rsidP="00F4761B">
      <w:r w:rsidRPr="009E23A6">
        <w:t>Poskytovatelem podpory je Ministerstvo zemědělství se sídlem Těšnov 65/17, 110 00 Praha 1 (dále také „MZe“).</w:t>
      </w:r>
    </w:p>
    <w:p w14:paraId="7EF6EFA2" w14:textId="77777777" w:rsidR="00962A01" w:rsidRPr="009E23A6" w:rsidRDefault="00962A01" w:rsidP="00F4761B">
      <w:pPr>
        <w:pStyle w:val="Nadpis2"/>
      </w:pPr>
      <w:bookmarkStart w:id="7" w:name="_Toc115938887"/>
      <w:r w:rsidRPr="009E23A6">
        <w:t>Identifikační kód Programu</w:t>
      </w:r>
      <w:bookmarkEnd w:id="7"/>
    </w:p>
    <w:p w14:paraId="6254170E" w14:textId="77777777" w:rsidR="00962A01" w:rsidRPr="009E23A6" w:rsidRDefault="00962A01" w:rsidP="00F4761B">
      <w:pPr>
        <w:rPr>
          <w:rFonts w:cs="Arial"/>
          <w:b/>
          <w:sz w:val="28"/>
        </w:rPr>
      </w:pPr>
      <w:r w:rsidRPr="009E23A6">
        <w:t>Pro účely evidence v Informačním systému výzkumu, experimentálního vývoje a inovací je Programu přidělen kód “XX”.</w:t>
      </w:r>
    </w:p>
    <w:p w14:paraId="4F056201" w14:textId="77777777" w:rsidR="00962A01" w:rsidRPr="009E23A6" w:rsidRDefault="00962A01" w:rsidP="00F4761B">
      <w:pPr>
        <w:pStyle w:val="Nadpis2"/>
      </w:pPr>
      <w:bookmarkStart w:id="8" w:name="_Toc115938888"/>
      <w:r w:rsidRPr="009E23A6">
        <w:t>Doba trvání Programu</w:t>
      </w:r>
      <w:bookmarkEnd w:id="8"/>
    </w:p>
    <w:p w14:paraId="1C8DAC1D" w14:textId="77777777" w:rsidR="00962A01" w:rsidRPr="009E23A6" w:rsidRDefault="00962A01" w:rsidP="00F4761B">
      <w:r w:rsidRPr="009E23A6">
        <w:t xml:space="preserve">Doba trvání Programu se předpokládá v letech 2024 až 2032, tj. 9 let. </w:t>
      </w:r>
    </w:p>
    <w:p w14:paraId="02108FA8" w14:textId="77777777" w:rsidR="00962A01" w:rsidRPr="009E23A6" w:rsidRDefault="00962A01" w:rsidP="00F4761B">
      <w:r w:rsidRPr="009E23A6">
        <w:t>Veřejná soutěž v aplikovaném výzkumu, experimentálním vývoji a inovacích (dále také „veřejná soutěž“) na výběr projektů do Programu bude vyhlášena poprvé v roce 2023 se zahájením poskytování podpory v roce 2024. Následně se předpokládá vyhlašování veřejných soutěží v letech 2024, 2025, 2027, 2028 a 2029, celkem se tak v Programu počítá s vyhlášením 6 veřejných soutěží.</w:t>
      </w:r>
    </w:p>
    <w:p w14:paraId="5063DF92" w14:textId="77777777" w:rsidR="00962A01" w:rsidRPr="009E23A6" w:rsidRDefault="00962A01" w:rsidP="00F4761B">
      <w:r w:rsidRPr="009E23A6">
        <w:t xml:space="preserve">Maximální délka řešení projektů v tomto Programu je stanovena na 6 let (různě u jednotlivých podprogramů). V roce 2025 bude navíc v podprogramu I vyhlášena veřejná soutěž na podporu strategických projektů transdisciplinární povahy, jejichž cílem bude přispět k rozvoji poznání </w:t>
      </w:r>
      <w:r w:rsidRPr="009E23A6">
        <w:lastRenderedPageBreak/>
        <w:t>v definovaných klíčových oblastech a přinést výsledky uplatnitelné v praxi.  U těchto projektů se počítá s dobou řešení 6 let.</w:t>
      </w:r>
    </w:p>
    <w:p w14:paraId="770D4100" w14:textId="7F748740" w:rsidR="00F6139F" w:rsidRPr="009E23A6" w:rsidRDefault="00962A01" w:rsidP="00F6139F">
      <w:r w:rsidRPr="009E23A6">
        <w:t>Doba řešení projektů nesmí přesáhnout dobu trvání Programu.</w:t>
      </w:r>
    </w:p>
    <w:p w14:paraId="1BFC5F31" w14:textId="22E7A5EE" w:rsidR="00F6139F" w:rsidRPr="00AD3FEC" w:rsidRDefault="00F6139F" w:rsidP="00F6139F">
      <w:pPr>
        <w:pStyle w:val="Nadpis1"/>
        <w:rPr>
          <w:szCs w:val="32"/>
        </w:rPr>
      </w:pPr>
      <w:bookmarkStart w:id="9" w:name="_Toc114144581"/>
      <w:bookmarkStart w:id="10" w:name="_Toc115938889"/>
      <w:r w:rsidRPr="00AD3FEC">
        <w:rPr>
          <w:szCs w:val="32"/>
        </w:rPr>
        <w:t>Poslání a odůvodnění Programu</w:t>
      </w:r>
      <w:bookmarkEnd w:id="9"/>
      <w:bookmarkEnd w:id="10"/>
    </w:p>
    <w:p w14:paraId="16236E8C" w14:textId="52838E71" w:rsidR="00962A01" w:rsidRPr="00AD3FEC" w:rsidRDefault="00962A01" w:rsidP="00F6139F">
      <w:pPr>
        <w:pStyle w:val="Nadpis2"/>
      </w:pPr>
      <w:bookmarkStart w:id="11" w:name="_Toc115938890"/>
      <w:r w:rsidRPr="00AD3FEC">
        <w:t>Řešená problematika</w:t>
      </w:r>
      <w:bookmarkEnd w:id="11"/>
    </w:p>
    <w:p w14:paraId="6854BA5D" w14:textId="77777777" w:rsidR="00962A01" w:rsidRPr="00AD3FEC" w:rsidRDefault="00962A01" w:rsidP="00F4761B">
      <w:r w:rsidRPr="00AD3FEC">
        <w:t>Program je zaměřen na podporu aplikovaného výzkumu (zahrnuje průmyslový výzkum, experimentální vývoj, nebo jejich kombinaci; dále také „VaV“</w:t>
      </w:r>
      <w:r w:rsidRPr="00AD3FEC">
        <w:rPr>
          <w:rStyle w:val="Znakapoznpodarou"/>
          <w:rFonts w:cs="Arial"/>
          <w:szCs w:val="22"/>
        </w:rPr>
        <w:t xml:space="preserve"> </w:t>
      </w:r>
      <w:r w:rsidRPr="00AD3FEC">
        <w:rPr>
          <w:rStyle w:val="Znakapoznpodarou"/>
          <w:rFonts w:cs="Arial"/>
          <w:szCs w:val="22"/>
        </w:rPr>
        <w:footnoteReference w:id="3"/>
      </w:r>
      <w:r w:rsidRPr="00AD3FEC">
        <w:t>) z hlediska jeho praktického uplatnění a na přípravu jeho následného komerčního využití či využití pro potřeby společnosti. Je zaměřen na naplňování a řešení řady cílů a opatření stanovených klíčovými strategickými dokumenty pro oblast VaVaI, vč. jejich v budoucnu aktualizovaných podob.</w:t>
      </w:r>
    </w:p>
    <w:p w14:paraId="157E62E5" w14:textId="77777777" w:rsidR="00962A01" w:rsidRPr="00AD3FEC" w:rsidRDefault="00962A01" w:rsidP="00F4761B">
      <w:r w:rsidRPr="00AD3FEC">
        <w:t>Program vychází z</w:t>
      </w:r>
      <w:r w:rsidRPr="00AD3FEC">
        <w:rPr>
          <w:rFonts w:cs="Arial"/>
          <w:szCs w:val="22"/>
        </w:rPr>
        <w:t xml:space="preserve"> Koncepce VaVaI MZe 2023+</w:t>
      </w:r>
      <w:r w:rsidRPr="00AD3FEC">
        <w:t xml:space="preserve">, je jedním z hlavních nástrojů realizace </w:t>
      </w:r>
      <w:r w:rsidRPr="00AD3FEC">
        <w:rPr>
          <w:rFonts w:cs="Arial"/>
          <w:szCs w:val="22"/>
        </w:rPr>
        <w:t>Koncepce VaVaI MZe 2023+</w:t>
      </w:r>
      <w:r w:rsidRPr="00AD3FEC">
        <w:t xml:space="preserve"> a jeho zaměřením je podpora inovativního zemědělství a lesnictví prostřednictvím pokročilých postupů a technologií.</w:t>
      </w:r>
    </w:p>
    <w:p w14:paraId="2CA4AE41" w14:textId="77777777" w:rsidR="00962A01" w:rsidRPr="00AD3FEC" w:rsidRDefault="00962A01" w:rsidP="00F4761B">
      <w:r w:rsidRPr="00AD3FEC">
        <w:t xml:space="preserve"> Tato vize je naplňována pomocí tří klíčových oblastí:</w:t>
      </w:r>
    </w:p>
    <w:p w14:paraId="44BDBCE5" w14:textId="55F99968" w:rsidR="00962A01" w:rsidRPr="00AD3FEC" w:rsidRDefault="00962A01" w:rsidP="00F4761B">
      <w:pPr>
        <w:pStyle w:val="Odstavecseseznamem"/>
        <w:numPr>
          <w:ilvl w:val="0"/>
          <w:numId w:val="6"/>
        </w:numPr>
      </w:pPr>
      <w:r w:rsidRPr="00AD3FEC">
        <w:t>Bioekonomika</w:t>
      </w:r>
    </w:p>
    <w:p w14:paraId="3E046965" w14:textId="637EFEA0" w:rsidR="00962A01" w:rsidRPr="00AD3FEC" w:rsidRDefault="00962A01" w:rsidP="00F4761B">
      <w:pPr>
        <w:pStyle w:val="Odstavecseseznamem"/>
        <w:numPr>
          <w:ilvl w:val="0"/>
          <w:numId w:val="6"/>
        </w:numPr>
      </w:pPr>
      <w:r w:rsidRPr="00AD3FEC">
        <w:t xml:space="preserve">Smart zemědělství </w:t>
      </w:r>
    </w:p>
    <w:p w14:paraId="4A4C171D" w14:textId="77777777" w:rsidR="00962A01" w:rsidRPr="00AD3FEC" w:rsidRDefault="00962A01" w:rsidP="00F4761B">
      <w:pPr>
        <w:pStyle w:val="Odstavecseseznamem"/>
        <w:numPr>
          <w:ilvl w:val="0"/>
          <w:numId w:val="6"/>
        </w:numPr>
      </w:pPr>
      <w:r w:rsidRPr="00AD3FEC">
        <w:t>Globální změny v biosféře.</w:t>
      </w:r>
    </w:p>
    <w:p w14:paraId="641FA20D" w14:textId="19919A62" w:rsidR="00962A01" w:rsidRPr="00AD3FEC" w:rsidRDefault="00962A01" w:rsidP="00F4761B">
      <w:pPr>
        <w:rPr>
          <w:rFonts w:cs="Arial"/>
          <w:szCs w:val="22"/>
        </w:rPr>
      </w:pPr>
      <w:r w:rsidRPr="00AD3FEC">
        <w:t xml:space="preserve">Analytický modul k problematice je obsažen v Koncepci </w:t>
      </w:r>
      <w:r w:rsidRPr="00AD3FEC">
        <w:rPr>
          <w:rFonts w:cs="Arial"/>
          <w:szCs w:val="22"/>
        </w:rPr>
        <w:t>VaVaI MZe 2023+ a Program má</w:t>
      </w:r>
      <w:r w:rsidR="00706C35" w:rsidRPr="00AD3FEC">
        <w:rPr>
          <w:rFonts w:cs="Arial"/>
          <w:szCs w:val="22"/>
        </w:rPr>
        <w:t> </w:t>
      </w:r>
      <w:r w:rsidRPr="00AD3FEC">
        <w:rPr>
          <w:rFonts w:cs="Arial"/>
          <w:szCs w:val="22"/>
        </w:rPr>
        <w:t>vazbu na následující kapitoly:</w:t>
      </w:r>
    </w:p>
    <w:p w14:paraId="2C98C9DB" w14:textId="7F1A1684" w:rsidR="00962A01" w:rsidRPr="00AD3FEC" w:rsidRDefault="00962A01" w:rsidP="00F4761B">
      <w:pPr>
        <w:pStyle w:val="Odstavecseseznamem"/>
        <w:numPr>
          <w:ilvl w:val="0"/>
          <w:numId w:val="22"/>
        </w:numPr>
      </w:pPr>
      <w:r w:rsidRPr="00AD3FEC">
        <w:t>Analýza situace ve výzkumu v zemědělsko-potravinářském sektoru, lesnictví a</w:t>
      </w:r>
      <w:r w:rsidR="00706C35" w:rsidRPr="00AD3FEC">
        <w:t> </w:t>
      </w:r>
      <w:r w:rsidRPr="00AD3FEC">
        <w:t>vodním hospodářství</w:t>
      </w:r>
    </w:p>
    <w:p w14:paraId="7C849712" w14:textId="77777777" w:rsidR="00962A01" w:rsidRPr="00AD3FEC" w:rsidRDefault="00962A01" w:rsidP="00F4761B">
      <w:pPr>
        <w:pStyle w:val="Odstavecseseznamem"/>
        <w:numPr>
          <w:ilvl w:val="0"/>
          <w:numId w:val="22"/>
        </w:numPr>
      </w:pPr>
      <w:r w:rsidRPr="00AD3FEC">
        <w:t>Shrnutí východisek a výzev pro oblast zemědělsko-potravinářského sektoru, lesnictví a vodního hospodářství</w:t>
      </w:r>
    </w:p>
    <w:p w14:paraId="11608BEB" w14:textId="47CC3281" w:rsidR="00962A01" w:rsidRPr="00AD3FEC" w:rsidRDefault="00962A01" w:rsidP="00F4761B">
      <w:pPr>
        <w:pStyle w:val="Odstavecseseznamem"/>
        <w:numPr>
          <w:ilvl w:val="0"/>
          <w:numId w:val="22"/>
        </w:numPr>
      </w:pPr>
      <w:r w:rsidRPr="00AD3FEC">
        <w:t>Výzkumné a technologické trendy</w:t>
      </w:r>
      <w:r w:rsidR="00877D52" w:rsidRPr="00AD3FEC">
        <w:t>.</w:t>
      </w:r>
    </w:p>
    <w:p w14:paraId="6C7B29A9" w14:textId="77777777" w:rsidR="00A51A41" w:rsidRPr="00AD3FEC" w:rsidRDefault="00A51A41" w:rsidP="00A51A41"/>
    <w:p w14:paraId="4BFA1827" w14:textId="3C83829E" w:rsidR="00A51A41" w:rsidRPr="00AD3FEC" w:rsidRDefault="00A51A41" w:rsidP="00514B5A">
      <w:pPr>
        <w:pStyle w:val="Nadpis2"/>
      </w:pPr>
      <w:bookmarkStart w:id="12" w:name="_Toc114144578"/>
      <w:bookmarkStart w:id="13" w:name="_Toc115938891"/>
      <w:r w:rsidRPr="00AD3FEC">
        <w:lastRenderedPageBreak/>
        <w:t>Předchozí programy</w:t>
      </w:r>
      <w:bookmarkEnd w:id="12"/>
      <w:bookmarkEnd w:id="13"/>
    </w:p>
    <w:p w14:paraId="547D6F67" w14:textId="77777777" w:rsidR="00A51A41" w:rsidRPr="00AD3FEC" w:rsidRDefault="00A51A41" w:rsidP="00E17A74">
      <w:pPr>
        <w:rPr>
          <w:b/>
          <w:bCs/>
        </w:rPr>
      </w:pPr>
      <w:bookmarkStart w:id="14" w:name="_Toc114144579"/>
      <w:r w:rsidRPr="00AD3FEC">
        <w:rPr>
          <w:b/>
          <w:bCs/>
        </w:rPr>
        <w:t>Komplexní udržitelné systémy v zemědělství 2012-2018, KUS</w:t>
      </w:r>
      <w:bookmarkEnd w:id="14"/>
    </w:p>
    <w:p w14:paraId="6B279716" w14:textId="77777777" w:rsidR="00A51A41" w:rsidRPr="00AD3FEC" w:rsidRDefault="00A51A41" w:rsidP="00A51A41">
      <w:pPr>
        <w:rPr>
          <w:szCs w:val="22"/>
        </w:rPr>
      </w:pPr>
      <w:r w:rsidRPr="00AD3FEC">
        <w:t xml:space="preserve">Program ZEMĚ II navazuje na program KUS, který probíhal mezi léty 2012 – 2018. </w:t>
      </w:r>
      <w:r w:rsidRPr="00AD3FEC">
        <w:rPr>
          <w:szCs w:val="22"/>
        </w:rPr>
        <w:t xml:space="preserve">Program byl zaměřen na podporu projektů aplikovaného výzkumu v oblasti zemědělství, rybolovu, potravinářství, vodního a lesního hospodářství, jejichž výsledky měly vysoký potenciál pro posílení bezpečných produkčních a mimoprodukčních funkcí zemědělství, lesního a vodního hospodářství a pro rozvoj českého zemědělství a lesního hospodářství. </w:t>
      </w:r>
    </w:p>
    <w:p w14:paraId="68DC0A92" w14:textId="77777777" w:rsidR="00A51A41" w:rsidRPr="00AD3FEC" w:rsidRDefault="00A51A41" w:rsidP="00A51A41">
      <w:pPr>
        <w:rPr>
          <w:rFonts w:eastAsia="Calibri" w:cs="Arial"/>
          <w:szCs w:val="22"/>
        </w:rPr>
      </w:pPr>
      <w:r w:rsidRPr="00AD3FEC">
        <w:rPr>
          <w:rFonts w:eastAsia="Calibri" w:cs="Arial"/>
          <w:szCs w:val="22"/>
        </w:rPr>
        <w:t xml:space="preserve">Celkové výdaje na program KUS činily </w:t>
      </w:r>
      <w:r w:rsidRPr="00AD3FEC">
        <w:t>2 605,3 mil. Kč</w:t>
      </w:r>
      <w:r w:rsidRPr="00AD3FEC">
        <w:rPr>
          <w:rFonts w:eastAsia="Calibri" w:cs="Arial"/>
          <w:szCs w:val="22"/>
        </w:rPr>
        <w:t xml:space="preserve">, z toho výdaje ze státního rozpočtu představovaly celkem </w:t>
      </w:r>
      <w:r w:rsidRPr="00AD3FEC">
        <w:t>2 224,9 mil. Kč</w:t>
      </w:r>
      <w:r w:rsidRPr="00AD3FEC">
        <w:rPr>
          <w:rFonts w:eastAsia="Calibri" w:cs="Arial"/>
          <w:szCs w:val="22"/>
        </w:rPr>
        <w:t>, průměrná intenzita podpory ze státního rozpočtu na celý program byla ve výši 85,4 % celkových způsobilých nákladů.</w:t>
      </w:r>
      <w:r w:rsidRPr="00AD3FEC">
        <w:rPr>
          <w:rStyle w:val="Znakapoznpodarou"/>
          <w:rFonts w:eastAsia="Calibri" w:cs="Arial"/>
          <w:szCs w:val="22"/>
        </w:rPr>
        <w:footnoteReference w:id="4"/>
      </w:r>
    </w:p>
    <w:p w14:paraId="5C8E6C50" w14:textId="2C11C129" w:rsidR="00A51A41" w:rsidRPr="00AD3FEC" w:rsidRDefault="00A51A41" w:rsidP="00A51A41">
      <w:pPr>
        <w:rPr>
          <w:szCs w:val="22"/>
        </w:rPr>
      </w:pPr>
      <w:r w:rsidRPr="00AD3FEC">
        <w:rPr>
          <w:rFonts w:eastAsia="Calibri" w:cs="Arial"/>
          <w:szCs w:val="22"/>
        </w:rPr>
        <w:t xml:space="preserve">Program byl hodnocen jako </w:t>
      </w:r>
      <w:r w:rsidRPr="00AD3FEC">
        <w:t>úspěšně ukončený</w:t>
      </w:r>
      <w:r w:rsidRPr="00AD3FEC">
        <w:rPr>
          <w:rFonts w:eastAsia="Calibri" w:cs="Arial"/>
          <w:szCs w:val="22"/>
        </w:rPr>
        <w:t xml:space="preserve">. </w:t>
      </w:r>
      <w:r w:rsidRPr="00AD3FEC">
        <w:rPr>
          <w:szCs w:val="22"/>
        </w:rPr>
        <w:t>Realizované projekty přispěly k naplňování všech definovaných cílů podprogramů a jejich očekávaných přínosů. Program byl svým zacílením a tematickým zaměřením velmi široký a díky tomu i odpovídajícím způsobem pokrýval všechny relevantní národní a evropské strategie a koncepce.</w:t>
      </w:r>
      <w:r w:rsidRPr="00AD3FEC">
        <w:rPr>
          <w:rStyle w:val="Znakapoznpodarou"/>
          <w:szCs w:val="22"/>
        </w:rPr>
        <w:footnoteReference w:id="5"/>
      </w:r>
    </w:p>
    <w:p w14:paraId="402BFEE3" w14:textId="77777777" w:rsidR="00D55C79" w:rsidRPr="00AD3FEC" w:rsidRDefault="00D55C79" w:rsidP="00A51A41">
      <w:pPr>
        <w:rPr>
          <w:rFonts w:eastAsia="Calibri" w:cs="Arial"/>
          <w:szCs w:val="22"/>
        </w:rPr>
      </w:pPr>
    </w:p>
    <w:p w14:paraId="5EDE1AC4" w14:textId="77777777" w:rsidR="00A51A41" w:rsidRPr="00AD3FEC" w:rsidRDefault="00A51A41" w:rsidP="00E17A74">
      <w:pPr>
        <w:rPr>
          <w:b/>
          <w:bCs/>
        </w:rPr>
      </w:pPr>
      <w:bookmarkStart w:id="15" w:name="_Toc114144580"/>
      <w:r w:rsidRPr="00AD3FEC">
        <w:rPr>
          <w:b/>
          <w:bCs/>
        </w:rPr>
        <w:t>Program aplikovaného výzkumu Ministerstva zemědělství na období 2017-2025, ZEMĚ</w:t>
      </w:r>
      <w:bookmarkEnd w:id="15"/>
    </w:p>
    <w:p w14:paraId="09B5CC04" w14:textId="77777777" w:rsidR="00A51A41" w:rsidRPr="00AD3FEC" w:rsidRDefault="00A51A41" w:rsidP="00A51A41">
      <w:pPr>
        <w:tabs>
          <w:tab w:val="left" w:pos="2300"/>
        </w:tabs>
      </w:pPr>
      <w:r w:rsidRPr="00AD3FEC">
        <w:t>Program ZEMĚ II bezprostředně navazuje na program ZEMĚ (v okamžiku vzniku tohoto dokumentu stále probíhá).</w:t>
      </w:r>
    </w:p>
    <w:p w14:paraId="1E605DC4" w14:textId="77777777" w:rsidR="00A51A41" w:rsidRPr="00AD3FEC" w:rsidRDefault="00A51A41" w:rsidP="00A51A41">
      <w:pPr>
        <w:tabs>
          <w:tab w:val="left" w:pos="2300"/>
        </w:tabs>
      </w:pPr>
      <w:r w:rsidRPr="00AD3FEC">
        <w:t xml:space="preserve">Cíle programu mají přímou vazbu na cíle výzkumu, vývoje a inovací (dále jen „VaVaI“) oblastí </w:t>
      </w:r>
      <w:r w:rsidRPr="00AD3FEC">
        <w:rPr>
          <w:i/>
          <w:iCs/>
        </w:rPr>
        <w:t>Národních priorit orientovaného výzkumu, experimentálního vývoje a inovací</w:t>
      </w:r>
      <w:r w:rsidRPr="00AD3FEC">
        <w:t>, zejména Prioritní oblast 1. „Konkurenceschopná ekonomika založená na znalostech“ a Prioritní oblast 3. „Prostředí pro kvalitní život“.</w:t>
      </w:r>
    </w:p>
    <w:p w14:paraId="71F9F766" w14:textId="77777777" w:rsidR="00A51A41" w:rsidRPr="00AD3FEC" w:rsidRDefault="00A51A41" w:rsidP="00A51A41">
      <w:pPr>
        <w:tabs>
          <w:tab w:val="left" w:pos="2300"/>
        </w:tabs>
      </w:pPr>
      <w:r w:rsidRPr="00AD3FEC">
        <w:t>Předpoklad je, že celkem bude na program vynaloženo 3 667 mil. Kč, z toho ze státního rozpočtu na výzkum, vývoj a inovace celkem 3 557 mil. Kč, tj. intenzita podpory ze státního rozpočtu na celý program bude průměrně ve výši 97 % celkových způsobilých nákladů.</w:t>
      </w:r>
      <w:r w:rsidRPr="00AD3FEC">
        <w:rPr>
          <w:rStyle w:val="Znakapoznpodarou"/>
        </w:rPr>
        <w:footnoteReference w:id="6"/>
      </w:r>
    </w:p>
    <w:p w14:paraId="7FBA6789" w14:textId="48E097B7" w:rsidR="00A51A41" w:rsidRPr="00AD3FEC" w:rsidRDefault="00A51A41" w:rsidP="00D55C79">
      <w:pPr>
        <w:tabs>
          <w:tab w:val="left" w:pos="2300"/>
        </w:tabs>
      </w:pPr>
      <w:r w:rsidRPr="00AD3FEC">
        <w:rPr>
          <w:szCs w:val="22"/>
        </w:rPr>
        <w:lastRenderedPageBreak/>
        <w:t>Dle Interim evaluace z roku 2019 program ZEMĚ adekvátně podporuje výzkumné projekty ve spektru témat, která odpovídají klíčovým národním strategickým dokumentům. Řízení a implementace programu ZEMĚ je na základě provedených šetření efektivní.</w:t>
      </w:r>
      <w:r w:rsidRPr="00AD3FEC">
        <w:rPr>
          <w:rStyle w:val="Znakapoznpodarou"/>
          <w:szCs w:val="22"/>
        </w:rPr>
        <w:footnoteReference w:id="7"/>
      </w:r>
    </w:p>
    <w:p w14:paraId="3FE4790F" w14:textId="65B21A4A" w:rsidR="00962A01" w:rsidRPr="00AD3FEC" w:rsidRDefault="00962A01" w:rsidP="00F4761B">
      <w:pPr>
        <w:pStyle w:val="Nadpis2"/>
      </w:pPr>
      <w:bookmarkStart w:id="16" w:name="_Ref115346752"/>
      <w:bookmarkStart w:id="17" w:name="_Ref115346755"/>
      <w:bookmarkStart w:id="18" w:name="_Toc115938892"/>
      <w:r w:rsidRPr="00AD3FEC">
        <w:t>Celospolečenský přínos</w:t>
      </w:r>
      <w:bookmarkEnd w:id="16"/>
      <w:bookmarkEnd w:id="17"/>
      <w:bookmarkEnd w:id="18"/>
    </w:p>
    <w:p w14:paraId="27D1CE01" w14:textId="64C7EB0C" w:rsidR="00E47744" w:rsidRPr="00AD3FEC" w:rsidRDefault="00E47744" w:rsidP="00F4761B">
      <w:pPr>
        <w:rPr>
          <w:rFonts w:cs="Arial"/>
        </w:rPr>
      </w:pPr>
      <w:r w:rsidRPr="00AD3FEC">
        <w:rPr>
          <w:rFonts w:cs="Arial"/>
        </w:rPr>
        <w:t xml:space="preserve">Program odpovídá na aktuální společenské výzvy, globální trendy a klíčové postuláty vyplývající ze zásadních strategických dokumentů. Je v souladu se </w:t>
      </w:r>
      <w:r w:rsidRPr="00AD3FEC">
        <w:rPr>
          <w:rFonts w:cs="Arial"/>
          <w:i/>
          <w:iCs/>
        </w:rPr>
        <w:t>Zelenou dohodou pro</w:t>
      </w:r>
      <w:r w:rsidR="00706C35" w:rsidRPr="00AD3FEC">
        <w:rPr>
          <w:rFonts w:cs="Arial"/>
          <w:i/>
          <w:iCs/>
        </w:rPr>
        <w:t> </w:t>
      </w:r>
      <w:r w:rsidRPr="00AD3FEC">
        <w:rPr>
          <w:rFonts w:cs="Arial"/>
          <w:i/>
          <w:iCs/>
        </w:rPr>
        <w:t>Evropu</w:t>
      </w:r>
      <w:r w:rsidRPr="00AD3FEC">
        <w:rPr>
          <w:rFonts w:cs="Arial"/>
        </w:rPr>
        <w:t xml:space="preserve"> a strategií </w:t>
      </w:r>
      <w:r w:rsidRPr="00AD3FEC">
        <w:rPr>
          <w:rFonts w:cs="Arial"/>
          <w:i/>
          <w:iCs/>
        </w:rPr>
        <w:t>Od zemědělce ke spotřebiteli</w:t>
      </w:r>
      <w:r w:rsidRPr="00AD3FEC">
        <w:rPr>
          <w:rFonts w:cs="Arial"/>
        </w:rPr>
        <w:t>.</w:t>
      </w:r>
    </w:p>
    <w:p w14:paraId="36D8BCF4" w14:textId="649108B8" w:rsidR="00E47744" w:rsidRPr="00AD3FEC" w:rsidRDefault="00E47744" w:rsidP="00F4761B">
      <w:pPr>
        <w:rPr>
          <w:rFonts w:cs="Arial"/>
        </w:rPr>
      </w:pPr>
      <w:r w:rsidRPr="00AD3FEC">
        <w:rPr>
          <w:rFonts w:cs="Arial"/>
        </w:rPr>
        <w:t>Základní motivací pro formulaci klíčových oblastí Programu a na ně navazujících výzkumných směrů je společenský a hospodářský rozvoj cestou digitální a zelené transformace.</w:t>
      </w:r>
    </w:p>
    <w:p w14:paraId="33D5A625" w14:textId="77777777" w:rsidR="00E47744" w:rsidRPr="00AD3FEC" w:rsidRDefault="00E47744" w:rsidP="00F4761B">
      <w:pPr>
        <w:rPr>
          <w:rFonts w:cs="Arial"/>
        </w:rPr>
      </w:pPr>
      <w:r w:rsidRPr="00AD3FEC">
        <w:rPr>
          <w:rFonts w:cs="Arial"/>
        </w:rPr>
        <w:t>Program přináší podporu výzkumných témat týkajících se cirkulární ekonomiky, digitalizace, smart a precizního zemědělství, ochrany přírodních zdrojů a snížení množství užívaných pesticidů, průmyslových hnojiv, antibiotik.</w:t>
      </w:r>
    </w:p>
    <w:p w14:paraId="2653BA8D" w14:textId="1358AA55" w:rsidR="00E47744" w:rsidRPr="00AD3FEC" w:rsidRDefault="005C4D90" w:rsidP="00F4761B">
      <w:pPr>
        <w:rPr>
          <w:rFonts w:cs="Arial"/>
        </w:rPr>
      </w:pPr>
      <w:r w:rsidRPr="00AD3FEC">
        <w:rPr>
          <w:rFonts w:cs="Arial"/>
        </w:rPr>
        <w:t>Účelem</w:t>
      </w:r>
      <w:r w:rsidR="00E47744" w:rsidRPr="00AD3FEC">
        <w:rPr>
          <w:rFonts w:cs="Arial"/>
        </w:rPr>
        <w:t xml:space="preserve"> Programu je vznik nových nástrojů, postupů, systémů a legislativy k zajištění trvale udržitelné produkce bezpečných, zdravých a nutričně plnohodnotných produktů s vysokou přidanou hodnotou.</w:t>
      </w:r>
    </w:p>
    <w:p w14:paraId="7CA785A3" w14:textId="5FF212DE" w:rsidR="00570211" w:rsidRPr="00AD3FEC" w:rsidRDefault="00E47744" w:rsidP="00F4761B">
      <w:pPr>
        <w:rPr>
          <w:rFonts w:cs="Arial"/>
        </w:rPr>
      </w:pPr>
      <w:r w:rsidRPr="00AD3FEC">
        <w:rPr>
          <w:rFonts w:cs="Arial"/>
        </w:rPr>
        <w:t>Tato podpora aplikovaného výzkumu, experimentálního vývoje a inovací směřuje také k</w:t>
      </w:r>
      <w:r w:rsidR="00DC4A05" w:rsidRPr="00AD3FEC">
        <w:rPr>
          <w:rFonts w:cs="Arial"/>
        </w:rPr>
        <w:t> </w:t>
      </w:r>
      <w:r w:rsidRPr="00AD3FEC">
        <w:rPr>
          <w:rFonts w:cs="Arial"/>
        </w:rPr>
        <w:t>adaptaci na změny klimatu a hledání účinných přístupů k ochraně biologické rozmanitosti a</w:t>
      </w:r>
      <w:r w:rsidR="00DC4A05" w:rsidRPr="00AD3FEC">
        <w:rPr>
          <w:rFonts w:cs="Arial"/>
        </w:rPr>
        <w:t> </w:t>
      </w:r>
      <w:r w:rsidRPr="00AD3FEC">
        <w:rPr>
          <w:rFonts w:cs="Arial"/>
        </w:rPr>
        <w:t>mitigaci dopadů globálních změn.</w:t>
      </w:r>
    </w:p>
    <w:p w14:paraId="2057C169" w14:textId="77777777" w:rsidR="00514B5A" w:rsidRPr="009E23A6" w:rsidRDefault="0052248B" w:rsidP="00514B5A">
      <w:r w:rsidRPr="00AD3FEC">
        <w:t xml:space="preserve">Program zohledňuje </w:t>
      </w:r>
      <w:r w:rsidR="00027AA9" w:rsidRPr="00AD3FEC">
        <w:t>celospolečenská témata v oblasti lidských zdrojů, kariérních příležitostí a  slaďování osobního a profesního života.</w:t>
      </w:r>
      <w:bookmarkStart w:id="19" w:name="_Ref98404488"/>
    </w:p>
    <w:p w14:paraId="1F5CC6CF" w14:textId="734E5D21" w:rsidR="00962A01" w:rsidRPr="009E23A6" w:rsidRDefault="00962A01" w:rsidP="00514B5A">
      <w:pPr>
        <w:pStyle w:val="Nadpis2"/>
      </w:pPr>
      <w:bookmarkStart w:id="20" w:name="_Toc115938893"/>
      <w:r w:rsidRPr="009E23A6">
        <w:t>Cíle Programu</w:t>
      </w:r>
      <w:bookmarkEnd w:id="19"/>
      <w:bookmarkEnd w:id="20"/>
    </w:p>
    <w:p w14:paraId="4543C3BF" w14:textId="77777777" w:rsidR="00962A01" w:rsidRPr="009E23A6" w:rsidRDefault="00962A01" w:rsidP="00F4761B">
      <w:r w:rsidRPr="009E23A6">
        <w:t xml:space="preserve">Cíle Programu jsou plně kompatibilní a mají přímou vazbu na Národní politiku VaVaI 2021+ a navazující Národní priority orientovaného výzkumu, experimentálního vývoje a inovací do roku 2030. NPOV poskytují základní směry zaměření především aplikovaného výzkumu v oblastech, které jsou relevantní rovněž pro Ministerstvo zemědělství. Dalším strategickým dokumentem, na který tento Program reaguje je Národní RIS3 strategie, kde relevantními doménami jsou především zelené technologie, bioekonomika a udržitelné potravinové zdroje. Cíle Programu také reflektují Strategii resortu Ministerstva zemědělství s výhledem do roku 2030 a nezbytně také reagují na Koncepci </w:t>
      </w:r>
      <w:r w:rsidRPr="009E23A6">
        <w:rPr>
          <w:rFonts w:cs="Arial"/>
        </w:rPr>
        <w:t>VaVaI MZe 2023+</w:t>
      </w:r>
      <w:r w:rsidRPr="009E23A6">
        <w:t>.</w:t>
      </w:r>
    </w:p>
    <w:p w14:paraId="53B95A57" w14:textId="77777777" w:rsidR="00962A01" w:rsidRPr="009E23A6" w:rsidRDefault="00962A01" w:rsidP="00F4761B">
      <w:pPr>
        <w:pStyle w:val="Nadpis2"/>
        <w:rPr>
          <w:szCs w:val="28"/>
        </w:rPr>
      </w:pPr>
      <w:bookmarkStart w:id="21" w:name="_Ref98400427"/>
      <w:bookmarkStart w:id="22" w:name="_Ref115429609"/>
      <w:bookmarkStart w:id="23" w:name="_Toc115938894"/>
      <w:r w:rsidRPr="009E23A6">
        <w:rPr>
          <w:szCs w:val="28"/>
        </w:rPr>
        <w:lastRenderedPageBreak/>
        <w:t xml:space="preserve">Odůvodnění cílů </w:t>
      </w:r>
      <w:bookmarkEnd w:id="21"/>
      <w:r w:rsidRPr="009E23A6">
        <w:rPr>
          <w:szCs w:val="28"/>
        </w:rPr>
        <w:t>Programu</w:t>
      </w:r>
      <w:bookmarkEnd w:id="22"/>
      <w:bookmarkEnd w:id="23"/>
    </w:p>
    <w:p w14:paraId="08CBA149" w14:textId="3DE261B1" w:rsidR="00962A01" w:rsidRPr="009E23A6" w:rsidRDefault="00962A01" w:rsidP="00F4761B">
      <w:r w:rsidRPr="009E23A6">
        <w:t>Model intervenční logiky Programu vychází z následujících cílů:</w:t>
      </w:r>
    </w:p>
    <w:p w14:paraId="06F733A8" w14:textId="47EFCEB2" w:rsidR="00962A01" w:rsidRPr="009E23A6" w:rsidRDefault="00962A01" w:rsidP="00F4761B">
      <w:pPr>
        <w:rPr>
          <w:b/>
        </w:rPr>
      </w:pPr>
      <w:r w:rsidRPr="009E23A6">
        <w:rPr>
          <w:b/>
        </w:rPr>
        <w:t>Hlavní (globální) cíl –</w:t>
      </w:r>
      <w:r w:rsidR="0073047E" w:rsidRPr="009E23A6">
        <w:t xml:space="preserve"> </w:t>
      </w:r>
      <w:r w:rsidR="0073047E" w:rsidRPr="00AD3FEC">
        <w:t>Rozvoj udržitelného zemědělství prostřednictvím nových výzkumných poznatků</w:t>
      </w:r>
      <w:r w:rsidR="0073047E" w:rsidRPr="009E23A6" w:rsidDel="0073047E">
        <w:rPr>
          <w:b/>
        </w:rPr>
        <w:t xml:space="preserve"> </w:t>
      </w:r>
    </w:p>
    <w:p w14:paraId="1CF7B6DE" w14:textId="4CF8EB91" w:rsidR="00962A01" w:rsidRPr="009E23A6" w:rsidRDefault="00962A01" w:rsidP="00514B5A">
      <w:pPr>
        <w:spacing w:before="0" w:after="0"/>
        <w:jc w:val="left"/>
      </w:pPr>
      <w:r w:rsidRPr="009E23A6">
        <w:t>Hlavní cíl je vyhodnocován prostřednictvím čtyř Specifických cílů:</w:t>
      </w:r>
    </w:p>
    <w:p w14:paraId="662F1B11" w14:textId="1D41FC0B" w:rsidR="00962A01" w:rsidRPr="009E23A6" w:rsidRDefault="00962A01" w:rsidP="00F4761B">
      <w:pPr>
        <w:pStyle w:val="Odstavecseseznamem"/>
        <w:numPr>
          <w:ilvl w:val="0"/>
          <w:numId w:val="16"/>
        </w:numPr>
        <w:rPr>
          <w:b/>
        </w:rPr>
      </w:pPr>
      <w:r w:rsidRPr="009E23A6">
        <w:rPr>
          <w:b/>
        </w:rPr>
        <w:t xml:space="preserve">Specifický cíl 1. - </w:t>
      </w:r>
      <w:r w:rsidR="000D78A7" w:rsidRPr="009E23A6">
        <w:rPr>
          <w:b/>
        </w:rPr>
        <w:t>Rozvoj</w:t>
      </w:r>
      <w:r w:rsidRPr="009E23A6">
        <w:rPr>
          <w:b/>
        </w:rPr>
        <w:t xml:space="preserve"> inovativního zemědělství, potravinářství, vodního hospodářství a lesnictví prostřednictvím </w:t>
      </w:r>
      <w:r w:rsidR="000D78A7" w:rsidRPr="009E23A6">
        <w:rPr>
          <w:b/>
          <w:bCs/>
        </w:rPr>
        <w:t>nových</w:t>
      </w:r>
      <w:r w:rsidRPr="009E23A6">
        <w:rPr>
          <w:b/>
        </w:rPr>
        <w:t xml:space="preserve"> postupů a technologií</w:t>
      </w:r>
    </w:p>
    <w:p w14:paraId="6429D8C8" w14:textId="564D4A08" w:rsidR="00962A01" w:rsidRPr="009E23A6" w:rsidRDefault="00962A01" w:rsidP="00D7431A">
      <w:pPr>
        <w:pStyle w:val="Odstavecseseznamem"/>
        <w:numPr>
          <w:ilvl w:val="1"/>
          <w:numId w:val="16"/>
        </w:numPr>
      </w:pPr>
      <w:r w:rsidRPr="009E23A6">
        <w:t>Vychází ze základního poslání Programu a zahrnuje směřování výzkumných institucí a soukromých podniků k prioritním tématům zemědělského výzkumu dle potřeb zemědělského resortu.</w:t>
      </w:r>
    </w:p>
    <w:p w14:paraId="346E579C" w14:textId="77777777" w:rsidR="00962A01" w:rsidRPr="009E23A6" w:rsidRDefault="00962A01" w:rsidP="00F4761B">
      <w:pPr>
        <w:pStyle w:val="Odstavecseseznamem"/>
        <w:numPr>
          <w:ilvl w:val="0"/>
          <w:numId w:val="16"/>
        </w:numPr>
        <w:rPr>
          <w:b/>
        </w:rPr>
      </w:pPr>
      <w:r w:rsidRPr="009E23A6">
        <w:rPr>
          <w:b/>
        </w:rPr>
        <w:t xml:space="preserve">Specifický cíl 2. Propagace zemědělského výzkumu, jeho výsledků a příbuzných témat směrem k odborné </w:t>
      </w:r>
      <w:r w:rsidRPr="009E23A6">
        <w:rPr>
          <w:b/>
          <w:bCs/>
        </w:rPr>
        <w:t>a laické veřejnosti</w:t>
      </w:r>
    </w:p>
    <w:p w14:paraId="5F503074" w14:textId="5FE5CFF5" w:rsidR="00962A01" w:rsidRPr="009E23A6" w:rsidRDefault="00962A01" w:rsidP="00D7431A">
      <w:pPr>
        <w:pStyle w:val="Odstavecseseznamem"/>
        <w:numPr>
          <w:ilvl w:val="1"/>
          <w:numId w:val="16"/>
        </w:numPr>
      </w:pPr>
      <w:r w:rsidRPr="009E23A6">
        <w:t xml:space="preserve">Navazuje na kap. </w:t>
      </w:r>
      <w:r w:rsidR="00A976D5" w:rsidRPr="009E23A6">
        <w:fldChar w:fldCharType="begin"/>
      </w:r>
      <w:r w:rsidR="00A976D5" w:rsidRPr="009E23A6">
        <w:instrText xml:space="preserve"> REF _Ref115428803 \r \h </w:instrText>
      </w:r>
      <w:r w:rsidR="009E23A6">
        <w:instrText xml:space="preserve"> \* MERGEFORMAT </w:instrText>
      </w:r>
      <w:r w:rsidR="00A976D5" w:rsidRPr="009E23A6">
        <w:fldChar w:fldCharType="separate"/>
      </w:r>
      <w:r w:rsidR="00A976D5" w:rsidRPr="009E23A6">
        <w:t>12</w:t>
      </w:r>
      <w:r w:rsidR="00A976D5" w:rsidRPr="009E23A6">
        <w:fldChar w:fldCharType="end"/>
      </w:r>
      <w:r w:rsidRPr="009E23A6">
        <w:t xml:space="preserve"> </w:t>
      </w:r>
      <w:r w:rsidRPr="009E23A6">
        <w:rPr>
          <w:i/>
          <w:iCs/>
        </w:rPr>
        <w:t>Očekávané výsledky Programu</w:t>
      </w:r>
      <w:r w:rsidRPr="009E23A6">
        <w:rPr>
          <w:i/>
          <w:iCs/>
          <w:color w:val="FF0000"/>
        </w:rPr>
        <w:t xml:space="preserve"> </w:t>
      </w:r>
      <w:r w:rsidRPr="009E23A6">
        <w:rPr>
          <w:lang w:eastAsia="en-US"/>
        </w:rPr>
        <w:t xml:space="preserve">a zvyšuje povědomí veřejnosti o důležitosti, tématech a výsledcích zemědělského výzkumu. </w:t>
      </w:r>
      <w:r w:rsidRPr="009E23A6">
        <w:br/>
        <w:t xml:space="preserve">V podporovaných projektech klade důraz na šíření jejich výsledků, včetně jejich popularizace. </w:t>
      </w:r>
    </w:p>
    <w:p w14:paraId="225FBB91" w14:textId="77777777" w:rsidR="00962A01" w:rsidRPr="009E23A6" w:rsidRDefault="00962A01" w:rsidP="00F4761B">
      <w:pPr>
        <w:pStyle w:val="Odstavecseseznamem"/>
        <w:numPr>
          <w:ilvl w:val="0"/>
          <w:numId w:val="16"/>
        </w:numPr>
        <w:rPr>
          <w:b/>
          <w:bCs/>
        </w:rPr>
      </w:pPr>
      <w:r w:rsidRPr="009E23A6">
        <w:rPr>
          <w:b/>
          <w:bCs/>
        </w:rPr>
        <w:t>Specifický cíl 3. Rozvoj tvorby politik v agrárním sektoru</w:t>
      </w:r>
    </w:p>
    <w:p w14:paraId="7DBF6EA1" w14:textId="428FEED9" w:rsidR="00F6139F" w:rsidRPr="009E23A6" w:rsidRDefault="00962A01" w:rsidP="00D7431A">
      <w:pPr>
        <w:pStyle w:val="Odstavecseseznamem"/>
        <w:numPr>
          <w:ilvl w:val="1"/>
          <w:numId w:val="16"/>
        </w:numPr>
      </w:pPr>
      <w:r w:rsidRPr="009E23A6">
        <w:t>Podpora výzkumu směřujícího k tvorbě nové politiky (koncepcí, strategií, nástrojů a legislativy) založené na poznatcích (evidence based policy).</w:t>
      </w:r>
    </w:p>
    <w:p w14:paraId="7249D9AD" w14:textId="050C195F" w:rsidR="00962A01" w:rsidRPr="009E23A6" w:rsidRDefault="00962A01" w:rsidP="00F4761B">
      <w:pPr>
        <w:pStyle w:val="Odstavecseseznamem"/>
        <w:numPr>
          <w:ilvl w:val="0"/>
          <w:numId w:val="16"/>
        </w:numPr>
        <w:rPr>
          <w:b/>
        </w:rPr>
      </w:pPr>
      <w:r w:rsidRPr="009E23A6">
        <w:rPr>
          <w:b/>
        </w:rPr>
        <w:t xml:space="preserve">Specifický cíl </w:t>
      </w:r>
      <w:r w:rsidRPr="009E23A6">
        <w:rPr>
          <w:b/>
          <w:bCs/>
        </w:rPr>
        <w:t>4</w:t>
      </w:r>
      <w:r w:rsidRPr="009E23A6">
        <w:rPr>
          <w:b/>
        </w:rPr>
        <w:t>. Řešení výzkumných potřeb pro podporu veřejné správy v agrárním sektoru</w:t>
      </w:r>
    </w:p>
    <w:p w14:paraId="1630B05F" w14:textId="77777777" w:rsidR="00962A01" w:rsidRPr="009E23A6" w:rsidRDefault="00962A01" w:rsidP="00F4761B">
      <w:pPr>
        <w:pStyle w:val="Odstavecseseznamem"/>
        <w:numPr>
          <w:ilvl w:val="1"/>
          <w:numId w:val="16"/>
        </w:numPr>
      </w:pPr>
      <w:r w:rsidRPr="009E23A6">
        <w:t xml:space="preserve">Aktivní vyhledávání aktuálních výzkumných potřeb resortu zemědělství </w:t>
      </w:r>
      <w:r w:rsidRPr="009E23A6">
        <w:br/>
        <w:t>a jejich řešení ve spolupráci s výzkumnými institucemi.</w:t>
      </w:r>
    </w:p>
    <w:p w14:paraId="64EADCFD" w14:textId="1DA86A6F" w:rsidR="00962A01" w:rsidRPr="00CF6200" w:rsidRDefault="00DA0665" w:rsidP="00AD3FEC">
      <w:pPr>
        <w:pStyle w:val="Textkomente"/>
        <w:rPr>
          <w:rStyle w:val="Nadpis1Char"/>
          <w:b w:val="0"/>
          <w:bCs/>
          <w:sz w:val="22"/>
          <w:szCs w:val="22"/>
        </w:rPr>
      </w:pPr>
      <w:r w:rsidRPr="00CF6200">
        <w:rPr>
          <w:sz w:val="22"/>
          <w:szCs w:val="22"/>
        </w:rPr>
        <w:t>Intervenční logika programu vychází ze schválené Koncepce</w:t>
      </w:r>
      <w:r w:rsidR="008A07E9" w:rsidRPr="00CF6200">
        <w:rPr>
          <w:sz w:val="22"/>
          <w:szCs w:val="22"/>
        </w:rPr>
        <w:t xml:space="preserve"> </w:t>
      </w:r>
      <w:r w:rsidR="008A07E9" w:rsidRPr="00CF6200">
        <w:rPr>
          <w:rFonts w:cs="Arial"/>
          <w:sz w:val="22"/>
          <w:szCs w:val="22"/>
        </w:rPr>
        <w:t>VaVaI MZe 2023+</w:t>
      </w:r>
      <w:r w:rsidRPr="00CF6200">
        <w:rPr>
          <w:sz w:val="22"/>
          <w:szCs w:val="22"/>
        </w:rPr>
        <w:t xml:space="preserve"> a rozvíjí její cíle v oblasti veřejných soutěží aplikovaného výzkumu. Součástí programu je zvýšit schopnost výzkumných kapacit na řešení aktuálních trendů a potřeb a podpořit excelenci při zapojení do mezinárodní spolupráce a při podpoře zapojení mladých a začínajících výzkumných pracovníků.</w:t>
      </w:r>
      <w:r w:rsidR="00CF6200">
        <w:rPr>
          <w:sz w:val="22"/>
          <w:szCs w:val="22"/>
        </w:rPr>
        <w:t xml:space="preserve"> </w:t>
      </w:r>
      <w:r w:rsidR="00A465CA" w:rsidRPr="00CF6200">
        <w:rPr>
          <w:sz w:val="22"/>
          <w:szCs w:val="22"/>
        </w:rPr>
        <w:t xml:space="preserve">Intervenční logika (teorie změny) demonstruje logické spojení mezi jednotlivými </w:t>
      </w:r>
      <w:r w:rsidR="00CF6200" w:rsidRPr="00CF6200">
        <w:rPr>
          <w:sz w:val="22"/>
          <w:szCs w:val="22"/>
        </w:rPr>
        <w:t>cíli</w:t>
      </w:r>
      <w:r w:rsidR="00F4451D" w:rsidRPr="00CF6200">
        <w:rPr>
          <w:sz w:val="22"/>
          <w:szCs w:val="22"/>
        </w:rPr>
        <w:t xml:space="preserve"> </w:t>
      </w:r>
      <w:r w:rsidR="00A465CA" w:rsidRPr="00CF6200">
        <w:rPr>
          <w:sz w:val="22"/>
          <w:szCs w:val="22"/>
        </w:rPr>
        <w:t xml:space="preserve">programu, plánovanými aktivitami (projekty), jejich výstupy a očekávanými změnami, které jejich prostřednictvím nastanou. </w:t>
      </w:r>
      <w:r w:rsidR="00962A01" w:rsidRPr="00CF6200">
        <w:rPr>
          <w:rStyle w:val="Nadpis1Char"/>
          <w:b w:val="0"/>
          <w:bCs/>
          <w:sz w:val="22"/>
          <w:szCs w:val="22"/>
        </w:rPr>
        <w:t>Model intervenční logiky Programu je graficky znázorněn na schématu č. 1.</w:t>
      </w:r>
    </w:p>
    <w:p w14:paraId="1C67ACAB" w14:textId="43B6CC85" w:rsidR="00F311B0" w:rsidRPr="00AD3FEC" w:rsidRDefault="00A42A90" w:rsidP="00F4761B">
      <w:r w:rsidRPr="00AD3FEC">
        <w:rPr>
          <w:noProof/>
        </w:rPr>
        <w:lastRenderedPageBreak/>
        <w:drawing>
          <wp:inline distT="0" distB="0" distL="0" distR="0" wp14:anchorId="42CEFA05" wp14:editId="22814744">
            <wp:extent cx="5477510" cy="798512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7510" cy="7985125"/>
                    </a:xfrm>
                    <a:prstGeom prst="rect">
                      <a:avLst/>
                    </a:prstGeom>
                    <a:noFill/>
                    <a:ln>
                      <a:noFill/>
                    </a:ln>
                  </pic:spPr>
                </pic:pic>
              </a:graphicData>
            </a:graphic>
          </wp:inline>
        </w:drawing>
      </w:r>
    </w:p>
    <w:p w14:paraId="2A859E1C" w14:textId="77777777" w:rsidR="00F311B0" w:rsidRPr="009E23A6" w:rsidRDefault="00F311B0" w:rsidP="00F311B0">
      <w:pPr>
        <w:jc w:val="center"/>
        <w:rPr>
          <w:i/>
        </w:rPr>
      </w:pPr>
      <w:r w:rsidRPr="00AD3FEC">
        <w:t>Schéma č. 1</w:t>
      </w:r>
      <w:r w:rsidRPr="00AD3FEC">
        <w:rPr>
          <w:i/>
        </w:rPr>
        <w:t xml:space="preserve"> Intervenční logika </w:t>
      </w:r>
      <w:r w:rsidRPr="00AD3FEC">
        <w:rPr>
          <w:i/>
          <w:iCs/>
        </w:rPr>
        <w:t>Programu</w:t>
      </w:r>
      <w:r w:rsidRPr="009E23A6">
        <w:rPr>
          <w:i/>
        </w:rPr>
        <w:t xml:space="preserve"> </w:t>
      </w:r>
    </w:p>
    <w:p w14:paraId="3DEA2843" w14:textId="5E5A9BED" w:rsidR="0057110D" w:rsidRPr="009E23A6" w:rsidRDefault="0057110D" w:rsidP="00F4761B">
      <w:pPr>
        <w:pStyle w:val="Nadpis1"/>
        <w:spacing w:line="360" w:lineRule="auto"/>
        <w:rPr>
          <w:szCs w:val="32"/>
        </w:rPr>
      </w:pPr>
      <w:bookmarkStart w:id="24" w:name="_Toc112061695"/>
      <w:bookmarkStart w:id="25" w:name="_Toc115938895"/>
      <w:r w:rsidRPr="009E23A6">
        <w:rPr>
          <w:szCs w:val="32"/>
        </w:rPr>
        <w:lastRenderedPageBreak/>
        <w:t>Výdaje na Program</w:t>
      </w:r>
      <w:bookmarkEnd w:id="24"/>
      <w:bookmarkEnd w:id="25"/>
    </w:p>
    <w:p w14:paraId="5B175AB8" w14:textId="551CB2EE" w:rsidR="0057110D" w:rsidRPr="009E23A6" w:rsidRDefault="0057110D" w:rsidP="00F4761B">
      <w:r w:rsidRPr="009E23A6">
        <w:t>Celkové výdaje na Program jsou na období trvání programu rozvrženy v souladu s předpokládaným postupným vyhlašováním jednotlivých veřejných soutěží ve výzkumu, vývoji a inovacích.</w:t>
      </w:r>
    </w:p>
    <w:p w14:paraId="38812C82" w14:textId="44436DEB" w:rsidR="00DC4A05" w:rsidRPr="009E23A6" w:rsidRDefault="0057110D" w:rsidP="003A3A18">
      <w:pPr>
        <w:rPr>
          <w:b/>
        </w:rPr>
      </w:pPr>
      <w:r w:rsidRPr="009E23A6">
        <w:rPr>
          <w:color w:val="000000" w:themeColor="text1"/>
        </w:rPr>
        <w:t xml:space="preserve">Celkové výdaje na uskutečnění Programu se předpokládají ve výši </w:t>
      </w:r>
      <w:r w:rsidR="00733744" w:rsidRPr="009E23A6">
        <w:t>9 245</w:t>
      </w:r>
      <w:r w:rsidRPr="009E23A6">
        <w:t xml:space="preserve"> mil. Kč, z toho ze státního rozpočtu na výzkum, vývoj a inovace celkem </w:t>
      </w:r>
      <w:r w:rsidR="00733744" w:rsidRPr="009E23A6">
        <w:t>8 100</w:t>
      </w:r>
      <w:r w:rsidRPr="009E23A6">
        <w:t xml:space="preserve"> mil. Kč, tj. intenzita podpory ze</w:t>
      </w:r>
      <w:r w:rsidR="00F97C22" w:rsidRPr="009E23A6">
        <w:t> </w:t>
      </w:r>
      <w:r w:rsidRPr="009E23A6">
        <w:t xml:space="preserve">státního rozpočtu na celý </w:t>
      </w:r>
      <w:r w:rsidR="008A790C" w:rsidRPr="009E23A6">
        <w:t>P</w:t>
      </w:r>
      <w:r w:rsidRPr="009E23A6">
        <w:t>rogram bude průměrně ve výši 88 % celkových způsobilých nákladů.</w:t>
      </w:r>
    </w:p>
    <w:p w14:paraId="64521277" w14:textId="56355826" w:rsidR="0057110D" w:rsidRPr="009E23A6" w:rsidRDefault="0057110D" w:rsidP="00F4761B">
      <w:pPr>
        <w:jc w:val="left"/>
        <w:rPr>
          <w:b/>
        </w:rPr>
      </w:pPr>
      <w:r w:rsidRPr="009E23A6">
        <w:rPr>
          <w:b/>
        </w:rPr>
        <w:t xml:space="preserve">Tabulka č. </w:t>
      </w:r>
      <w:r w:rsidR="009A1021" w:rsidRPr="009E23A6">
        <w:rPr>
          <w:b/>
          <w:bCs/>
        </w:rPr>
        <w:t>1</w:t>
      </w:r>
      <w:r w:rsidRPr="009E23A6">
        <w:rPr>
          <w:b/>
        </w:rPr>
        <w:t xml:space="preserve">: Předpokládané výdaje ze státního rozpočtu a celkové výdaje na </w:t>
      </w:r>
      <w:r w:rsidR="00F74158" w:rsidRPr="009E23A6">
        <w:rPr>
          <w:b/>
        </w:rPr>
        <w:t>P</w:t>
      </w:r>
      <w:r w:rsidRPr="009E23A6">
        <w:rPr>
          <w:b/>
        </w:rPr>
        <w:t>rogram (v mil. Kč)</w:t>
      </w:r>
    </w:p>
    <w:tbl>
      <w:tblPr>
        <w:tblW w:w="9577" w:type="dxa"/>
        <w:tblCellMar>
          <w:left w:w="70" w:type="dxa"/>
          <w:right w:w="70" w:type="dxa"/>
        </w:tblCellMar>
        <w:tblLook w:val="04A0" w:firstRow="1" w:lastRow="0" w:firstColumn="1" w:lastColumn="0" w:noHBand="0" w:noVBand="1"/>
      </w:tblPr>
      <w:tblGrid>
        <w:gridCol w:w="1557"/>
        <w:gridCol w:w="794"/>
        <w:gridCol w:w="794"/>
        <w:gridCol w:w="794"/>
        <w:gridCol w:w="794"/>
        <w:gridCol w:w="794"/>
        <w:gridCol w:w="794"/>
        <w:gridCol w:w="794"/>
        <w:gridCol w:w="794"/>
        <w:gridCol w:w="778"/>
        <w:gridCol w:w="923"/>
      </w:tblGrid>
      <w:tr w:rsidR="00733744" w:rsidRPr="009E23A6" w14:paraId="5116B1E6" w14:textId="77777777" w:rsidTr="00733744">
        <w:trPr>
          <w:trHeight w:val="495"/>
        </w:trPr>
        <w:tc>
          <w:tcPr>
            <w:tcW w:w="1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B966" w14:textId="77777777" w:rsidR="00733744" w:rsidRPr="009E23A6" w:rsidRDefault="00733744" w:rsidP="00F4761B">
            <w:pPr>
              <w:spacing w:before="0" w:after="0"/>
              <w:jc w:val="left"/>
              <w:rPr>
                <w:rFonts w:eastAsia="Times New Roman" w:cs="Arial"/>
                <w:b/>
                <w:bCs/>
                <w:color w:val="000000"/>
                <w:szCs w:val="22"/>
              </w:rPr>
            </w:pPr>
            <w:r w:rsidRPr="009E23A6">
              <w:rPr>
                <w:rFonts w:eastAsia="Times New Roman" w:cs="Arial"/>
                <w:b/>
                <w:bCs/>
                <w:color w:val="000000"/>
                <w:szCs w:val="22"/>
              </w:rPr>
              <w:t>Rok</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14:paraId="45D74323"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2024</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14:paraId="6E3781AF"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2025</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14:paraId="62770CF6"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2026</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14:paraId="0C3912E9"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2027</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14:paraId="04972A72"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2028</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14:paraId="36441AED"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2029</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14:paraId="6DC9C2D2"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2030</w:t>
            </w:r>
          </w:p>
        </w:tc>
        <w:tc>
          <w:tcPr>
            <w:tcW w:w="794" w:type="dxa"/>
            <w:tcBorders>
              <w:top w:val="single" w:sz="4" w:space="0" w:color="auto"/>
              <w:left w:val="nil"/>
              <w:bottom w:val="single" w:sz="4" w:space="0" w:color="auto"/>
              <w:right w:val="single" w:sz="4" w:space="0" w:color="auto"/>
            </w:tcBorders>
            <w:shd w:val="clear" w:color="auto" w:fill="auto"/>
            <w:noWrap/>
            <w:vAlign w:val="center"/>
            <w:hideMark/>
          </w:tcPr>
          <w:p w14:paraId="7043F27D"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2031</w:t>
            </w:r>
          </w:p>
        </w:tc>
        <w:tc>
          <w:tcPr>
            <w:tcW w:w="778" w:type="dxa"/>
            <w:tcBorders>
              <w:top w:val="single" w:sz="4" w:space="0" w:color="auto"/>
              <w:left w:val="nil"/>
              <w:bottom w:val="single" w:sz="4" w:space="0" w:color="auto"/>
              <w:right w:val="single" w:sz="4" w:space="0" w:color="auto"/>
            </w:tcBorders>
            <w:shd w:val="clear" w:color="auto" w:fill="auto"/>
            <w:noWrap/>
            <w:vAlign w:val="center"/>
            <w:hideMark/>
          </w:tcPr>
          <w:p w14:paraId="79BA9D84"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2032</w:t>
            </w:r>
          </w:p>
        </w:tc>
        <w:tc>
          <w:tcPr>
            <w:tcW w:w="890" w:type="dxa"/>
            <w:tcBorders>
              <w:top w:val="single" w:sz="4" w:space="0" w:color="auto"/>
              <w:left w:val="nil"/>
              <w:bottom w:val="single" w:sz="4" w:space="0" w:color="auto"/>
              <w:right w:val="single" w:sz="4" w:space="0" w:color="auto"/>
            </w:tcBorders>
            <w:shd w:val="clear" w:color="auto" w:fill="auto"/>
            <w:noWrap/>
            <w:vAlign w:val="center"/>
            <w:hideMark/>
          </w:tcPr>
          <w:p w14:paraId="0739D7C1" w14:textId="77777777" w:rsidR="00733744" w:rsidRPr="009E23A6" w:rsidRDefault="00733744" w:rsidP="00F4761B">
            <w:pPr>
              <w:spacing w:before="0" w:after="0"/>
              <w:jc w:val="center"/>
              <w:rPr>
                <w:rFonts w:eastAsia="Times New Roman" w:cs="Arial"/>
                <w:b/>
                <w:bCs/>
                <w:color w:val="000000"/>
                <w:szCs w:val="22"/>
              </w:rPr>
            </w:pPr>
            <w:r w:rsidRPr="009E23A6">
              <w:rPr>
                <w:rFonts w:eastAsia="Times New Roman" w:cs="Arial"/>
                <w:b/>
                <w:bCs/>
                <w:color w:val="000000"/>
                <w:szCs w:val="22"/>
              </w:rPr>
              <w:t>Celkem</w:t>
            </w:r>
          </w:p>
        </w:tc>
      </w:tr>
      <w:tr w:rsidR="00733744" w:rsidRPr="009E23A6" w14:paraId="2A80F8F5" w14:textId="77777777" w:rsidTr="00733744">
        <w:trPr>
          <w:trHeight w:val="990"/>
        </w:trPr>
        <w:tc>
          <w:tcPr>
            <w:tcW w:w="1557" w:type="dxa"/>
            <w:tcBorders>
              <w:top w:val="nil"/>
              <w:left w:val="single" w:sz="4" w:space="0" w:color="auto"/>
              <w:bottom w:val="single" w:sz="4" w:space="0" w:color="auto"/>
              <w:right w:val="single" w:sz="4" w:space="0" w:color="auto"/>
            </w:tcBorders>
            <w:shd w:val="clear" w:color="auto" w:fill="auto"/>
            <w:vAlign w:val="center"/>
            <w:hideMark/>
          </w:tcPr>
          <w:p w14:paraId="6EB39387" w14:textId="77777777" w:rsidR="00733744" w:rsidRPr="009E23A6" w:rsidRDefault="00733744" w:rsidP="00F4761B">
            <w:pPr>
              <w:spacing w:before="0" w:after="0"/>
              <w:jc w:val="left"/>
              <w:rPr>
                <w:rFonts w:eastAsia="Times New Roman" w:cs="Arial"/>
                <w:b/>
                <w:bCs/>
                <w:color w:val="000000"/>
                <w:szCs w:val="22"/>
              </w:rPr>
            </w:pPr>
            <w:r w:rsidRPr="009E23A6">
              <w:rPr>
                <w:rFonts w:eastAsia="Times New Roman" w:cs="Arial"/>
                <w:b/>
                <w:bCs/>
                <w:color w:val="000000"/>
                <w:szCs w:val="22"/>
              </w:rPr>
              <w:t>Výdaje ze státního rozpočtu</w:t>
            </w:r>
          </w:p>
        </w:tc>
        <w:tc>
          <w:tcPr>
            <w:tcW w:w="794" w:type="dxa"/>
            <w:tcBorders>
              <w:top w:val="nil"/>
              <w:left w:val="nil"/>
              <w:bottom w:val="single" w:sz="4" w:space="0" w:color="auto"/>
              <w:right w:val="single" w:sz="4" w:space="0" w:color="auto"/>
            </w:tcBorders>
            <w:shd w:val="clear" w:color="auto" w:fill="auto"/>
            <w:noWrap/>
            <w:vAlign w:val="center"/>
            <w:hideMark/>
          </w:tcPr>
          <w:p w14:paraId="7A2F8D1D"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300</w:t>
            </w:r>
          </w:p>
        </w:tc>
        <w:tc>
          <w:tcPr>
            <w:tcW w:w="794" w:type="dxa"/>
            <w:tcBorders>
              <w:top w:val="nil"/>
              <w:left w:val="nil"/>
              <w:bottom w:val="single" w:sz="4" w:space="0" w:color="auto"/>
              <w:right w:val="single" w:sz="4" w:space="0" w:color="auto"/>
            </w:tcBorders>
            <w:shd w:val="clear" w:color="auto" w:fill="auto"/>
            <w:noWrap/>
            <w:vAlign w:val="center"/>
            <w:hideMark/>
          </w:tcPr>
          <w:p w14:paraId="0D45811B"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580</w:t>
            </w:r>
          </w:p>
        </w:tc>
        <w:tc>
          <w:tcPr>
            <w:tcW w:w="794" w:type="dxa"/>
            <w:tcBorders>
              <w:top w:val="nil"/>
              <w:left w:val="nil"/>
              <w:bottom w:val="single" w:sz="4" w:space="0" w:color="auto"/>
              <w:right w:val="single" w:sz="4" w:space="0" w:color="auto"/>
            </w:tcBorders>
            <w:shd w:val="clear" w:color="auto" w:fill="auto"/>
            <w:noWrap/>
            <w:vAlign w:val="center"/>
            <w:hideMark/>
          </w:tcPr>
          <w:p w14:paraId="3E76AE1E"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1 000</w:t>
            </w:r>
          </w:p>
        </w:tc>
        <w:tc>
          <w:tcPr>
            <w:tcW w:w="794" w:type="dxa"/>
            <w:tcBorders>
              <w:top w:val="nil"/>
              <w:left w:val="nil"/>
              <w:bottom w:val="single" w:sz="4" w:space="0" w:color="auto"/>
              <w:right w:val="single" w:sz="4" w:space="0" w:color="auto"/>
            </w:tcBorders>
            <w:shd w:val="clear" w:color="auto" w:fill="auto"/>
            <w:noWrap/>
            <w:vAlign w:val="center"/>
            <w:hideMark/>
          </w:tcPr>
          <w:p w14:paraId="6A028F69"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1 000</w:t>
            </w:r>
          </w:p>
        </w:tc>
        <w:tc>
          <w:tcPr>
            <w:tcW w:w="794" w:type="dxa"/>
            <w:tcBorders>
              <w:top w:val="nil"/>
              <w:left w:val="nil"/>
              <w:bottom w:val="single" w:sz="4" w:space="0" w:color="auto"/>
              <w:right w:val="single" w:sz="4" w:space="0" w:color="auto"/>
            </w:tcBorders>
            <w:shd w:val="clear" w:color="auto" w:fill="auto"/>
            <w:noWrap/>
            <w:vAlign w:val="center"/>
            <w:hideMark/>
          </w:tcPr>
          <w:p w14:paraId="7F44992A"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1 160</w:t>
            </w:r>
          </w:p>
        </w:tc>
        <w:tc>
          <w:tcPr>
            <w:tcW w:w="794" w:type="dxa"/>
            <w:tcBorders>
              <w:top w:val="nil"/>
              <w:left w:val="nil"/>
              <w:bottom w:val="single" w:sz="4" w:space="0" w:color="auto"/>
              <w:right w:val="single" w:sz="4" w:space="0" w:color="auto"/>
            </w:tcBorders>
            <w:shd w:val="clear" w:color="auto" w:fill="auto"/>
            <w:noWrap/>
            <w:vAlign w:val="center"/>
            <w:hideMark/>
          </w:tcPr>
          <w:p w14:paraId="05B4E14A"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1 160</w:t>
            </w:r>
          </w:p>
        </w:tc>
        <w:tc>
          <w:tcPr>
            <w:tcW w:w="794" w:type="dxa"/>
            <w:tcBorders>
              <w:top w:val="nil"/>
              <w:left w:val="nil"/>
              <w:bottom w:val="single" w:sz="4" w:space="0" w:color="auto"/>
              <w:right w:val="single" w:sz="4" w:space="0" w:color="auto"/>
            </w:tcBorders>
            <w:shd w:val="clear" w:color="auto" w:fill="auto"/>
            <w:noWrap/>
            <w:vAlign w:val="center"/>
            <w:hideMark/>
          </w:tcPr>
          <w:p w14:paraId="07337F45"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1 160</w:t>
            </w:r>
          </w:p>
        </w:tc>
        <w:tc>
          <w:tcPr>
            <w:tcW w:w="794" w:type="dxa"/>
            <w:tcBorders>
              <w:top w:val="nil"/>
              <w:left w:val="nil"/>
              <w:bottom w:val="single" w:sz="4" w:space="0" w:color="auto"/>
              <w:right w:val="single" w:sz="4" w:space="0" w:color="auto"/>
            </w:tcBorders>
            <w:shd w:val="clear" w:color="auto" w:fill="auto"/>
            <w:noWrap/>
            <w:vAlign w:val="center"/>
            <w:hideMark/>
          </w:tcPr>
          <w:p w14:paraId="5DA6340F"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990</w:t>
            </w:r>
          </w:p>
        </w:tc>
        <w:tc>
          <w:tcPr>
            <w:tcW w:w="778" w:type="dxa"/>
            <w:tcBorders>
              <w:top w:val="nil"/>
              <w:left w:val="nil"/>
              <w:bottom w:val="single" w:sz="4" w:space="0" w:color="auto"/>
              <w:right w:val="single" w:sz="4" w:space="0" w:color="auto"/>
            </w:tcBorders>
            <w:shd w:val="clear" w:color="auto" w:fill="auto"/>
            <w:noWrap/>
            <w:vAlign w:val="center"/>
            <w:hideMark/>
          </w:tcPr>
          <w:p w14:paraId="4C2813EB"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750</w:t>
            </w:r>
          </w:p>
        </w:tc>
        <w:tc>
          <w:tcPr>
            <w:tcW w:w="890" w:type="dxa"/>
            <w:tcBorders>
              <w:top w:val="nil"/>
              <w:left w:val="nil"/>
              <w:bottom w:val="single" w:sz="4" w:space="0" w:color="auto"/>
              <w:right w:val="single" w:sz="4" w:space="0" w:color="auto"/>
            </w:tcBorders>
            <w:shd w:val="clear" w:color="auto" w:fill="auto"/>
            <w:noWrap/>
            <w:vAlign w:val="center"/>
            <w:hideMark/>
          </w:tcPr>
          <w:p w14:paraId="3890EA80"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8 100</w:t>
            </w:r>
          </w:p>
        </w:tc>
      </w:tr>
      <w:tr w:rsidR="00733744" w:rsidRPr="009E23A6" w14:paraId="3823470D" w14:textId="77777777" w:rsidTr="00733744">
        <w:trPr>
          <w:trHeight w:val="495"/>
        </w:trPr>
        <w:tc>
          <w:tcPr>
            <w:tcW w:w="1557" w:type="dxa"/>
            <w:tcBorders>
              <w:top w:val="nil"/>
              <w:left w:val="single" w:sz="4" w:space="0" w:color="auto"/>
              <w:bottom w:val="single" w:sz="4" w:space="0" w:color="auto"/>
              <w:right w:val="single" w:sz="4" w:space="0" w:color="auto"/>
            </w:tcBorders>
            <w:shd w:val="clear" w:color="auto" w:fill="auto"/>
            <w:vAlign w:val="center"/>
            <w:hideMark/>
          </w:tcPr>
          <w:p w14:paraId="30DB9B48" w14:textId="28680087" w:rsidR="00733744" w:rsidRPr="009E23A6" w:rsidRDefault="00733744" w:rsidP="00F4761B">
            <w:pPr>
              <w:spacing w:before="0" w:after="0"/>
              <w:jc w:val="left"/>
              <w:rPr>
                <w:rFonts w:eastAsia="Times New Roman" w:cs="Arial"/>
                <w:b/>
                <w:bCs/>
                <w:color w:val="000000"/>
                <w:szCs w:val="22"/>
              </w:rPr>
            </w:pPr>
            <w:r w:rsidRPr="009E23A6">
              <w:rPr>
                <w:rFonts w:eastAsia="Times New Roman" w:cs="Arial"/>
                <w:b/>
                <w:bCs/>
                <w:color w:val="000000"/>
                <w:szCs w:val="22"/>
              </w:rPr>
              <w:t>Ostatní zdroje</w:t>
            </w:r>
            <w:r w:rsidR="00F74158" w:rsidRPr="009E23A6">
              <w:rPr>
                <w:rFonts w:eastAsia="Times New Roman" w:cs="Arial"/>
                <w:b/>
                <w:bCs/>
                <w:color w:val="000000"/>
                <w:szCs w:val="22"/>
              </w:rPr>
              <w:t>*</w:t>
            </w:r>
          </w:p>
        </w:tc>
        <w:tc>
          <w:tcPr>
            <w:tcW w:w="794" w:type="dxa"/>
            <w:tcBorders>
              <w:top w:val="nil"/>
              <w:left w:val="nil"/>
              <w:bottom w:val="single" w:sz="4" w:space="0" w:color="auto"/>
              <w:right w:val="single" w:sz="4" w:space="0" w:color="auto"/>
            </w:tcBorders>
            <w:shd w:val="clear" w:color="auto" w:fill="auto"/>
            <w:noWrap/>
            <w:vAlign w:val="center"/>
            <w:hideMark/>
          </w:tcPr>
          <w:p w14:paraId="73E0EF8C"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40</w:t>
            </w:r>
          </w:p>
        </w:tc>
        <w:tc>
          <w:tcPr>
            <w:tcW w:w="794" w:type="dxa"/>
            <w:tcBorders>
              <w:top w:val="nil"/>
              <w:left w:val="nil"/>
              <w:bottom w:val="single" w:sz="4" w:space="0" w:color="auto"/>
              <w:right w:val="single" w:sz="4" w:space="0" w:color="auto"/>
            </w:tcBorders>
            <w:shd w:val="clear" w:color="auto" w:fill="auto"/>
            <w:noWrap/>
            <w:vAlign w:val="center"/>
            <w:hideMark/>
          </w:tcPr>
          <w:p w14:paraId="1752B843"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80</w:t>
            </w:r>
          </w:p>
        </w:tc>
        <w:tc>
          <w:tcPr>
            <w:tcW w:w="794" w:type="dxa"/>
            <w:tcBorders>
              <w:top w:val="nil"/>
              <w:left w:val="nil"/>
              <w:bottom w:val="single" w:sz="4" w:space="0" w:color="auto"/>
              <w:right w:val="single" w:sz="4" w:space="0" w:color="auto"/>
            </w:tcBorders>
            <w:shd w:val="clear" w:color="auto" w:fill="auto"/>
            <w:noWrap/>
            <w:vAlign w:val="center"/>
            <w:hideMark/>
          </w:tcPr>
          <w:p w14:paraId="5B73931E"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135</w:t>
            </w:r>
          </w:p>
        </w:tc>
        <w:tc>
          <w:tcPr>
            <w:tcW w:w="794" w:type="dxa"/>
            <w:tcBorders>
              <w:top w:val="nil"/>
              <w:left w:val="nil"/>
              <w:bottom w:val="single" w:sz="4" w:space="0" w:color="auto"/>
              <w:right w:val="single" w:sz="4" w:space="0" w:color="auto"/>
            </w:tcBorders>
            <w:shd w:val="clear" w:color="auto" w:fill="auto"/>
            <w:noWrap/>
            <w:vAlign w:val="center"/>
            <w:hideMark/>
          </w:tcPr>
          <w:p w14:paraId="7BDFC940"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135</w:t>
            </w:r>
          </w:p>
        </w:tc>
        <w:tc>
          <w:tcPr>
            <w:tcW w:w="794" w:type="dxa"/>
            <w:tcBorders>
              <w:top w:val="nil"/>
              <w:left w:val="nil"/>
              <w:bottom w:val="single" w:sz="4" w:space="0" w:color="auto"/>
              <w:right w:val="single" w:sz="4" w:space="0" w:color="auto"/>
            </w:tcBorders>
            <w:shd w:val="clear" w:color="auto" w:fill="auto"/>
            <w:noWrap/>
            <w:vAlign w:val="center"/>
            <w:hideMark/>
          </w:tcPr>
          <w:p w14:paraId="533896E8"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165</w:t>
            </w:r>
          </w:p>
        </w:tc>
        <w:tc>
          <w:tcPr>
            <w:tcW w:w="794" w:type="dxa"/>
            <w:tcBorders>
              <w:top w:val="nil"/>
              <w:left w:val="nil"/>
              <w:bottom w:val="single" w:sz="4" w:space="0" w:color="auto"/>
              <w:right w:val="single" w:sz="4" w:space="0" w:color="auto"/>
            </w:tcBorders>
            <w:shd w:val="clear" w:color="auto" w:fill="auto"/>
            <w:noWrap/>
            <w:vAlign w:val="center"/>
            <w:hideMark/>
          </w:tcPr>
          <w:p w14:paraId="3D022975"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165</w:t>
            </w:r>
          </w:p>
        </w:tc>
        <w:tc>
          <w:tcPr>
            <w:tcW w:w="794" w:type="dxa"/>
            <w:tcBorders>
              <w:top w:val="nil"/>
              <w:left w:val="nil"/>
              <w:bottom w:val="single" w:sz="4" w:space="0" w:color="auto"/>
              <w:right w:val="single" w:sz="4" w:space="0" w:color="auto"/>
            </w:tcBorders>
            <w:shd w:val="clear" w:color="auto" w:fill="auto"/>
            <w:noWrap/>
            <w:vAlign w:val="center"/>
            <w:hideMark/>
          </w:tcPr>
          <w:p w14:paraId="16FD4BEB"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170</w:t>
            </w:r>
          </w:p>
        </w:tc>
        <w:tc>
          <w:tcPr>
            <w:tcW w:w="794" w:type="dxa"/>
            <w:tcBorders>
              <w:top w:val="nil"/>
              <w:left w:val="nil"/>
              <w:bottom w:val="single" w:sz="4" w:space="0" w:color="auto"/>
              <w:right w:val="single" w:sz="4" w:space="0" w:color="auto"/>
            </w:tcBorders>
            <w:shd w:val="clear" w:color="auto" w:fill="auto"/>
            <w:noWrap/>
            <w:vAlign w:val="center"/>
            <w:hideMark/>
          </w:tcPr>
          <w:p w14:paraId="0E5624C1"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145</w:t>
            </w:r>
          </w:p>
        </w:tc>
        <w:tc>
          <w:tcPr>
            <w:tcW w:w="778" w:type="dxa"/>
            <w:tcBorders>
              <w:top w:val="nil"/>
              <w:left w:val="nil"/>
              <w:bottom w:val="single" w:sz="4" w:space="0" w:color="auto"/>
              <w:right w:val="single" w:sz="4" w:space="0" w:color="auto"/>
            </w:tcBorders>
            <w:shd w:val="clear" w:color="auto" w:fill="auto"/>
            <w:noWrap/>
            <w:vAlign w:val="center"/>
            <w:hideMark/>
          </w:tcPr>
          <w:p w14:paraId="19CCC44D"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110</w:t>
            </w:r>
          </w:p>
        </w:tc>
        <w:tc>
          <w:tcPr>
            <w:tcW w:w="890" w:type="dxa"/>
            <w:tcBorders>
              <w:top w:val="nil"/>
              <w:left w:val="nil"/>
              <w:bottom w:val="single" w:sz="4" w:space="0" w:color="auto"/>
              <w:right w:val="single" w:sz="4" w:space="0" w:color="auto"/>
            </w:tcBorders>
            <w:shd w:val="clear" w:color="auto" w:fill="auto"/>
            <w:noWrap/>
            <w:vAlign w:val="center"/>
            <w:hideMark/>
          </w:tcPr>
          <w:p w14:paraId="5F937CB0"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1 145</w:t>
            </w:r>
          </w:p>
        </w:tc>
      </w:tr>
      <w:tr w:rsidR="00733744" w:rsidRPr="009E23A6" w14:paraId="69280798" w14:textId="77777777" w:rsidTr="00733744">
        <w:trPr>
          <w:trHeight w:val="495"/>
        </w:trPr>
        <w:tc>
          <w:tcPr>
            <w:tcW w:w="1557" w:type="dxa"/>
            <w:tcBorders>
              <w:top w:val="nil"/>
              <w:left w:val="single" w:sz="4" w:space="0" w:color="auto"/>
              <w:bottom w:val="single" w:sz="4" w:space="0" w:color="auto"/>
              <w:right w:val="single" w:sz="4" w:space="0" w:color="auto"/>
            </w:tcBorders>
            <w:shd w:val="clear" w:color="auto" w:fill="auto"/>
            <w:vAlign w:val="center"/>
            <w:hideMark/>
          </w:tcPr>
          <w:p w14:paraId="3C6992C4" w14:textId="77777777" w:rsidR="00733744" w:rsidRPr="009E23A6" w:rsidRDefault="00733744" w:rsidP="00F4761B">
            <w:pPr>
              <w:spacing w:before="0" w:after="0"/>
              <w:jc w:val="left"/>
              <w:rPr>
                <w:rFonts w:eastAsia="Times New Roman" w:cs="Arial"/>
                <w:b/>
                <w:bCs/>
                <w:color w:val="000000"/>
                <w:szCs w:val="22"/>
              </w:rPr>
            </w:pPr>
            <w:r w:rsidRPr="009E23A6">
              <w:rPr>
                <w:rFonts w:eastAsia="Times New Roman" w:cs="Arial"/>
                <w:b/>
                <w:bCs/>
                <w:color w:val="000000"/>
                <w:szCs w:val="22"/>
              </w:rPr>
              <w:t>Výdaje celkem</w:t>
            </w:r>
          </w:p>
        </w:tc>
        <w:tc>
          <w:tcPr>
            <w:tcW w:w="794" w:type="dxa"/>
            <w:tcBorders>
              <w:top w:val="nil"/>
              <w:left w:val="nil"/>
              <w:bottom w:val="single" w:sz="4" w:space="0" w:color="auto"/>
              <w:right w:val="single" w:sz="4" w:space="0" w:color="auto"/>
            </w:tcBorders>
            <w:shd w:val="clear" w:color="auto" w:fill="auto"/>
            <w:noWrap/>
            <w:vAlign w:val="center"/>
            <w:hideMark/>
          </w:tcPr>
          <w:p w14:paraId="39304943"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340</w:t>
            </w:r>
          </w:p>
        </w:tc>
        <w:tc>
          <w:tcPr>
            <w:tcW w:w="794" w:type="dxa"/>
            <w:tcBorders>
              <w:top w:val="nil"/>
              <w:left w:val="nil"/>
              <w:bottom w:val="single" w:sz="4" w:space="0" w:color="auto"/>
              <w:right w:val="single" w:sz="4" w:space="0" w:color="auto"/>
            </w:tcBorders>
            <w:shd w:val="clear" w:color="auto" w:fill="auto"/>
            <w:noWrap/>
            <w:vAlign w:val="center"/>
            <w:hideMark/>
          </w:tcPr>
          <w:p w14:paraId="0C7763F0"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660</w:t>
            </w:r>
          </w:p>
        </w:tc>
        <w:tc>
          <w:tcPr>
            <w:tcW w:w="794" w:type="dxa"/>
            <w:tcBorders>
              <w:top w:val="nil"/>
              <w:left w:val="nil"/>
              <w:bottom w:val="single" w:sz="4" w:space="0" w:color="auto"/>
              <w:right w:val="single" w:sz="4" w:space="0" w:color="auto"/>
            </w:tcBorders>
            <w:shd w:val="clear" w:color="auto" w:fill="auto"/>
            <w:noWrap/>
            <w:vAlign w:val="center"/>
            <w:hideMark/>
          </w:tcPr>
          <w:p w14:paraId="5B41A46F"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1 135</w:t>
            </w:r>
          </w:p>
        </w:tc>
        <w:tc>
          <w:tcPr>
            <w:tcW w:w="794" w:type="dxa"/>
            <w:tcBorders>
              <w:top w:val="nil"/>
              <w:left w:val="nil"/>
              <w:bottom w:val="single" w:sz="4" w:space="0" w:color="auto"/>
              <w:right w:val="single" w:sz="4" w:space="0" w:color="auto"/>
            </w:tcBorders>
            <w:shd w:val="clear" w:color="auto" w:fill="auto"/>
            <w:noWrap/>
            <w:vAlign w:val="center"/>
            <w:hideMark/>
          </w:tcPr>
          <w:p w14:paraId="004E23A6"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1 135</w:t>
            </w:r>
          </w:p>
        </w:tc>
        <w:tc>
          <w:tcPr>
            <w:tcW w:w="794" w:type="dxa"/>
            <w:tcBorders>
              <w:top w:val="nil"/>
              <w:left w:val="nil"/>
              <w:bottom w:val="single" w:sz="4" w:space="0" w:color="auto"/>
              <w:right w:val="single" w:sz="4" w:space="0" w:color="auto"/>
            </w:tcBorders>
            <w:shd w:val="clear" w:color="auto" w:fill="auto"/>
            <w:noWrap/>
            <w:vAlign w:val="center"/>
            <w:hideMark/>
          </w:tcPr>
          <w:p w14:paraId="50BA4B4E"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1 325</w:t>
            </w:r>
          </w:p>
        </w:tc>
        <w:tc>
          <w:tcPr>
            <w:tcW w:w="794" w:type="dxa"/>
            <w:tcBorders>
              <w:top w:val="nil"/>
              <w:left w:val="nil"/>
              <w:bottom w:val="single" w:sz="4" w:space="0" w:color="auto"/>
              <w:right w:val="single" w:sz="4" w:space="0" w:color="auto"/>
            </w:tcBorders>
            <w:shd w:val="clear" w:color="auto" w:fill="auto"/>
            <w:noWrap/>
            <w:vAlign w:val="center"/>
            <w:hideMark/>
          </w:tcPr>
          <w:p w14:paraId="15E7CB6D"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1 325</w:t>
            </w:r>
          </w:p>
        </w:tc>
        <w:tc>
          <w:tcPr>
            <w:tcW w:w="794" w:type="dxa"/>
            <w:tcBorders>
              <w:top w:val="nil"/>
              <w:left w:val="nil"/>
              <w:bottom w:val="single" w:sz="4" w:space="0" w:color="auto"/>
              <w:right w:val="single" w:sz="4" w:space="0" w:color="auto"/>
            </w:tcBorders>
            <w:shd w:val="clear" w:color="auto" w:fill="auto"/>
            <w:noWrap/>
            <w:vAlign w:val="center"/>
            <w:hideMark/>
          </w:tcPr>
          <w:p w14:paraId="7873DF86"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1 330</w:t>
            </w:r>
          </w:p>
        </w:tc>
        <w:tc>
          <w:tcPr>
            <w:tcW w:w="794" w:type="dxa"/>
            <w:tcBorders>
              <w:top w:val="nil"/>
              <w:left w:val="nil"/>
              <w:bottom w:val="single" w:sz="4" w:space="0" w:color="auto"/>
              <w:right w:val="single" w:sz="4" w:space="0" w:color="auto"/>
            </w:tcBorders>
            <w:shd w:val="clear" w:color="auto" w:fill="auto"/>
            <w:noWrap/>
            <w:vAlign w:val="center"/>
            <w:hideMark/>
          </w:tcPr>
          <w:p w14:paraId="10530A19"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1 135</w:t>
            </w:r>
          </w:p>
        </w:tc>
        <w:tc>
          <w:tcPr>
            <w:tcW w:w="778" w:type="dxa"/>
            <w:tcBorders>
              <w:top w:val="nil"/>
              <w:left w:val="nil"/>
              <w:bottom w:val="single" w:sz="4" w:space="0" w:color="auto"/>
              <w:right w:val="single" w:sz="4" w:space="0" w:color="auto"/>
            </w:tcBorders>
            <w:shd w:val="clear" w:color="auto" w:fill="auto"/>
            <w:noWrap/>
            <w:vAlign w:val="center"/>
            <w:hideMark/>
          </w:tcPr>
          <w:p w14:paraId="5CB722A5"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860</w:t>
            </w:r>
          </w:p>
        </w:tc>
        <w:tc>
          <w:tcPr>
            <w:tcW w:w="890" w:type="dxa"/>
            <w:tcBorders>
              <w:top w:val="nil"/>
              <w:left w:val="nil"/>
              <w:bottom w:val="single" w:sz="4" w:space="0" w:color="auto"/>
              <w:right w:val="single" w:sz="4" w:space="0" w:color="auto"/>
            </w:tcBorders>
            <w:shd w:val="clear" w:color="auto" w:fill="auto"/>
            <w:noWrap/>
            <w:vAlign w:val="center"/>
            <w:hideMark/>
          </w:tcPr>
          <w:p w14:paraId="78B8EB4E"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9 245</w:t>
            </w:r>
          </w:p>
        </w:tc>
      </w:tr>
      <w:tr w:rsidR="00733744" w:rsidRPr="009E23A6" w14:paraId="31D323BB" w14:textId="77777777" w:rsidTr="00733744">
        <w:trPr>
          <w:trHeight w:val="990"/>
        </w:trPr>
        <w:tc>
          <w:tcPr>
            <w:tcW w:w="1557" w:type="dxa"/>
            <w:tcBorders>
              <w:top w:val="nil"/>
              <w:left w:val="single" w:sz="4" w:space="0" w:color="auto"/>
              <w:bottom w:val="single" w:sz="4" w:space="0" w:color="auto"/>
              <w:right w:val="single" w:sz="4" w:space="0" w:color="auto"/>
            </w:tcBorders>
            <w:shd w:val="clear" w:color="auto" w:fill="auto"/>
            <w:vAlign w:val="center"/>
            <w:hideMark/>
          </w:tcPr>
          <w:p w14:paraId="3FB84097" w14:textId="77777777" w:rsidR="00733744" w:rsidRPr="009E23A6" w:rsidRDefault="00733744" w:rsidP="00F4761B">
            <w:pPr>
              <w:spacing w:before="0" w:after="0"/>
              <w:jc w:val="left"/>
              <w:rPr>
                <w:rFonts w:eastAsia="Times New Roman" w:cs="Arial"/>
                <w:b/>
                <w:bCs/>
                <w:color w:val="000000"/>
                <w:szCs w:val="22"/>
              </w:rPr>
            </w:pPr>
            <w:r w:rsidRPr="009E23A6">
              <w:rPr>
                <w:rFonts w:eastAsia="Times New Roman" w:cs="Arial"/>
                <w:b/>
                <w:bCs/>
                <w:color w:val="000000"/>
                <w:szCs w:val="22"/>
              </w:rPr>
              <w:t>Průměrná intenzita podpory %</w:t>
            </w:r>
          </w:p>
        </w:tc>
        <w:tc>
          <w:tcPr>
            <w:tcW w:w="794" w:type="dxa"/>
            <w:tcBorders>
              <w:top w:val="nil"/>
              <w:left w:val="nil"/>
              <w:bottom w:val="single" w:sz="4" w:space="0" w:color="auto"/>
              <w:right w:val="single" w:sz="4" w:space="0" w:color="auto"/>
            </w:tcBorders>
            <w:shd w:val="clear" w:color="auto" w:fill="auto"/>
            <w:noWrap/>
            <w:vAlign w:val="center"/>
            <w:hideMark/>
          </w:tcPr>
          <w:p w14:paraId="1A92A9B0"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88</w:t>
            </w:r>
          </w:p>
        </w:tc>
        <w:tc>
          <w:tcPr>
            <w:tcW w:w="794" w:type="dxa"/>
            <w:tcBorders>
              <w:top w:val="nil"/>
              <w:left w:val="nil"/>
              <w:bottom w:val="single" w:sz="4" w:space="0" w:color="auto"/>
              <w:right w:val="single" w:sz="4" w:space="0" w:color="auto"/>
            </w:tcBorders>
            <w:shd w:val="clear" w:color="auto" w:fill="auto"/>
            <w:noWrap/>
            <w:vAlign w:val="center"/>
            <w:hideMark/>
          </w:tcPr>
          <w:p w14:paraId="07848DB2"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88</w:t>
            </w:r>
          </w:p>
        </w:tc>
        <w:tc>
          <w:tcPr>
            <w:tcW w:w="794" w:type="dxa"/>
            <w:tcBorders>
              <w:top w:val="nil"/>
              <w:left w:val="nil"/>
              <w:bottom w:val="single" w:sz="4" w:space="0" w:color="auto"/>
              <w:right w:val="single" w:sz="4" w:space="0" w:color="auto"/>
            </w:tcBorders>
            <w:shd w:val="clear" w:color="auto" w:fill="auto"/>
            <w:noWrap/>
            <w:vAlign w:val="center"/>
            <w:hideMark/>
          </w:tcPr>
          <w:p w14:paraId="033CA775"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88</w:t>
            </w:r>
          </w:p>
        </w:tc>
        <w:tc>
          <w:tcPr>
            <w:tcW w:w="794" w:type="dxa"/>
            <w:tcBorders>
              <w:top w:val="nil"/>
              <w:left w:val="nil"/>
              <w:bottom w:val="single" w:sz="4" w:space="0" w:color="auto"/>
              <w:right w:val="single" w:sz="4" w:space="0" w:color="auto"/>
            </w:tcBorders>
            <w:shd w:val="clear" w:color="auto" w:fill="auto"/>
            <w:noWrap/>
            <w:vAlign w:val="center"/>
            <w:hideMark/>
          </w:tcPr>
          <w:p w14:paraId="48F0D30C"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88</w:t>
            </w:r>
          </w:p>
        </w:tc>
        <w:tc>
          <w:tcPr>
            <w:tcW w:w="794" w:type="dxa"/>
            <w:tcBorders>
              <w:top w:val="nil"/>
              <w:left w:val="nil"/>
              <w:bottom w:val="single" w:sz="4" w:space="0" w:color="auto"/>
              <w:right w:val="single" w:sz="4" w:space="0" w:color="auto"/>
            </w:tcBorders>
            <w:shd w:val="clear" w:color="auto" w:fill="auto"/>
            <w:noWrap/>
            <w:vAlign w:val="center"/>
            <w:hideMark/>
          </w:tcPr>
          <w:p w14:paraId="59DD5F42"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88</w:t>
            </w:r>
          </w:p>
        </w:tc>
        <w:tc>
          <w:tcPr>
            <w:tcW w:w="794" w:type="dxa"/>
            <w:tcBorders>
              <w:top w:val="nil"/>
              <w:left w:val="nil"/>
              <w:bottom w:val="single" w:sz="4" w:space="0" w:color="auto"/>
              <w:right w:val="single" w:sz="4" w:space="0" w:color="auto"/>
            </w:tcBorders>
            <w:shd w:val="clear" w:color="auto" w:fill="auto"/>
            <w:noWrap/>
            <w:vAlign w:val="center"/>
            <w:hideMark/>
          </w:tcPr>
          <w:p w14:paraId="1C9C470A"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88</w:t>
            </w:r>
          </w:p>
        </w:tc>
        <w:tc>
          <w:tcPr>
            <w:tcW w:w="794" w:type="dxa"/>
            <w:tcBorders>
              <w:top w:val="nil"/>
              <w:left w:val="nil"/>
              <w:bottom w:val="single" w:sz="4" w:space="0" w:color="auto"/>
              <w:right w:val="single" w:sz="4" w:space="0" w:color="auto"/>
            </w:tcBorders>
            <w:shd w:val="clear" w:color="auto" w:fill="auto"/>
            <w:noWrap/>
            <w:vAlign w:val="center"/>
            <w:hideMark/>
          </w:tcPr>
          <w:p w14:paraId="325DF8DD"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87</w:t>
            </w:r>
          </w:p>
        </w:tc>
        <w:tc>
          <w:tcPr>
            <w:tcW w:w="794" w:type="dxa"/>
            <w:tcBorders>
              <w:top w:val="nil"/>
              <w:left w:val="nil"/>
              <w:bottom w:val="single" w:sz="4" w:space="0" w:color="auto"/>
              <w:right w:val="single" w:sz="4" w:space="0" w:color="auto"/>
            </w:tcBorders>
            <w:shd w:val="clear" w:color="auto" w:fill="auto"/>
            <w:noWrap/>
            <w:vAlign w:val="center"/>
            <w:hideMark/>
          </w:tcPr>
          <w:p w14:paraId="5A2112E5"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87</w:t>
            </w:r>
          </w:p>
        </w:tc>
        <w:tc>
          <w:tcPr>
            <w:tcW w:w="778" w:type="dxa"/>
            <w:tcBorders>
              <w:top w:val="nil"/>
              <w:left w:val="nil"/>
              <w:bottom w:val="single" w:sz="4" w:space="0" w:color="auto"/>
              <w:right w:val="single" w:sz="4" w:space="0" w:color="auto"/>
            </w:tcBorders>
            <w:shd w:val="clear" w:color="auto" w:fill="auto"/>
            <w:noWrap/>
            <w:vAlign w:val="center"/>
            <w:hideMark/>
          </w:tcPr>
          <w:p w14:paraId="41DEC883"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87</w:t>
            </w:r>
          </w:p>
        </w:tc>
        <w:tc>
          <w:tcPr>
            <w:tcW w:w="890" w:type="dxa"/>
            <w:tcBorders>
              <w:top w:val="nil"/>
              <w:left w:val="nil"/>
              <w:bottom w:val="single" w:sz="4" w:space="0" w:color="auto"/>
              <w:right w:val="single" w:sz="4" w:space="0" w:color="auto"/>
            </w:tcBorders>
            <w:shd w:val="clear" w:color="auto" w:fill="auto"/>
            <w:noWrap/>
            <w:vAlign w:val="center"/>
            <w:hideMark/>
          </w:tcPr>
          <w:p w14:paraId="1ABF23F5" w14:textId="77777777" w:rsidR="00733744" w:rsidRPr="009E23A6" w:rsidRDefault="00733744" w:rsidP="00F4761B">
            <w:pPr>
              <w:spacing w:before="0" w:after="0"/>
              <w:jc w:val="center"/>
              <w:rPr>
                <w:rFonts w:eastAsia="Times New Roman" w:cs="Arial"/>
                <w:color w:val="000000"/>
                <w:szCs w:val="22"/>
              </w:rPr>
            </w:pPr>
            <w:r w:rsidRPr="009E23A6">
              <w:rPr>
                <w:rFonts w:eastAsia="Times New Roman" w:cs="Arial"/>
                <w:color w:val="000000"/>
                <w:szCs w:val="22"/>
              </w:rPr>
              <w:t>88</w:t>
            </w:r>
          </w:p>
        </w:tc>
      </w:tr>
    </w:tbl>
    <w:p w14:paraId="52FD4EB6" w14:textId="77777777" w:rsidR="00DC4A05" w:rsidRPr="009E23A6" w:rsidRDefault="00DC4A05" w:rsidP="00F4761B">
      <w:pPr>
        <w:autoSpaceDE w:val="0"/>
        <w:autoSpaceDN w:val="0"/>
        <w:adjustRightInd w:val="0"/>
        <w:spacing w:before="0"/>
        <w:rPr>
          <w:rFonts w:eastAsia="Times New Roman" w:cs="Arial"/>
          <w:b/>
          <w:bCs/>
          <w:color w:val="000000"/>
          <w:szCs w:val="22"/>
        </w:rPr>
      </w:pPr>
    </w:p>
    <w:p w14:paraId="6DDBD477" w14:textId="4E955C28" w:rsidR="0057110D" w:rsidRPr="009E23A6" w:rsidRDefault="0057110D" w:rsidP="00F4761B">
      <w:pPr>
        <w:autoSpaceDE w:val="0"/>
        <w:autoSpaceDN w:val="0"/>
        <w:adjustRightInd w:val="0"/>
        <w:spacing w:before="0"/>
        <w:rPr>
          <w:rFonts w:eastAsia="Times New Roman" w:cs="Arial"/>
          <w:b/>
          <w:bCs/>
          <w:color w:val="000000"/>
          <w:szCs w:val="22"/>
        </w:rPr>
      </w:pPr>
      <w:r w:rsidRPr="009E23A6">
        <w:rPr>
          <w:rFonts w:eastAsia="Times New Roman" w:cs="Arial"/>
          <w:b/>
          <w:bCs/>
          <w:color w:val="000000"/>
          <w:szCs w:val="22"/>
        </w:rPr>
        <w:t xml:space="preserve">Poznámka: </w:t>
      </w:r>
    </w:p>
    <w:p w14:paraId="2572D324" w14:textId="77777777" w:rsidR="0057110D" w:rsidRPr="009E23A6" w:rsidRDefault="0057110D" w:rsidP="00F4761B">
      <w:pPr>
        <w:autoSpaceDE w:val="0"/>
        <w:autoSpaceDN w:val="0"/>
        <w:adjustRightInd w:val="0"/>
        <w:spacing w:before="0"/>
        <w:ind w:left="284" w:hanging="284"/>
        <w:rPr>
          <w:rFonts w:eastAsia="Times New Roman" w:cs="Arial"/>
          <w:color w:val="000000"/>
          <w:szCs w:val="22"/>
        </w:rPr>
      </w:pPr>
      <w:r w:rsidRPr="009E23A6">
        <w:rPr>
          <w:rFonts w:eastAsia="Times New Roman" w:cs="Arial"/>
          <w:color w:val="000000"/>
          <w:szCs w:val="22"/>
        </w:rPr>
        <w:t>*Ostatní zdroje zahrnují neveřejné zdroje a ostatní veřejné zdroje</w:t>
      </w:r>
    </w:p>
    <w:p w14:paraId="411AD3EF" w14:textId="77777777" w:rsidR="0057110D" w:rsidRPr="009E23A6" w:rsidRDefault="0057110D" w:rsidP="00F4761B">
      <w:pPr>
        <w:pStyle w:val="Nadpis1"/>
        <w:spacing w:line="360" w:lineRule="auto"/>
        <w:rPr>
          <w:szCs w:val="32"/>
        </w:rPr>
      </w:pPr>
      <w:bookmarkStart w:id="26" w:name="_Toc112061696"/>
      <w:bookmarkStart w:id="27" w:name="_Toc115938896"/>
      <w:r w:rsidRPr="009E23A6">
        <w:rPr>
          <w:szCs w:val="32"/>
        </w:rPr>
        <w:t>Intenzita podpory</w:t>
      </w:r>
      <w:bookmarkEnd w:id="26"/>
      <w:bookmarkEnd w:id="27"/>
    </w:p>
    <w:p w14:paraId="3D415915" w14:textId="27B1D113" w:rsidR="0057110D" w:rsidRPr="009E23A6" w:rsidRDefault="0057110D" w:rsidP="00F4761B">
      <w:r w:rsidRPr="009E23A6">
        <w:t xml:space="preserve">Intenzita podpory, stanovená jako procentní podíl výše podpory a způsobilých nákladů projektu celkem, bude vypočtena pro každý projekt i pro každého příjemce a dalšího účastníka samostatně podle níže uvedených tabulek (Tab. č. </w:t>
      </w:r>
      <w:r w:rsidR="004E7CC4" w:rsidRPr="009E23A6">
        <w:t>2</w:t>
      </w:r>
      <w:r w:rsidRPr="009E23A6">
        <w:t xml:space="preserve"> a </w:t>
      </w:r>
      <w:r w:rsidR="004E7CC4" w:rsidRPr="009E23A6">
        <w:t>3</w:t>
      </w:r>
      <w:r w:rsidRPr="009E23A6">
        <w:t>) jednotlivých podprogramů v případě, že bude podpora poskytována podnikům dle GBER a nepřekročí nejvyšší povolenou intenzitu podpory určenou GBER.</w:t>
      </w:r>
    </w:p>
    <w:p w14:paraId="0F034BA1" w14:textId="49FF7360" w:rsidR="0057110D" w:rsidRPr="009E23A6" w:rsidRDefault="0057110D" w:rsidP="00F4761B">
      <w:r w:rsidRPr="009E23A6">
        <w:t xml:space="preserve">V souladu s GBER je možné přiznat bonifikaci nad rámec základní intenzity podpory pro relevantní účastníky za splnění podmínek účinné spolupráce. Za účinnou spolupráci </w:t>
      </w:r>
      <w:r w:rsidRPr="009E23A6">
        <w:lastRenderedPageBreak/>
        <w:t>se v souladu s čl. 2 odst. 90 GBER a Rámcem považuje spolupráce nejméně dvou nezávislých stran za účelem výměny znalostí či technologií nebo k dosažení společného cíle na základě dělby práce, kde příslušné strany společně stanoví rozsah projektu spolupráce, přispívají k jeho realizaci a sdílejí jeho rizika a výsledky. Náklady na projekt může nést v plné výši jedna či více stran. Za formy spolupráce nejsou považovány smluvní výzkum a poskytování výzkumných služeb.</w:t>
      </w:r>
    </w:p>
    <w:p w14:paraId="1DE1A7FF" w14:textId="69DCA33D" w:rsidR="0057110D" w:rsidRPr="009E23A6" w:rsidRDefault="0057110D" w:rsidP="00F4761B">
      <w:pPr>
        <w:spacing w:before="0" w:after="0"/>
      </w:pPr>
      <w:r w:rsidRPr="009E23A6">
        <w:t>V projektech nebude povoleno čerpání finančních prostředků na stejné způsobilé náklady z jiných národních nebo evropských zdrojů. Uchazeči budou povinni upozornit na veřejnou podporu identického nebo podobného projektu či části projektu, který řeší s podporou z veřejných zdrojů.</w:t>
      </w:r>
    </w:p>
    <w:p w14:paraId="506F5751" w14:textId="77777777" w:rsidR="003A3A18" w:rsidRPr="009E23A6" w:rsidRDefault="003A3A18" w:rsidP="00F4761B">
      <w:pPr>
        <w:spacing w:before="0" w:after="0"/>
      </w:pPr>
    </w:p>
    <w:p w14:paraId="74F6AA04" w14:textId="10AA30C6" w:rsidR="0057110D" w:rsidRPr="009E23A6" w:rsidRDefault="0057110D" w:rsidP="00F4761B">
      <w:pPr>
        <w:spacing w:before="0" w:after="0"/>
        <w:rPr>
          <w:rFonts w:eastAsia="Times New Roman" w:cs="Arial"/>
          <w:b/>
          <w:bCs/>
        </w:rPr>
      </w:pPr>
      <w:r w:rsidRPr="009E23A6">
        <w:rPr>
          <w:rFonts w:eastAsia="Times New Roman" w:cs="Arial"/>
          <w:b/>
          <w:bCs/>
        </w:rPr>
        <w:t xml:space="preserve">Tabulka č. </w:t>
      </w:r>
      <w:r w:rsidR="004E7CC4" w:rsidRPr="009E23A6">
        <w:rPr>
          <w:rFonts w:eastAsia="Times New Roman" w:cs="Arial"/>
          <w:b/>
          <w:bCs/>
        </w:rPr>
        <w:t>2</w:t>
      </w:r>
      <w:r w:rsidRPr="009E23A6">
        <w:rPr>
          <w:rFonts w:eastAsia="Times New Roman" w:cs="Arial"/>
          <w:b/>
          <w:bCs/>
        </w:rPr>
        <w:t>: Maximální intenzita podpory pro jednotlivé kategorie činností a jednotlivé kategorie účastníků dle GBER u podprogramu I</w:t>
      </w:r>
    </w:p>
    <w:tbl>
      <w:tblPr>
        <w:tblStyle w:val="Mkatabulky3"/>
        <w:tblW w:w="9635" w:type="dxa"/>
        <w:tblLayout w:type="fixed"/>
        <w:tblLook w:val="0000" w:firstRow="0" w:lastRow="0" w:firstColumn="0" w:lastColumn="0" w:noHBand="0" w:noVBand="0"/>
      </w:tblPr>
      <w:tblGrid>
        <w:gridCol w:w="1962"/>
        <w:gridCol w:w="1666"/>
        <w:gridCol w:w="1260"/>
        <w:gridCol w:w="1260"/>
        <w:gridCol w:w="1261"/>
        <w:gridCol w:w="1059"/>
        <w:gridCol w:w="1167"/>
      </w:tblGrid>
      <w:tr w:rsidR="0057110D" w:rsidRPr="009E23A6" w14:paraId="45A8E166" w14:textId="77777777" w:rsidTr="00B47867">
        <w:trPr>
          <w:trHeight w:hRule="exact" w:val="1029"/>
        </w:trPr>
        <w:tc>
          <w:tcPr>
            <w:tcW w:w="3628" w:type="dxa"/>
            <w:gridSpan w:val="2"/>
            <w:vAlign w:val="center"/>
          </w:tcPr>
          <w:p w14:paraId="35E54720" w14:textId="77777777" w:rsidR="0057110D" w:rsidRPr="009E23A6" w:rsidRDefault="0057110D" w:rsidP="00F4761B">
            <w:pPr>
              <w:kinsoku w:val="0"/>
              <w:overflowPunct w:val="0"/>
              <w:autoSpaceDE w:val="0"/>
              <w:autoSpaceDN w:val="0"/>
              <w:adjustRightInd w:val="0"/>
              <w:spacing w:before="0" w:after="0"/>
              <w:ind w:left="-120" w:right="1666" w:firstLine="120"/>
              <w:contextualSpacing/>
              <w:jc w:val="left"/>
              <w:rPr>
                <w:rFonts w:eastAsia="Times New Roman" w:cs="Arial"/>
                <w:sz w:val="20"/>
                <w:szCs w:val="20"/>
              </w:rPr>
            </w:pPr>
            <w:bookmarkStart w:id="28" w:name="_Hlk98416083"/>
            <w:r w:rsidRPr="009E23A6">
              <w:rPr>
                <w:rFonts w:eastAsia="Times New Roman" w:cs="Arial"/>
                <w:b/>
                <w:bCs/>
                <w:sz w:val="20"/>
                <w:szCs w:val="20"/>
              </w:rPr>
              <w:t>Podprogram I</w:t>
            </w:r>
          </w:p>
        </w:tc>
        <w:tc>
          <w:tcPr>
            <w:tcW w:w="1260" w:type="dxa"/>
            <w:vAlign w:val="center"/>
          </w:tcPr>
          <w:p w14:paraId="37E67137" w14:textId="77777777" w:rsidR="0057110D" w:rsidRPr="009E23A6" w:rsidRDefault="0057110D" w:rsidP="00F4761B">
            <w:pPr>
              <w:kinsoku w:val="0"/>
              <w:overflowPunct w:val="0"/>
              <w:autoSpaceDE w:val="0"/>
              <w:autoSpaceDN w:val="0"/>
              <w:adjustRightInd w:val="0"/>
              <w:spacing w:before="110" w:after="0"/>
              <w:ind w:left="35" w:right="108"/>
              <w:contextualSpacing/>
              <w:jc w:val="center"/>
              <w:rPr>
                <w:rFonts w:eastAsia="Times New Roman" w:cs="Arial"/>
                <w:sz w:val="20"/>
                <w:szCs w:val="20"/>
              </w:rPr>
            </w:pPr>
            <w:r w:rsidRPr="009E23A6">
              <w:rPr>
                <w:rFonts w:eastAsia="Times New Roman" w:cs="Arial"/>
                <w:b/>
                <w:bCs/>
                <w:sz w:val="20"/>
                <w:szCs w:val="20"/>
              </w:rPr>
              <w:t>Malý podnik*</w:t>
            </w:r>
          </w:p>
        </w:tc>
        <w:tc>
          <w:tcPr>
            <w:tcW w:w="1260" w:type="dxa"/>
            <w:vAlign w:val="center"/>
          </w:tcPr>
          <w:p w14:paraId="1E92159D" w14:textId="77777777" w:rsidR="0057110D" w:rsidRPr="009E23A6" w:rsidRDefault="0057110D" w:rsidP="00F4761B">
            <w:pPr>
              <w:kinsoku w:val="0"/>
              <w:overflowPunct w:val="0"/>
              <w:autoSpaceDE w:val="0"/>
              <w:autoSpaceDN w:val="0"/>
              <w:adjustRightInd w:val="0"/>
              <w:spacing w:before="110" w:after="0"/>
              <w:ind w:left="29" w:right="113" w:firstLine="6"/>
              <w:contextualSpacing/>
              <w:jc w:val="center"/>
              <w:rPr>
                <w:rFonts w:eastAsia="Times New Roman" w:cs="Arial"/>
                <w:sz w:val="20"/>
                <w:szCs w:val="20"/>
              </w:rPr>
            </w:pPr>
            <w:r w:rsidRPr="009E23A6">
              <w:rPr>
                <w:rFonts w:eastAsia="Times New Roman" w:cs="Arial"/>
                <w:b/>
                <w:bCs/>
                <w:sz w:val="20"/>
                <w:szCs w:val="20"/>
              </w:rPr>
              <w:t>Střední podnik*</w:t>
            </w:r>
          </w:p>
        </w:tc>
        <w:tc>
          <w:tcPr>
            <w:tcW w:w="1261" w:type="dxa"/>
            <w:vAlign w:val="center"/>
          </w:tcPr>
          <w:p w14:paraId="5216C32A" w14:textId="77777777" w:rsidR="001D4A56" w:rsidRPr="009E23A6" w:rsidRDefault="0057110D" w:rsidP="00F4761B">
            <w:pPr>
              <w:kinsoku w:val="0"/>
              <w:overflowPunct w:val="0"/>
              <w:autoSpaceDE w:val="0"/>
              <w:autoSpaceDN w:val="0"/>
              <w:adjustRightInd w:val="0"/>
              <w:spacing w:before="110" w:after="0"/>
              <w:ind w:left="8" w:right="143" w:hanging="13"/>
              <w:contextualSpacing/>
              <w:jc w:val="center"/>
              <w:rPr>
                <w:rFonts w:eastAsia="Times New Roman" w:cs="Arial"/>
                <w:b/>
                <w:bCs/>
                <w:sz w:val="20"/>
                <w:szCs w:val="20"/>
              </w:rPr>
            </w:pPr>
            <w:r w:rsidRPr="009E23A6">
              <w:rPr>
                <w:rFonts w:eastAsia="Times New Roman" w:cs="Arial"/>
                <w:b/>
                <w:bCs/>
                <w:sz w:val="20"/>
                <w:szCs w:val="20"/>
              </w:rPr>
              <w:t>Velký podnik</w:t>
            </w:r>
          </w:p>
          <w:p w14:paraId="6553D836" w14:textId="1F0F09C5" w:rsidR="0057110D" w:rsidRPr="009E23A6" w:rsidRDefault="001D4A56" w:rsidP="00F4761B">
            <w:pPr>
              <w:kinsoku w:val="0"/>
              <w:overflowPunct w:val="0"/>
              <w:autoSpaceDE w:val="0"/>
              <w:autoSpaceDN w:val="0"/>
              <w:adjustRightInd w:val="0"/>
              <w:spacing w:before="110" w:after="0"/>
              <w:ind w:left="8" w:right="143" w:hanging="13"/>
              <w:contextualSpacing/>
              <w:jc w:val="center"/>
              <w:rPr>
                <w:rFonts w:eastAsia="Times New Roman" w:cs="Arial"/>
                <w:sz w:val="20"/>
                <w:szCs w:val="20"/>
              </w:rPr>
            </w:pPr>
            <w:r w:rsidRPr="009E23A6">
              <w:rPr>
                <w:rFonts w:eastAsia="Times New Roman" w:cs="Arial"/>
                <w:b/>
                <w:bCs/>
                <w:sz w:val="20"/>
                <w:szCs w:val="20"/>
              </w:rPr>
              <w:t>*</w:t>
            </w:r>
          </w:p>
        </w:tc>
        <w:tc>
          <w:tcPr>
            <w:tcW w:w="1059" w:type="dxa"/>
            <w:vAlign w:val="center"/>
          </w:tcPr>
          <w:p w14:paraId="5C9A87F3" w14:textId="77777777" w:rsidR="0057110D" w:rsidRPr="009E23A6" w:rsidRDefault="0057110D" w:rsidP="00F4761B">
            <w:pPr>
              <w:kinsoku w:val="0"/>
              <w:overflowPunct w:val="0"/>
              <w:autoSpaceDE w:val="0"/>
              <w:autoSpaceDN w:val="0"/>
              <w:adjustRightInd w:val="0"/>
              <w:spacing w:before="7" w:after="0"/>
              <w:contextualSpacing/>
              <w:jc w:val="center"/>
              <w:rPr>
                <w:rFonts w:eastAsia="Times New Roman" w:cs="Arial"/>
                <w:sz w:val="20"/>
                <w:szCs w:val="20"/>
              </w:rPr>
            </w:pPr>
          </w:p>
          <w:p w14:paraId="2F5E6A8B"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r w:rsidRPr="009E23A6">
              <w:rPr>
                <w:rFonts w:eastAsia="Times New Roman" w:cs="Arial"/>
                <w:b/>
                <w:bCs/>
                <w:sz w:val="20"/>
                <w:szCs w:val="20"/>
              </w:rPr>
              <w:t>VO**</w:t>
            </w:r>
          </w:p>
        </w:tc>
        <w:tc>
          <w:tcPr>
            <w:tcW w:w="1167" w:type="dxa"/>
            <w:vAlign w:val="center"/>
          </w:tcPr>
          <w:p w14:paraId="542A143C"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b/>
                <w:bCs/>
                <w:sz w:val="20"/>
                <w:szCs w:val="20"/>
              </w:rPr>
            </w:pPr>
            <w:r w:rsidRPr="009E23A6">
              <w:rPr>
                <w:rFonts w:eastAsia="Times New Roman" w:cs="Arial"/>
                <w:b/>
                <w:bCs/>
                <w:sz w:val="20"/>
                <w:szCs w:val="20"/>
              </w:rPr>
              <w:t>Celkem</w:t>
            </w:r>
          </w:p>
          <w:p w14:paraId="6D573569"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r w:rsidRPr="009E23A6">
              <w:rPr>
                <w:rFonts w:eastAsia="Times New Roman" w:cs="Arial"/>
                <w:b/>
                <w:bCs/>
                <w:sz w:val="20"/>
                <w:szCs w:val="20"/>
              </w:rPr>
              <w:t>za projekt</w:t>
            </w:r>
          </w:p>
        </w:tc>
      </w:tr>
      <w:tr w:rsidR="0057110D" w:rsidRPr="009E23A6" w14:paraId="234CF2D9" w14:textId="77777777" w:rsidTr="00B47867">
        <w:trPr>
          <w:trHeight w:hRule="exact" w:val="1197"/>
        </w:trPr>
        <w:tc>
          <w:tcPr>
            <w:tcW w:w="1962" w:type="dxa"/>
            <w:vMerge w:val="restart"/>
            <w:vAlign w:val="center"/>
          </w:tcPr>
          <w:p w14:paraId="7ADBE164" w14:textId="77777777" w:rsidR="0057110D" w:rsidRPr="009E23A6" w:rsidRDefault="0057110D" w:rsidP="00F4761B">
            <w:pPr>
              <w:kinsoku w:val="0"/>
              <w:overflowPunct w:val="0"/>
              <w:autoSpaceDE w:val="0"/>
              <w:autoSpaceDN w:val="0"/>
              <w:adjustRightInd w:val="0"/>
              <w:spacing w:before="150" w:after="0"/>
              <w:ind w:right="164"/>
              <w:contextualSpacing/>
              <w:jc w:val="left"/>
              <w:rPr>
                <w:rFonts w:eastAsia="Times New Roman" w:cs="Arial"/>
                <w:sz w:val="20"/>
                <w:szCs w:val="20"/>
              </w:rPr>
            </w:pPr>
            <w:r w:rsidRPr="009E23A6">
              <w:rPr>
                <w:rFonts w:eastAsia="Times New Roman" w:cs="Arial"/>
                <w:b/>
                <w:bCs/>
                <w:spacing w:val="-1"/>
                <w:w w:val="99"/>
                <w:sz w:val="20"/>
                <w:szCs w:val="20"/>
              </w:rPr>
              <w:t>Pr</w:t>
            </w:r>
            <w:r w:rsidRPr="009E23A6">
              <w:rPr>
                <w:rFonts w:eastAsia="Times New Roman" w:cs="Arial"/>
                <w:b/>
                <w:bCs/>
                <w:w w:val="99"/>
                <w:sz w:val="20"/>
                <w:szCs w:val="20"/>
              </w:rPr>
              <w:t xml:space="preserve">ůmyslový </w:t>
            </w:r>
            <w:r w:rsidRPr="009E23A6">
              <w:rPr>
                <w:rFonts w:eastAsia="Times New Roman" w:cs="Arial"/>
                <w:b/>
                <w:bCs/>
                <w:spacing w:val="-1"/>
                <w:w w:val="99"/>
                <w:sz w:val="20"/>
                <w:szCs w:val="20"/>
              </w:rPr>
              <w:t>vý</w:t>
            </w:r>
            <w:r w:rsidRPr="009E23A6">
              <w:rPr>
                <w:rFonts w:eastAsia="Times New Roman" w:cs="Arial"/>
                <w:b/>
                <w:bCs/>
                <w:spacing w:val="1"/>
                <w:w w:val="99"/>
                <w:sz w:val="20"/>
                <w:szCs w:val="20"/>
              </w:rPr>
              <w:t>z</w:t>
            </w:r>
            <w:r w:rsidRPr="009E23A6">
              <w:rPr>
                <w:rFonts w:eastAsia="Times New Roman" w:cs="Arial"/>
                <w:b/>
                <w:bCs/>
                <w:w w:val="99"/>
                <w:sz w:val="20"/>
                <w:szCs w:val="20"/>
              </w:rPr>
              <w:t>kum</w:t>
            </w:r>
          </w:p>
        </w:tc>
        <w:tc>
          <w:tcPr>
            <w:tcW w:w="1665" w:type="dxa"/>
            <w:vAlign w:val="center"/>
          </w:tcPr>
          <w:p w14:paraId="6062A346" w14:textId="77777777" w:rsidR="0057110D" w:rsidRPr="009E23A6" w:rsidRDefault="0057110D" w:rsidP="00F4761B">
            <w:pPr>
              <w:kinsoku w:val="0"/>
              <w:overflowPunct w:val="0"/>
              <w:autoSpaceDE w:val="0"/>
              <w:autoSpaceDN w:val="0"/>
              <w:adjustRightInd w:val="0"/>
              <w:spacing w:before="103" w:after="0"/>
              <w:contextualSpacing/>
              <w:jc w:val="left"/>
              <w:rPr>
                <w:rFonts w:eastAsia="Times New Roman" w:cs="Arial"/>
                <w:sz w:val="20"/>
                <w:szCs w:val="20"/>
              </w:rPr>
            </w:pPr>
            <w:r w:rsidRPr="009E23A6">
              <w:rPr>
                <w:rFonts w:eastAsia="Times New Roman" w:cs="Arial"/>
                <w:bCs/>
                <w:sz w:val="20"/>
                <w:szCs w:val="20"/>
              </w:rPr>
              <w:t>při zohlednění příplatků MSP</w:t>
            </w:r>
          </w:p>
        </w:tc>
        <w:tc>
          <w:tcPr>
            <w:tcW w:w="1260" w:type="dxa"/>
            <w:vAlign w:val="center"/>
          </w:tcPr>
          <w:p w14:paraId="431EAEA3" w14:textId="77777777" w:rsidR="0057110D" w:rsidRPr="009E23A6" w:rsidRDefault="0057110D" w:rsidP="00F4761B">
            <w:pPr>
              <w:kinsoku w:val="0"/>
              <w:overflowPunct w:val="0"/>
              <w:autoSpaceDE w:val="0"/>
              <w:autoSpaceDN w:val="0"/>
              <w:adjustRightInd w:val="0"/>
              <w:spacing w:before="105" w:after="0"/>
              <w:ind w:right="267"/>
              <w:contextualSpacing/>
              <w:jc w:val="center"/>
              <w:rPr>
                <w:rFonts w:eastAsia="Times New Roman" w:cs="Arial"/>
                <w:sz w:val="20"/>
                <w:szCs w:val="20"/>
              </w:rPr>
            </w:pPr>
            <w:r w:rsidRPr="009E23A6">
              <w:rPr>
                <w:rFonts w:eastAsia="Times New Roman" w:cs="Arial"/>
                <w:sz w:val="20"/>
                <w:szCs w:val="20"/>
              </w:rPr>
              <w:t>70 %</w:t>
            </w:r>
          </w:p>
        </w:tc>
        <w:tc>
          <w:tcPr>
            <w:tcW w:w="1260" w:type="dxa"/>
            <w:vAlign w:val="center"/>
          </w:tcPr>
          <w:p w14:paraId="0B1E86DF" w14:textId="77777777" w:rsidR="0057110D" w:rsidRPr="009E23A6" w:rsidRDefault="0057110D" w:rsidP="00F4761B">
            <w:pPr>
              <w:kinsoku w:val="0"/>
              <w:overflowPunct w:val="0"/>
              <w:autoSpaceDE w:val="0"/>
              <w:autoSpaceDN w:val="0"/>
              <w:adjustRightInd w:val="0"/>
              <w:spacing w:before="105" w:after="0"/>
              <w:ind w:left="178" w:right="186"/>
              <w:contextualSpacing/>
              <w:jc w:val="center"/>
              <w:rPr>
                <w:rFonts w:eastAsia="Times New Roman" w:cs="Arial"/>
                <w:sz w:val="20"/>
                <w:szCs w:val="20"/>
              </w:rPr>
            </w:pPr>
            <w:r w:rsidRPr="009E23A6">
              <w:rPr>
                <w:rFonts w:eastAsia="Times New Roman" w:cs="Arial"/>
                <w:sz w:val="20"/>
                <w:szCs w:val="20"/>
              </w:rPr>
              <w:t>60 %</w:t>
            </w:r>
          </w:p>
        </w:tc>
        <w:tc>
          <w:tcPr>
            <w:tcW w:w="1261" w:type="dxa"/>
            <w:vAlign w:val="center"/>
          </w:tcPr>
          <w:p w14:paraId="2D28E2D1" w14:textId="77777777" w:rsidR="0057110D" w:rsidRPr="009E23A6" w:rsidRDefault="0057110D" w:rsidP="00F4761B">
            <w:pPr>
              <w:kinsoku w:val="0"/>
              <w:overflowPunct w:val="0"/>
              <w:autoSpaceDE w:val="0"/>
              <w:autoSpaceDN w:val="0"/>
              <w:adjustRightInd w:val="0"/>
              <w:spacing w:before="105" w:after="0"/>
              <w:ind w:left="134" w:right="137"/>
              <w:contextualSpacing/>
              <w:jc w:val="center"/>
              <w:rPr>
                <w:rFonts w:eastAsia="Times New Roman" w:cs="Arial"/>
                <w:sz w:val="20"/>
                <w:szCs w:val="20"/>
              </w:rPr>
            </w:pPr>
            <w:r w:rsidRPr="009E23A6">
              <w:rPr>
                <w:rFonts w:eastAsia="Times New Roman" w:cs="Arial"/>
                <w:sz w:val="20"/>
                <w:szCs w:val="20"/>
              </w:rPr>
              <w:t>50 %</w:t>
            </w:r>
          </w:p>
        </w:tc>
        <w:tc>
          <w:tcPr>
            <w:tcW w:w="1059" w:type="dxa"/>
            <w:vMerge w:val="restart"/>
            <w:vAlign w:val="center"/>
          </w:tcPr>
          <w:p w14:paraId="1492428C" w14:textId="77777777" w:rsidR="0057110D" w:rsidRPr="009E23A6" w:rsidRDefault="0057110D" w:rsidP="00F4761B">
            <w:pPr>
              <w:kinsoku w:val="0"/>
              <w:overflowPunct w:val="0"/>
              <w:autoSpaceDE w:val="0"/>
              <w:autoSpaceDN w:val="0"/>
              <w:adjustRightInd w:val="0"/>
              <w:spacing w:before="0" w:after="0"/>
              <w:contextualSpacing/>
              <w:jc w:val="left"/>
              <w:rPr>
                <w:rFonts w:eastAsia="Times New Roman" w:cs="Arial"/>
                <w:sz w:val="20"/>
                <w:szCs w:val="20"/>
              </w:rPr>
            </w:pPr>
          </w:p>
          <w:p w14:paraId="4A0FA770" w14:textId="77777777" w:rsidR="0057110D" w:rsidRPr="009E23A6" w:rsidRDefault="0057110D" w:rsidP="00F4761B">
            <w:pPr>
              <w:kinsoku w:val="0"/>
              <w:overflowPunct w:val="0"/>
              <w:autoSpaceDE w:val="0"/>
              <w:autoSpaceDN w:val="0"/>
              <w:adjustRightInd w:val="0"/>
              <w:spacing w:before="135" w:after="0"/>
              <w:ind w:left="208"/>
              <w:contextualSpacing/>
              <w:jc w:val="left"/>
              <w:rPr>
                <w:rFonts w:eastAsia="Times New Roman" w:cs="Arial"/>
                <w:sz w:val="20"/>
                <w:szCs w:val="20"/>
              </w:rPr>
            </w:pPr>
            <w:r w:rsidRPr="009E23A6">
              <w:rPr>
                <w:rFonts w:eastAsia="Times New Roman" w:cs="Arial"/>
                <w:sz w:val="20"/>
                <w:szCs w:val="20"/>
              </w:rPr>
              <w:t>100 %</w:t>
            </w:r>
          </w:p>
        </w:tc>
        <w:tc>
          <w:tcPr>
            <w:tcW w:w="1167" w:type="dxa"/>
            <w:vMerge w:val="restart"/>
            <w:vAlign w:val="center"/>
          </w:tcPr>
          <w:p w14:paraId="55973E77" w14:textId="77777777" w:rsidR="0057110D" w:rsidRPr="009E23A6" w:rsidRDefault="0057110D" w:rsidP="00F4761B">
            <w:pPr>
              <w:kinsoku w:val="0"/>
              <w:overflowPunct w:val="0"/>
              <w:autoSpaceDE w:val="0"/>
              <w:autoSpaceDN w:val="0"/>
              <w:adjustRightInd w:val="0"/>
              <w:spacing w:before="0" w:after="0"/>
              <w:contextualSpacing/>
              <w:jc w:val="left"/>
              <w:rPr>
                <w:rFonts w:eastAsia="Times New Roman" w:cs="Arial"/>
                <w:sz w:val="20"/>
                <w:szCs w:val="20"/>
              </w:rPr>
            </w:pPr>
          </w:p>
          <w:p w14:paraId="26443FB6" w14:textId="77777777" w:rsidR="0057110D" w:rsidRPr="009E23A6" w:rsidRDefault="0057110D" w:rsidP="00F4761B">
            <w:pPr>
              <w:kinsoku w:val="0"/>
              <w:overflowPunct w:val="0"/>
              <w:autoSpaceDE w:val="0"/>
              <w:autoSpaceDN w:val="0"/>
              <w:adjustRightInd w:val="0"/>
              <w:spacing w:before="135" w:after="0"/>
              <w:ind w:left="261"/>
              <w:contextualSpacing/>
              <w:jc w:val="left"/>
              <w:rPr>
                <w:rFonts w:eastAsia="Times New Roman" w:cs="Arial"/>
                <w:sz w:val="20"/>
                <w:szCs w:val="20"/>
              </w:rPr>
            </w:pPr>
            <w:r w:rsidRPr="009E23A6">
              <w:rPr>
                <w:rFonts w:eastAsia="Times New Roman" w:cs="Arial"/>
                <w:sz w:val="20"/>
                <w:szCs w:val="20"/>
              </w:rPr>
              <w:t>85 %</w:t>
            </w:r>
          </w:p>
        </w:tc>
      </w:tr>
      <w:tr w:rsidR="0057110D" w:rsidRPr="009E23A6" w14:paraId="582059F9" w14:textId="77777777" w:rsidTr="00B47867">
        <w:trPr>
          <w:trHeight w:hRule="exact" w:val="1398"/>
        </w:trPr>
        <w:tc>
          <w:tcPr>
            <w:tcW w:w="1962" w:type="dxa"/>
            <w:vMerge/>
            <w:textDirection w:val="btLr"/>
            <w:vAlign w:val="center"/>
          </w:tcPr>
          <w:p w14:paraId="5A0D3E7B" w14:textId="77777777" w:rsidR="0057110D" w:rsidRPr="009E23A6" w:rsidRDefault="0057110D" w:rsidP="00F4761B">
            <w:pPr>
              <w:kinsoku w:val="0"/>
              <w:overflowPunct w:val="0"/>
              <w:autoSpaceDE w:val="0"/>
              <w:autoSpaceDN w:val="0"/>
              <w:adjustRightInd w:val="0"/>
              <w:spacing w:before="135" w:after="0"/>
              <w:ind w:left="261"/>
              <w:contextualSpacing/>
              <w:jc w:val="left"/>
              <w:rPr>
                <w:rFonts w:eastAsia="Times New Roman" w:cs="Arial"/>
                <w:sz w:val="20"/>
                <w:szCs w:val="20"/>
              </w:rPr>
            </w:pPr>
          </w:p>
        </w:tc>
        <w:tc>
          <w:tcPr>
            <w:tcW w:w="1665" w:type="dxa"/>
            <w:vAlign w:val="center"/>
          </w:tcPr>
          <w:p w14:paraId="4922D1BF" w14:textId="1EF6986C" w:rsidR="0057110D" w:rsidRPr="009E23A6" w:rsidRDefault="0057110D" w:rsidP="00F4761B">
            <w:pPr>
              <w:kinsoku w:val="0"/>
              <w:overflowPunct w:val="0"/>
              <w:autoSpaceDE w:val="0"/>
              <w:autoSpaceDN w:val="0"/>
              <w:adjustRightInd w:val="0"/>
              <w:spacing w:before="40" w:after="0"/>
              <w:ind w:right="253"/>
              <w:contextualSpacing/>
              <w:jc w:val="left"/>
              <w:rPr>
                <w:rFonts w:eastAsia="Times New Roman" w:cs="Arial"/>
                <w:sz w:val="20"/>
                <w:szCs w:val="20"/>
              </w:rPr>
            </w:pPr>
            <w:r w:rsidRPr="009E23A6">
              <w:rPr>
                <w:rFonts w:eastAsia="Times New Roman" w:cs="Arial"/>
                <w:bCs/>
                <w:sz w:val="20"/>
                <w:szCs w:val="20"/>
              </w:rPr>
              <w:t>při doložení účinné spolupráce s</w:t>
            </w:r>
            <w:r w:rsidR="0027768B" w:rsidRPr="009E23A6">
              <w:rPr>
                <w:rFonts w:eastAsia="Times New Roman" w:cs="Arial"/>
                <w:bCs/>
                <w:sz w:val="20"/>
                <w:szCs w:val="20"/>
              </w:rPr>
              <w:t> </w:t>
            </w:r>
            <w:r w:rsidRPr="009E23A6">
              <w:rPr>
                <w:rFonts w:eastAsia="Times New Roman" w:cs="Arial"/>
                <w:bCs/>
                <w:sz w:val="20"/>
                <w:szCs w:val="20"/>
              </w:rPr>
              <w:t>VO</w:t>
            </w:r>
            <w:r w:rsidR="0027768B" w:rsidRPr="009E23A6">
              <w:rPr>
                <w:rFonts w:eastAsia="Times New Roman" w:cs="Arial"/>
                <w:bCs/>
                <w:sz w:val="20"/>
                <w:szCs w:val="20"/>
              </w:rPr>
              <w:t xml:space="preserve"> ***</w:t>
            </w:r>
          </w:p>
        </w:tc>
        <w:tc>
          <w:tcPr>
            <w:tcW w:w="1260" w:type="dxa"/>
            <w:vAlign w:val="center"/>
          </w:tcPr>
          <w:p w14:paraId="57D556CA" w14:textId="77777777" w:rsidR="0057110D" w:rsidRPr="009E23A6" w:rsidRDefault="0057110D" w:rsidP="00F4761B">
            <w:pPr>
              <w:kinsoku w:val="0"/>
              <w:overflowPunct w:val="0"/>
              <w:autoSpaceDE w:val="0"/>
              <w:autoSpaceDN w:val="0"/>
              <w:adjustRightInd w:val="0"/>
              <w:spacing w:before="160" w:after="0"/>
              <w:ind w:right="267"/>
              <w:contextualSpacing/>
              <w:jc w:val="center"/>
              <w:rPr>
                <w:rFonts w:eastAsia="Times New Roman" w:cs="Arial"/>
                <w:sz w:val="20"/>
                <w:szCs w:val="20"/>
              </w:rPr>
            </w:pPr>
            <w:r w:rsidRPr="009E23A6">
              <w:rPr>
                <w:rFonts w:eastAsia="Times New Roman" w:cs="Arial"/>
                <w:sz w:val="20"/>
                <w:szCs w:val="20"/>
              </w:rPr>
              <w:t>80 %</w:t>
            </w:r>
          </w:p>
        </w:tc>
        <w:tc>
          <w:tcPr>
            <w:tcW w:w="1260" w:type="dxa"/>
            <w:vAlign w:val="center"/>
          </w:tcPr>
          <w:p w14:paraId="2E6F6B62" w14:textId="77777777" w:rsidR="0057110D" w:rsidRPr="009E23A6" w:rsidRDefault="0057110D" w:rsidP="00F4761B">
            <w:pPr>
              <w:kinsoku w:val="0"/>
              <w:overflowPunct w:val="0"/>
              <w:autoSpaceDE w:val="0"/>
              <w:autoSpaceDN w:val="0"/>
              <w:adjustRightInd w:val="0"/>
              <w:spacing w:before="160" w:after="0"/>
              <w:ind w:left="178" w:right="186"/>
              <w:contextualSpacing/>
              <w:jc w:val="center"/>
              <w:rPr>
                <w:rFonts w:eastAsia="Times New Roman" w:cs="Arial"/>
                <w:sz w:val="20"/>
                <w:szCs w:val="20"/>
              </w:rPr>
            </w:pPr>
            <w:r w:rsidRPr="009E23A6">
              <w:rPr>
                <w:rFonts w:eastAsia="Times New Roman" w:cs="Arial"/>
                <w:sz w:val="20"/>
                <w:szCs w:val="20"/>
              </w:rPr>
              <w:t>75 %</w:t>
            </w:r>
          </w:p>
        </w:tc>
        <w:tc>
          <w:tcPr>
            <w:tcW w:w="1261" w:type="dxa"/>
            <w:vAlign w:val="center"/>
          </w:tcPr>
          <w:p w14:paraId="03776CF1" w14:textId="77777777" w:rsidR="0057110D" w:rsidRPr="009E23A6" w:rsidRDefault="0057110D" w:rsidP="00F4761B">
            <w:pPr>
              <w:kinsoku w:val="0"/>
              <w:overflowPunct w:val="0"/>
              <w:autoSpaceDE w:val="0"/>
              <w:autoSpaceDN w:val="0"/>
              <w:adjustRightInd w:val="0"/>
              <w:spacing w:before="160" w:after="0"/>
              <w:ind w:left="134" w:right="137"/>
              <w:contextualSpacing/>
              <w:jc w:val="center"/>
              <w:rPr>
                <w:rFonts w:eastAsia="Times New Roman" w:cs="Arial"/>
                <w:sz w:val="20"/>
                <w:szCs w:val="20"/>
              </w:rPr>
            </w:pPr>
            <w:r w:rsidRPr="009E23A6">
              <w:rPr>
                <w:rFonts w:eastAsia="Times New Roman" w:cs="Arial"/>
                <w:sz w:val="20"/>
                <w:szCs w:val="20"/>
              </w:rPr>
              <w:t>65 %</w:t>
            </w:r>
          </w:p>
        </w:tc>
        <w:tc>
          <w:tcPr>
            <w:tcW w:w="1059" w:type="dxa"/>
            <w:vMerge/>
            <w:vAlign w:val="center"/>
          </w:tcPr>
          <w:p w14:paraId="179B00F7" w14:textId="77777777" w:rsidR="0057110D" w:rsidRPr="009E23A6" w:rsidRDefault="0057110D" w:rsidP="00F4761B">
            <w:pPr>
              <w:kinsoku w:val="0"/>
              <w:overflowPunct w:val="0"/>
              <w:autoSpaceDE w:val="0"/>
              <w:autoSpaceDN w:val="0"/>
              <w:adjustRightInd w:val="0"/>
              <w:spacing w:before="160" w:after="0"/>
              <w:ind w:left="134" w:right="137"/>
              <w:contextualSpacing/>
              <w:jc w:val="left"/>
              <w:rPr>
                <w:rFonts w:eastAsia="Times New Roman" w:cs="Arial"/>
                <w:sz w:val="20"/>
                <w:szCs w:val="20"/>
              </w:rPr>
            </w:pPr>
          </w:p>
        </w:tc>
        <w:tc>
          <w:tcPr>
            <w:tcW w:w="1167" w:type="dxa"/>
            <w:vMerge/>
            <w:vAlign w:val="center"/>
          </w:tcPr>
          <w:p w14:paraId="3080CC0A" w14:textId="77777777" w:rsidR="0057110D" w:rsidRPr="009E23A6" w:rsidRDefault="0057110D" w:rsidP="00F4761B">
            <w:pPr>
              <w:kinsoku w:val="0"/>
              <w:overflowPunct w:val="0"/>
              <w:autoSpaceDE w:val="0"/>
              <w:autoSpaceDN w:val="0"/>
              <w:adjustRightInd w:val="0"/>
              <w:spacing w:before="160" w:after="0"/>
              <w:ind w:left="134" w:right="137"/>
              <w:contextualSpacing/>
              <w:jc w:val="left"/>
              <w:rPr>
                <w:rFonts w:eastAsia="Times New Roman" w:cs="Arial"/>
                <w:sz w:val="20"/>
                <w:szCs w:val="20"/>
              </w:rPr>
            </w:pPr>
          </w:p>
        </w:tc>
      </w:tr>
      <w:tr w:rsidR="0057110D" w:rsidRPr="009E23A6" w14:paraId="64C70AAA" w14:textId="77777777" w:rsidTr="00B47867">
        <w:trPr>
          <w:trHeight w:hRule="exact" w:val="1100"/>
        </w:trPr>
        <w:tc>
          <w:tcPr>
            <w:tcW w:w="1962" w:type="dxa"/>
            <w:vMerge w:val="restart"/>
            <w:vAlign w:val="center"/>
          </w:tcPr>
          <w:p w14:paraId="6C288417" w14:textId="77777777" w:rsidR="0057110D" w:rsidRPr="009E23A6" w:rsidRDefault="0057110D" w:rsidP="00F4761B">
            <w:pPr>
              <w:kinsoku w:val="0"/>
              <w:overflowPunct w:val="0"/>
              <w:autoSpaceDE w:val="0"/>
              <w:autoSpaceDN w:val="0"/>
              <w:adjustRightInd w:val="0"/>
              <w:spacing w:before="0" w:after="0"/>
              <w:ind w:right="134"/>
              <w:contextualSpacing/>
              <w:jc w:val="left"/>
              <w:rPr>
                <w:rFonts w:eastAsia="Times New Roman" w:cs="Arial"/>
                <w:b/>
                <w:bCs/>
                <w:w w:val="99"/>
                <w:sz w:val="20"/>
                <w:szCs w:val="20"/>
              </w:rPr>
            </w:pPr>
            <w:r w:rsidRPr="009E23A6">
              <w:rPr>
                <w:rFonts w:eastAsia="Times New Roman" w:cs="Arial"/>
                <w:b/>
                <w:bCs/>
                <w:spacing w:val="-1"/>
                <w:w w:val="99"/>
                <w:sz w:val="20"/>
                <w:szCs w:val="20"/>
              </w:rPr>
              <w:t>E</w:t>
            </w:r>
            <w:r w:rsidRPr="009E23A6">
              <w:rPr>
                <w:rFonts w:eastAsia="Times New Roman" w:cs="Arial"/>
                <w:b/>
                <w:bCs/>
                <w:w w:val="99"/>
                <w:sz w:val="20"/>
                <w:szCs w:val="20"/>
              </w:rPr>
              <w:t>xp</w:t>
            </w:r>
            <w:r w:rsidRPr="009E23A6">
              <w:rPr>
                <w:rFonts w:eastAsia="Times New Roman" w:cs="Arial"/>
                <w:b/>
                <w:bCs/>
                <w:spacing w:val="2"/>
                <w:w w:val="99"/>
                <w:sz w:val="20"/>
                <w:szCs w:val="20"/>
              </w:rPr>
              <w:t>e</w:t>
            </w:r>
            <w:r w:rsidRPr="009E23A6">
              <w:rPr>
                <w:rFonts w:eastAsia="Times New Roman" w:cs="Arial"/>
                <w:b/>
                <w:bCs/>
                <w:spacing w:val="-1"/>
                <w:w w:val="99"/>
                <w:sz w:val="20"/>
                <w:szCs w:val="20"/>
              </w:rPr>
              <w:t>r</w:t>
            </w:r>
            <w:r w:rsidRPr="009E23A6">
              <w:rPr>
                <w:rFonts w:eastAsia="Times New Roman" w:cs="Arial"/>
                <w:b/>
                <w:bCs/>
                <w:w w:val="99"/>
                <w:sz w:val="20"/>
                <w:szCs w:val="20"/>
              </w:rPr>
              <w:t>imentální</w:t>
            </w:r>
          </w:p>
          <w:p w14:paraId="69605001" w14:textId="77777777" w:rsidR="0057110D" w:rsidRPr="009E23A6" w:rsidRDefault="0057110D" w:rsidP="00F4761B">
            <w:pPr>
              <w:kinsoku w:val="0"/>
              <w:overflowPunct w:val="0"/>
              <w:autoSpaceDE w:val="0"/>
              <w:autoSpaceDN w:val="0"/>
              <w:adjustRightInd w:val="0"/>
              <w:spacing w:before="0" w:after="0"/>
              <w:ind w:right="134"/>
              <w:contextualSpacing/>
              <w:jc w:val="left"/>
              <w:rPr>
                <w:rFonts w:eastAsia="Times New Roman" w:cs="Arial"/>
                <w:b/>
                <w:bCs/>
                <w:w w:val="99"/>
                <w:sz w:val="20"/>
                <w:szCs w:val="20"/>
              </w:rPr>
            </w:pPr>
            <w:r w:rsidRPr="009E23A6">
              <w:rPr>
                <w:rFonts w:eastAsia="Times New Roman" w:cs="Arial"/>
                <w:b/>
                <w:bCs/>
                <w:w w:val="99"/>
                <w:sz w:val="20"/>
                <w:szCs w:val="20"/>
              </w:rPr>
              <w:t>vývoj</w:t>
            </w:r>
          </w:p>
          <w:p w14:paraId="2EEA14B3" w14:textId="77777777" w:rsidR="0057110D" w:rsidRPr="009E23A6" w:rsidRDefault="0057110D" w:rsidP="00F4761B">
            <w:pPr>
              <w:kinsoku w:val="0"/>
              <w:overflowPunct w:val="0"/>
              <w:autoSpaceDE w:val="0"/>
              <w:autoSpaceDN w:val="0"/>
              <w:adjustRightInd w:val="0"/>
              <w:spacing w:before="150" w:after="0"/>
              <w:ind w:right="134"/>
              <w:contextualSpacing/>
              <w:jc w:val="left"/>
              <w:rPr>
                <w:rFonts w:eastAsia="Times New Roman" w:cs="Arial"/>
                <w:sz w:val="20"/>
                <w:szCs w:val="20"/>
              </w:rPr>
            </w:pPr>
          </w:p>
        </w:tc>
        <w:tc>
          <w:tcPr>
            <w:tcW w:w="1665" w:type="dxa"/>
            <w:vAlign w:val="center"/>
          </w:tcPr>
          <w:p w14:paraId="6528E4CD" w14:textId="77777777" w:rsidR="0057110D" w:rsidRPr="009E23A6" w:rsidRDefault="0057110D" w:rsidP="00F4761B">
            <w:pPr>
              <w:kinsoku w:val="0"/>
              <w:overflowPunct w:val="0"/>
              <w:autoSpaceDE w:val="0"/>
              <w:autoSpaceDN w:val="0"/>
              <w:adjustRightInd w:val="0"/>
              <w:spacing w:before="101" w:after="0"/>
              <w:contextualSpacing/>
              <w:jc w:val="left"/>
              <w:rPr>
                <w:rFonts w:eastAsia="Times New Roman" w:cs="Arial"/>
                <w:sz w:val="20"/>
                <w:szCs w:val="20"/>
              </w:rPr>
            </w:pPr>
            <w:r w:rsidRPr="009E23A6">
              <w:rPr>
                <w:rFonts w:eastAsia="Times New Roman" w:cs="Arial"/>
                <w:bCs/>
                <w:sz w:val="20"/>
                <w:szCs w:val="20"/>
              </w:rPr>
              <w:t>při zohlednění příplatků MSP</w:t>
            </w:r>
          </w:p>
        </w:tc>
        <w:tc>
          <w:tcPr>
            <w:tcW w:w="1260" w:type="dxa"/>
            <w:vAlign w:val="center"/>
          </w:tcPr>
          <w:p w14:paraId="6CDE7B24" w14:textId="77777777" w:rsidR="0057110D" w:rsidRPr="009E23A6" w:rsidRDefault="0057110D" w:rsidP="00F4761B">
            <w:pPr>
              <w:kinsoku w:val="0"/>
              <w:overflowPunct w:val="0"/>
              <w:autoSpaceDE w:val="0"/>
              <w:autoSpaceDN w:val="0"/>
              <w:adjustRightInd w:val="0"/>
              <w:spacing w:before="103" w:after="0"/>
              <w:ind w:right="267"/>
              <w:contextualSpacing/>
              <w:jc w:val="center"/>
              <w:rPr>
                <w:rFonts w:eastAsia="Times New Roman" w:cs="Arial"/>
                <w:sz w:val="20"/>
                <w:szCs w:val="20"/>
              </w:rPr>
            </w:pPr>
            <w:r w:rsidRPr="009E23A6">
              <w:rPr>
                <w:rFonts w:eastAsia="Times New Roman" w:cs="Arial"/>
                <w:sz w:val="20"/>
                <w:szCs w:val="20"/>
              </w:rPr>
              <w:t>45 %</w:t>
            </w:r>
          </w:p>
        </w:tc>
        <w:tc>
          <w:tcPr>
            <w:tcW w:w="1260" w:type="dxa"/>
            <w:vAlign w:val="center"/>
          </w:tcPr>
          <w:p w14:paraId="2E26F8C8" w14:textId="77777777" w:rsidR="0057110D" w:rsidRPr="009E23A6" w:rsidRDefault="0057110D" w:rsidP="00F4761B">
            <w:pPr>
              <w:kinsoku w:val="0"/>
              <w:overflowPunct w:val="0"/>
              <w:autoSpaceDE w:val="0"/>
              <w:autoSpaceDN w:val="0"/>
              <w:adjustRightInd w:val="0"/>
              <w:spacing w:before="103" w:after="0"/>
              <w:ind w:left="178" w:right="186"/>
              <w:contextualSpacing/>
              <w:jc w:val="center"/>
              <w:rPr>
                <w:rFonts w:eastAsia="Times New Roman" w:cs="Arial"/>
                <w:sz w:val="20"/>
                <w:szCs w:val="20"/>
              </w:rPr>
            </w:pPr>
            <w:r w:rsidRPr="009E23A6">
              <w:rPr>
                <w:rFonts w:eastAsia="Times New Roman" w:cs="Arial"/>
                <w:sz w:val="20"/>
                <w:szCs w:val="20"/>
              </w:rPr>
              <w:t>35 %</w:t>
            </w:r>
          </w:p>
        </w:tc>
        <w:tc>
          <w:tcPr>
            <w:tcW w:w="1261" w:type="dxa"/>
            <w:vAlign w:val="center"/>
          </w:tcPr>
          <w:p w14:paraId="2822EF4B" w14:textId="77777777" w:rsidR="0057110D" w:rsidRPr="009E23A6" w:rsidRDefault="0057110D" w:rsidP="00F4761B">
            <w:pPr>
              <w:kinsoku w:val="0"/>
              <w:overflowPunct w:val="0"/>
              <w:autoSpaceDE w:val="0"/>
              <w:autoSpaceDN w:val="0"/>
              <w:adjustRightInd w:val="0"/>
              <w:spacing w:before="103" w:after="0"/>
              <w:ind w:left="134" w:right="137"/>
              <w:contextualSpacing/>
              <w:jc w:val="center"/>
              <w:rPr>
                <w:rFonts w:eastAsia="Times New Roman" w:cs="Arial"/>
                <w:sz w:val="20"/>
                <w:szCs w:val="20"/>
              </w:rPr>
            </w:pPr>
            <w:r w:rsidRPr="009E23A6">
              <w:rPr>
                <w:rFonts w:eastAsia="Times New Roman" w:cs="Arial"/>
                <w:sz w:val="20"/>
                <w:szCs w:val="20"/>
              </w:rPr>
              <w:t>25 %</w:t>
            </w:r>
          </w:p>
        </w:tc>
        <w:tc>
          <w:tcPr>
            <w:tcW w:w="1059" w:type="dxa"/>
            <w:vMerge w:val="restart"/>
            <w:vAlign w:val="center"/>
          </w:tcPr>
          <w:p w14:paraId="5F42D388" w14:textId="77777777" w:rsidR="0057110D" w:rsidRPr="009E23A6" w:rsidRDefault="0057110D" w:rsidP="00F4761B">
            <w:pPr>
              <w:kinsoku w:val="0"/>
              <w:overflowPunct w:val="0"/>
              <w:autoSpaceDE w:val="0"/>
              <w:autoSpaceDN w:val="0"/>
              <w:adjustRightInd w:val="0"/>
              <w:spacing w:before="0" w:after="0"/>
              <w:contextualSpacing/>
              <w:jc w:val="left"/>
              <w:rPr>
                <w:rFonts w:eastAsia="Times New Roman" w:cs="Arial"/>
                <w:sz w:val="20"/>
                <w:szCs w:val="20"/>
              </w:rPr>
            </w:pPr>
          </w:p>
          <w:p w14:paraId="21B9E698" w14:textId="77777777" w:rsidR="0057110D" w:rsidRPr="009E23A6" w:rsidRDefault="0057110D" w:rsidP="00F4761B">
            <w:pPr>
              <w:kinsoku w:val="0"/>
              <w:overflowPunct w:val="0"/>
              <w:autoSpaceDE w:val="0"/>
              <w:autoSpaceDN w:val="0"/>
              <w:adjustRightInd w:val="0"/>
              <w:spacing w:before="174" w:after="0"/>
              <w:ind w:left="208"/>
              <w:contextualSpacing/>
              <w:jc w:val="left"/>
              <w:rPr>
                <w:rFonts w:eastAsia="Times New Roman" w:cs="Arial"/>
                <w:sz w:val="20"/>
                <w:szCs w:val="20"/>
              </w:rPr>
            </w:pPr>
            <w:r w:rsidRPr="009E23A6">
              <w:rPr>
                <w:rFonts w:eastAsia="Times New Roman" w:cs="Arial"/>
                <w:sz w:val="20"/>
                <w:szCs w:val="20"/>
              </w:rPr>
              <w:t>100 %</w:t>
            </w:r>
          </w:p>
        </w:tc>
        <w:tc>
          <w:tcPr>
            <w:tcW w:w="1167" w:type="dxa"/>
            <w:vMerge w:val="restart"/>
            <w:vAlign w:val="center"/>
          </w:tcPr>
          <w:p w14:paraId="73D0150E" w14:textId="77777777" w:rsidR="0057110D" w:rsidRPr="009E23A6" w:rsidRDefault="0057110D" w:rsidP="00F4761B">
            <w:pPr>
              <w:kinsoku w:val="0"/>
              <w:overflowPunct w:val="0"/>
              <w:autoSpaceDE w:val="0"/>
              <w:autoSpaceDN w:val="0"/>
              <w:adjustRightInd w:val="0"/>
              <w:spacing w:before="0" w:after="0"/>
              <w:contextualSpacing/>
              <w:jc w:val="left"/>
              <w:rPr>
                <w:rFonts w:eastAsia="Times New Roman" w:cs="Arial"/>
                <w:sz w:val="20"/>
                <w:szCs w:val="20"/>
              </w:rPr>
            </w:pPr>
          </w:p>
          <w:p w14:paraId="10C4B100" w14:textId="77777777" w:rsidR="0057110D" w:rsidRPr="009E23A6" w:rsidRDefault="0057110D" w:rsidP="00F4761B">
            <w:pPr>
              <w:kinsoku w:val="0"/>
              <w:overflowPunct w:val="0"/>
              <w:autoSpaceDE w:val="0"/>
              <w:autoSpaceDN w:val="0"/>
              <w:adjustRightInd w:val="0"/>
              <w:spacing w:before="174" w:after="0"/>
              <w:ind w:left="261"/>
              <w:contextualSpacing/>
              <w:jc w:val="left"/>
              <w:rPr>
                <w:rFonts w:eastAsia="Times New Roman" w:cs="Arial"/>
                <w:sz w:val="20"/>
                <w:szCs w:val="20"/>
              </w:rPr>
            </w:pPr>
            <w:r w:rsidRPr="009E23A6">
              <w:rPr>
                <w:rFonts w:eastAsia="Times New Roman" w:cs="Arial"/>
                <w:sz w:val="20"/>
                <w:szCs w:val="20"/>
              </w:rPr>
              <w:t>85 %</w:t>
            </w:r>
          </w:p>
        </w:tc>
      </w:tr>
      <w:tr w:rsidR="0057110D" w:rsidRPr="009E23A6" w14:paraId="2BC88622" w14:textId="77777777" w:rsidTr="00B47867">
        <w:trPr>
          <w:trHeight w:hRule="exact" w:val="1344"/>
        </w:trPr>
        <w:tc>
          <w:tcPr>
            <w:tcW w:w="1962" w:type="dxa"/>
            <w:vMerge/>
            <w:textDirection w:val="btLr"/>
          </w:tcPr>
          <w:p w14:paraId="42F10867" w14:textId="77777777" w:rsidR="0057110D" w:rsidRPr="009E23A6" w:rsidRDefault="0057110D" w:rsidP="00F4761B">
            <w:pPr>
              <w:kinsoku w:val="0"/>
              <w:overflowPunct w:val="0"/>
              <w:autoSpaceDE w:val="0"/>
              <w:autoSpaceDN w:val="0"/>
              <w:adjustRightInd w:val="0"/>
              <w:spacing w:before="174" w:after="0"/>
              <w:ind w:left="261"/>
              <w:contextualSpacing/>
              <w:jc w:val="left"/>
              <w:rPr>
                <w:rFonts w:eastAsia="Times New Roman" w:cs="Arial"/>
                <w:sz w:val="20"/>
                <w:szCs w:val="20"/>
              </w:rPr>
            </w:pPr>
          </w:p>
        </w:tc>
        <w:tc>
          <w:tcPr>
            <w:tcW w:w="1665" w:type="dxa"/>
            <w:vAlign w:val="center"/>
          </w:tcPr>
          <w:p w14:paraId="33DC3FCB" w14:textId="75422725" w:rsidR="0057110D" w:rsidRPr="009E23A6" w:rsidRDefault="0057110D" w:rsidP="00F4761B">
            <w:pPr>
              <w:kinsoku w:val="0"/>
              <w:overflowPunct w:val="0"/>
              <w:autoSpaceDE w:val="0"/>
              <w:autoSpaceDN w:val="0"/>
              <w:adjustRightInd w:val="0"/>
              <w:spacing w:before="83" w:after="0"/>
              <w:ind w:right="253"/>
              <w:contextualSpacing/>
              <w:jc w:val="left"/>
              <w:rPr>
                <w:rFonts w:eastAsia="Times New Roman" w:cs="Arial"/>
                <w:sz w:val="20"/>
                <w:szCs w:val="20"/>
              </w:rPr>
            </w:pPr>
            <w:r w:rsidRPr="009E23A6">
              <w:rPr>
                <w:rFonts w:eastAsia="Times New Roman" w:cs="Arial"/>
                <w:bCs/>
                <w:sz w:val="20"/>
                <w:szCs w:val="20"/>
              </w:rPr>
              <w:t>při doložení účinné spolupráce s</w:t>
            </w:r>
            <w:r w:rsidR="0027768B" w:rsidRPr="009E23A6">
              <w:rPr>
                <w:rFonts w:eastAsia="Times New Roman" w:cs="Arial"/>
                <w:bCs/>
                <w:sz w:val="20"/>
                <w:szCs w:val="20"/>
              </w:rPr>
              <w:t> </w:t>
            </w:r>
            <w:r w:rsidRPr="009E23A6">
              <w:rPr>
                <w:rFonts w:eastAsia="Times New Roman" w:cs="Arial"/>
                <w:bCs/>
                <w:sz w:val="20"/>
                <w:szCs w:val="20"/>
              </w:rPr>
              <w:t>VO</w:t>
            </w:r>
            <w:r w:rsidR="0027768B" w:rsidRPr="009E23A6">
              <w:rPr>
                <w:rFonts w:eastAsia="Times New Roman" w:cs="Arial"/>
                <w:bCs/>
                <w:sz w:val="20"/>
                <w:szCs w:val="20"/>
              </w:rPr>
              <w:t xml:space="preserve"> ***</w:t>
            </w:r>
          </w:p>
        </w:tc>
        <w:tc>
          <w:tcPr>
            <w:tcW w:w="1260" w:type="dxa"/>
            <w:vAlign w:val="center"/>
          </w:tcPr>
          <w:p w14:paraId="23882990" w14:textId="77777777" w:rsidR="0057110D" w:rsidRPr="009E23A6" w:rsidRDefault="0057110D" w:rsidP="00F4761B">
            <w:pPr>
              <w:kinsoku w:val="0"/>
              <w:overflowPunct w:val="0"/>
              <w:autoSpaceDE w:val="0"/>
              <w:autoSpaceDN w:val="0"/>
              <w:adjustRightInd w:val="0"/>
              <w:spacing w:before="5" w:after="0"/>
              <w:contextualSpacing/>
              <w:jc w:val="center"/>
              <w:rPr>
                <w:rFonts w:eastAsia="Times New Roman" w:cs="Arial"/>
                <w:sz w:val="20"/>
                <w:szCs w:val="20"/>
              </w:rPr>
            </w:pPr>
          </w:p>
          <w:p w14:paraId="39AF327C" w14:textId="77777777" w:rsidR="0057110D" w:rsidRPr="009E23A6" w:rsidRDefault="0057110D" w:rsidP="00F4761B">
            <w:pPr>
              <w:kinsoku w:val="0"/>
              <w:overflowPunct w:val="0"/>
              <w:autoSpaceDE w:val="0"/>
              <w:autoSpaceDN w:val="0"/>
              <w:adjustRightInd w:val="0"/>
              <w:spacing w:before="0" w:after="0"/>
              <w:ind w:right="267"/>
              <w:contextualSpacing/>
              <w:jc w:val="center"/>
              <w:rPr>
                <w:rFonts w:eastAsia="Times New Roman" w:cs="Arial"/>
                <w:sz w:val="20"/>
                <w:szCs w:val="20"/>
              </w:rPr>
            </w:pPr>
            <w:r w:rsidRPr="009E23A6">
              <w:rPr>
                <w:rFonts w:eastAsia="Times New Roman" w:cs="Arial"/>
                <w:sz w:val="20"/>
                <w:szCs w:val="20"/>
              </w:rPr>
              <w:t>60 %</w:t>
            </w:r>
          </w:p>
        </w:tc>
        <w:tc>
          <w:tcPr>
            <w:tcW w:w="1260" w:type="dxa"/>
            <w:vAlign w:val="center"/>
          </w:tcPr>
          <w:p w14:paraId="1130893B" w14:textId="77777777" w:rsidR="0057110D" w:rsidRPr="009E23A6" w:rsidRDefault="0057110D" w:rsidP="00F4761B">
            <w:pPr>
              <w:kinsoku w:val="0"/>
              <w:overflowPunct w:val="0"/>
              <w:autoSpaceDE w:val="0"/>
              <w:autoSpaceDN w:val="0"/>
              <w:adjustRightInd w:val="0"/>
              <w:spacing w:before="5" w:after="0"/>
              <w:contextualSpacing/>
              <w:jc w:val="center"/>
              <w:rPr>
                <w:rFonts w:eastAsia="Times New Roman" w:cs="Arial"/>
                <w:sz w:val="20"/>
                <w:szCs w:val="20"/>
              </w:rPr>
            </w:pPr>
          </w:p>
          <w:p w14:paraId="0E0D492B" w14:textId="77777777" w:rsidR="0057110D" w:rsidRPr="009E23A6" w:rsidRDefault="0057110D" w:rsidP="00F4761B">
            <w:pPr>
              <w:kinsoku w:val="0"/>
              <w:overflowPunct w:val="0"/>
              <w:autoSpaceDE w:val="0"/>
              <w:autoSpaceDN w:val="0"/>
              <w:adjustRightInd w:val="0"/>
              <w:spacing w:before="0" w:after="0"/>
              <w:ind w:left="178" w:right="186"/>
              <w:contextualSpacing/>
              <w:jc w:val="center"/>
              <w:rPr>
                <w:rFonts w:eastAsia="Times New Roman" w:cs="Arial"/>
                <w:sz w:val="20"/>
                <w:szCs w:val="20"/>
              </w:rPr>
            </w:pPr>
            <w:r w:rsidRPr="009E23A6">
              <w:rPr>
                <w:rFonts w:eastAsia="Times New Roman" w:cs="Arial"/>
                <w:sz w:val="20"/>
                <w:szCs w:val="20"/>
              </w:rPr>
              <w:t>50 %</w:t>
            </w:r>
          </w:p>
        </w:tc>
        <w:tc>
          <w:tcPr>
            <w:tcW w:w="1261" w:type="dxa"/>
            <w:vAlign w:val="center"/>
          </w:tcPr>
          <w:p w14:paraId="2EBCBAF5" w14:textId="77777777" w:rsidR="0057110D" w:rsidRPr="009E23A6" w:rsidRDefault="0057110D" w:rsidP="00F4761B">
            <w:pPr>
              <w:kinsoku w:val="0"/>
              <w:overflowPunct w:val="0"/>
              <w:autoSpaceDE w:val="0"/>
              <w:autoSpaceDN w:val="0"/>
              <w:adjustRightInd w:val="0"/>
              <w:spacing w:before="5" w:after="0"/>
              <w:contextualSpacing/>
              <w:jc w:val="center"/>
              <w:rPr>
                <w:rFonts w:eastAsia="Times New Roman" w:cs="Arial"/>
                <w:sz w:val="20"/>
                <w:szCs w:val="20"/>
              </w:rPr>
            </w:pPr>
          </w:p>
          <w:p w14:paraId="195D15A9" w14:textId="77777777" w:rsidR="0057110D" w:rsidRPr="009E23A6" w:rsidRDefault="0057110D" w:rsidP="00F4761B">
            <w:pPr>
              <w:kinsoku w:val="0"/>
              <w:overflowPunct w:val="0"/>
              <w:autoSpaceDE w:val="0"/>
              <w:autoSpaceDN w:val="0"/>
              <w:adjustRightInd w:val="0"/>
              <w:spacing w:before="0" w:after="0"/>
              <w:ind w:left="134" w:right="137"/>
              <w:contextualSpacing/>
              <w:jc w:val="center"/>
              <w:rPr>
                <w:rFonts w:eastAsia="Times New Roman" w:cs="Arial"/>
                <w:sz w:val="20"/>
                <w:szCs w:val="20"/>
              </w:rPr>
            </w:pPr>
            <w:r w:rsidRPr="009E23A6">
              <w:rPr>
                <w:rFonts w:eastAsia="Times New Roman" w:cs="Arial"/>
                <w:sz w:val="20"/>
                <w:szCs w:val="20"/>
              </w:rPr>
              <w:t>40 %</w:t>
            </w:r>
          </w:p>
        </w:tc>
        <w:tc>
          <w:tcPr>
            <w:tcW w:w="1059" w:type="dxa"/>
            <w:vMerge/>
          </w:tcPr>
          <w:p w14:paraId="2314A0E7" w14:textId="77777777" w:rsidR="0057110D" w:rsidRPr="009E23A6" w:rsidRDefault="0057110D" w:rsidP="00F4761B">
            <w:pPr>
              <w:kinsoku w:val="0"/>
              <w:overflowPunct w:val="0"/>
              <w:autoSpaceDE w:val="0"/>
              <w:autoSpaceDN w:val="0"/>
              <w:adjustRightInd w:val="0"/>
              <w:spacing w:before="0" w:after="0"/>
              <w:ind w:left="134" w:right="137"/>
              <w:contextualSpacing/>
              <w:jc w:val="left"/>
              <w:rPr>
                <w:rFonts w:eastAsia="Times New Roman" w:cs="Arial"/>
                <w:sz w:val="20"/>
                <w:szCs w:val="20"/>
              </w:rPr>
            </w:pPr>
          </w:p>
        </w:tc>
        <w:tc>
          <w:tcPr>
            <w:tcW w:w="1167" w:type="dxa"/>
            <w:vMerge/>
          </w:tcPr>
          <w:p w14:paraId="696D93B5" w14:textId="77777777" w:rsidR="0057110D" w:rsidRPr="009E23A6" w:rsidRDefault="0057110D" w:rsidP="00F4761B">
            <w:pPr>
              <w:kinsoku w:val="0"/>
              <w:overflowPunct w:val="0"/>
              <w:autoSpaceDE w:val="0"/>
              <w:autoSpaceDN w:val="0"/>
              <w:adjustRightInd w:val="0"/>
              <w:spacing w:before="0" w:after="0"/>
              <w:ind w:left="134" w:right="137"/>
              <w:contextualSpacing/>
              <w:jc w:val="left"/>
              <w:rPr>
                <w:rFonts w:eastAsia="Times New Roman" w:cs="Arial"/>
                <w:sz w:val="20"/>
                <w:szCs w:val="20"/>
              </w:rPr>
            </w:pPr>
          </w:p>
        </w:tc>
      </w:tr>
      <w:bookmarkEnd w:id="28"/>
    </w:tbl>
    <w:p w14:paraId="6E2ED427" w14:textId="04D907A6" w:rsidR="0057110D" w:rsidRPr="009E23A6" w:rsidRDefault="0057110D" w:rsidP="00F4761B">
      <w:pPr>
        <w:spacing w:before="0" w:after="0"/>
        <w:jc w:val="left"/>
        <w:rPr>
          <w:rFonts w:eastAsia="Times New Roman" w:cs="Arial"/>
          <w:b/>
          <w:bCs/>
        </w:rPr>
      </w:pPr>
    </w:p>
    <w:p w14:paraId="47EA4F66" w14:textId="77777777" w:rsidR="00B47867" w:rsidRPr="009E23A6" w:rsidRDefault="00B47867">
      <w:pPr>
        <w:spacing w:before="0" w:after="160" w:line="259" w:lineRule="auto"/>
        <w:jc w:val="left"/>
        <w:rPr>
          <w:rFonts w:eastAsia="Times New Roman" w:cs="Arial"/>
          <w:b/>
          <w:bCs/>
        </w:rPr>
      </w:pPr>
      <w:r w:rsidRPr="009E23A6">
        <w:rPr>
          <w:rFonts w:eastAsia="Times New Roman" w:cs="Arial"/>
          <w:b/>
          <w:bCs/>
        </w:rPr>
        <w:br w:type="page"/>
      </w:r>
    </w:p>
    <w:p w14:paraId="158DCEBC" w14:textId="24B49363" w:rsidR="0057110D" w:rsidRPr="009E23A6" w:rsidRDefault="0057110D" w:rsidP="00F4761B">
      <w:pPr>
        <w:spacing w:before="0" w:after="0"/>
        <w:rPr>
          <w:rFonts w:eastAsia="Times New Roman" w:cs="Arial"/>
          <w:b/>
          <w:bCs/>
        </w:rPr>
      </w:pPr>
      <w:r w:rsidRPr="009E23A6">
        <w:rPr>
          <w:rFonts w:eastAsia="Times New Roman" w:cs="Arial"/>
          <w:b/>
          <w:bCs/>
        </w:rPr>
        <w:lastRenderedPageBreak/>
        <w:t xml:space="preserve">Tabulka č. </w:t>
      </w:r>
      <w:r w:rsidR="004E7CC4" w:rsidRPr="009E23A6">
        <w:rPr>
          <w:rFonts w:eastAsia="Times New Roman" w:cs="Arial"/>
          <w:b/>
          <w:bCs/>
        </w:rPr>
        <w:t>3</w:t>
      </w:r>
      <w:r w:rsidRPr="009E23A6">
        <w:rPr>
          <w:rFonts w:eastAsia="Times New Roman" w:cs="Arial"/>
          <w:b/>
          <w:bCs/>
        </w:rPr>
        <w:t>: Maximální intenzita podpory pro jednotlivé kategorie činností a jednotlivé kategorie účastníků dle GBER u podprogramu II</w:t>
      </w:r>
    </w:p>
    <w:tbl>
      <w:tblPr>
        <w:tblStyle w:val="Mkatabulky2"/>
        <w:tblW w:w="9752" w:type="dxa"/>
        <w:tblInd w:w="-431" w:type="dxa"/>
        <w:tblLayout w:type="fixed"/>
        <w:tblLook w:val="0000" w:firstRow="0" w:lastRow="0" w:firstColumn="0" w:lastColumn="0" w:noHBand="0" w:noVBand="0"/>
      </w:tblPr>
      <w:tblGrid>
        <w:gridCol w:w="2261"/>
        <w:gridCol w:w="1554"/>
        <w:gridCol w:w="1187"/>
        <w:gridCol w:w="1187"/>
        <w:gridCol w:w="1187"/>
        <w:gridCol w:w="1187"/>
        <w:gridCol w:w="1189"/>
      </w:tblGrid>
      <w:tr w:rsidR="0057110D" w:rsidRPr="009E23A6" w14:paraId="6A046259" w14:textId="77777777" w:rsidTr="00B47867">
        <w:trPr>
          <w:trHeight w:hRule="exact" w:val="1016"/>
        </w:trPr>
        <w:tc>
          <w:tcPr>
            <w:tcW w:w="3815" w:type="dxa"/>
            <w:gridSpan w:val="2"/>
            <w:vAlign w:val="center"/>
          </w:tcPr>
          <w:p w14:paraId="7C40D1CB" w14:textId="77777777" w:rsidR="0057110D" w:rsidRPr="009E23A6" w:rsidRDefault="0057110D" w:rsidP="00F4761B">
            <w:pPr>
              <w:kinsoku w:val="0"/>
              <w:overflowPunct w:val="0"/>
              <w:autoSpaceDE w:val="0"/>
              <w:autoSpaceDN w:val="0"/>
              <w:adjustRightInd w:val="0"/>
              <w:spacing w:before="0" w:after="0"/>
              <w:ind w:left="-120" w:right="1666"/>
              <w:contextualSpacing/>
              <w:jc w:val="left"/>
              <w:rPr>
                <w:rFonts w:eastAsia="Times New Roman" w:cs="Arial"/>
                <w:sz w:val="20"/>
                <w:szCs w:val="20"/>
              </w:rPr>
            </w:pPr>
            <w:r w:rsidRPr="009E23A6">
              <w:rPr>
                <w:rFonts w:eastAsia="Times New Roman" w:cs="Arial"/>
                <w:b/>
                <w:bCs/>
                <w:sz w:val="20"/>
                <w:szCs w:val="20"/>
              </w:rPr>
              <w:t xml:space="preserve">  Podprogram II</w:t>
            </w:r>
          </w:p>
        </w:tc>
        <w:tc>
          <w:tcPr>
            <w:tcW w:w="1187" w:type="dxa"/>
            <w:vAlign w:val="center"/>
          </w:tcPr>
          <w:p w14:paraId="5DBD4E3B" w14:textId="77777777" w:rsidR="0057110D" w:rsidRPr="009E23A6" w:rsidRDefault="0057110D" w:rsidP="00F4761B">
            <w:pPr>
              <w:kinsoku w:val="0"/>
              <w:overflowPunct w:val="0"/>
              <w:autoSpaceDE w:val="0"/>
              <w:autoSpaceDN w:val="0"/>
              <w:adjustRightInd w:val="0"/>
              <w:spacing w:before="110" w:after="0"/>
              <w:ind w:left="35" w:right="108"/>
              <w:contextualSpacing/>
              <w:jc w:val="center"/>
              <w:rPr>
                <w:rFonts w:eastAsia="Times New Roman" w:cs="Arial"/>
                <w:sz w:val="20"/>
                <w:szCs w:val="20"/>
              </w:rPr>
            </w:pPr>
            <w:r w:rsidRPr="009E23A6">
              <w:rPr>
                <w:rFonts w:eastAsia="Times New Roman" w:cs="Arial"/>
                <w:b/>
                <w:bCs/>
                <w:sz w:val="20"/>
                <w:szCs w:val="20"/>
              </w:rPr>
              <w:t>Malý podnik*</w:t>
            </w:r>
          </w:p>
        </w:tc>
        <w:tc>
          <w:tcPr>
            <w:tcW w:w="1187" w:type="dxa"/>
            <w:vAlign w:val="center"/>
          </w:tcPr>
          <w:p w14:paraId="426F2671" w14:textId="7CC11F06" w:rsidR="0057110D" w:rsidRPr="009E23A6" w:rsidRDefault="0057110D" w:rsidP="00F4761B">
            <w:pPr>
              <w:kinsoku w:val="0"/>
              <w:overflowPunct w:val="0"/>
              <w:autoSpaceDE w:val="0"/>
              <w:autoSpaceDN w:val="0"/>
              <w:adjustRightInd w:val="0"/>
              <w:spacing w:before="110" w:after="0"/>
              <w:ind w:left="29" w:right="113" w:firstLine="6"/>
              <w:contextualSpacing/>
              <w:rPr>
                <w:rFonts w:eastAsia="Times New Roman" w:cs="Arial"/>
                <w:sz w:val="20"/>
                <w:szCs w:val="20"/>
              </w:rPr>
            </w:pPr>
            <w:r w:rsidRPr="009E23A6">
              <w:rPr>
                <w:rFonts w:eastAsia="Times New Roman" w:cs="Arial"/>
                <w:b/>
                <w:bCs/>
                <w:sz w:val="20"/>
                <w:szCs w:val="20"/>
              </w:rPr>
              <w:t>Střední podnik*</w:t>
            </w:r>
          </w:p>
        </w:tc>
        <w:tc>
          <w:tcPr>
            <w:tcW w:w="1187" w:type="dxa"/>
            <w:vAlign w:val="center"/>
          </w:tcPr>
          <w:p w14:paraId="3D22A44D" w14:textId="74D3F2D0" w:rsidR="0057110D" w:rsidRPr="009E23A6" w:rsidRDefault="0057110D" w:rsidP="00F4761B">
            <w:pPr>
              <w:kinsoku w:val="0"/>
              <w:overflowPunct w:val="0"/>
              <w:autoSpaceDE w:val="0"/>
              <w:autoSpaceDN w:val="0"/>
              <w:adjustRightInd w:val="0"/>
              <w:spacing w:before="110" w:after="0"/>
              <w:ind w:left="8" w:right="143" w:hanging="13"/>
              <w:contextualSpacing/>
              <w:jc w:val="center"/>
              <w:rPr>
                <w:rFonts w:eastAsia="Times New Roman" w:cs="Arial"/>
                <w:sz w:val="20"/>
                <w:szCs w:val="20"/>
              </w:rPr>
            </w:pPr>
            <w:r w:rsidRPr="009E23A6">
              <w:rPr>
                <w:rFonts w:eastAsia="Times New Roman" w:cs="Arial"/>
                <w:b/>
                <w:bCs/>
                <w:sz w:val="20"/>
                <w:szCs w:val="20"/>
              </w:rPr>
              <w:t>Velký podnik *</w:t>
            </w:r>
          </w:p>
        </w:tc>
        <w:tc>
          <w:tcPr>
            <w:tcW w:w="1187" w:type="dxa"/>
            <w:vAlign w:val="center"/>
          </w:tcPr>
          <w:p w14:paraId="75060359"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r w:rsidRPr="009E23A6">
              <w:rPr>
                <w:rFonts w:eastAsia="Times New Roman" w:cs="Arial"/>
                <w:b/>
                <w:bCs/>
                <w:sz w:val="20"/>
                <w:szCs w:val="20"/>
              </w:rPr>
              <w:t>VO**</w:t>
            </w:r>
          </w:p>
        </w:tc>
        <w:tc>
          <w:tcPr>
            <w:tcW w:w="1187" w:type="dxa"/>
            <w:vAlign w:val="center"/>
          </w:tcPr>
          <w:p w14:paraId="02BB6452"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r w:rsidRPr="009E23A6">
              <w:rPr>
                <w:rFonts w:eastAsia="Times New Roman" w:cs="Arial"/>
                <w:b/>
                <w:bCs/>
                <w:sz w:val="20"/>
                <w:szCs w:val="20"/>
              </w:rPr>
              <w:t>Celkem za projekt</w:t>
            </w:r>
          </w:p>
        </w:tc>
      </w:tr>
      <w:tr w:rsidR="0057110D" w:rsidRPr="009E23A6" w14:paraId="7951AD63" w14:textId="77777777" w:rsidTr="00B47867">
        <w:trPr>
          <w:trHeight w:hRule="exact" w:val="1301"/>
        </w:trPr>
        <w:tc>
          <w:tcPr>
            <w:tcW w:w="3815" w:type="dxa"/>
            <w:gridSpan w:val="2"/>
            <w:vAlign w:val="center"/>
          </w:tcPr>
          <w:p w14:paraId="453DD1E4" w14:textId="77777777" w:rsidR="0057110D" w:rsidRPr="009E23A6" w:rsidRDefault="0057110D" w:rsidP="00F4761B">
            <w:pPr>
              <w:spacing w:before="0" w:after="0"/>
              <w:rPr>
                <w:rFonts w:eastAsia="Times New Roman" w:cs="Arial"/>
                <w:b/>
                <w:sz w:val="20"/>
                <w:szCs w:val="20"/>
              </w:rPr>
            </w:pPr>
            <w:r w:rsidRPr="009E23A6">
              <w:rPr>
                <w:rFonts w:eastAsia="Times New Roman" w:cs="Arial"/>
                <w:b/>
                <w:sz w:val="20"/>
                <w:szCs w:val="20"/>
              </w:rPr>
              <w:t>1. Příjemcem pouze VO</w:t>
            </w:r>
          </w:p>
        </w:tc>
        <w:tc>
          <w:tcPr>
            <w:tcW w:w="1187" w:type="dxa"/>
            <w:vAlign w:val="center"/>
          </w:tcPr>
          <w:p w14:paraId="6FA9F556" w14:textId="77777777" w:rsidR="0057110D" w:rsidRPr="009E23A6" w:rsidRDefault="0057110D" w:rsidP="00F4761B">
            <w:pPr>
              <w:kinsoku w:val="0"/>
              <w:overflowPunct w:val="0"/>
              <w:autoSpaceDE w:val="0"/>
              <w:autoSpaceDN w:val="0"/>
              <w:adjustRightInd w:val="0"/>
              <w:spacing w:before="110" w:after="0"/>
              <w:ind w:left="35" w:right="108"/>
              <w:contextualSpacing/>
              <w:jc w:val="center"/>
              <w:rPr>
                <w:rFonts w:eastAsia="Times New Roman" w:cs="Arial"/>
                <w:b/>
                <w:bCs/>
                <w:sz w:val="20"/>
                <w:szCs w:val="20"/>
              </w:rPr>
            </w:pPr>
            <w:r w:rsidRPr="009E23A6">
              <w:rPr>
                <w:rFonts w:eastAsia="Times New Roman" w:cs="Arial"/>
                <w:b/>
                <w:bCs/>
                <w:sz w:val="20"/>
                <w:szCs w:val="20"/>
              </w:rPr>
              <w:t>-</w:t>
            </w:r>
          </w:p>
        </w:tc>
        <w:tc>
          <w:tcPr>
            <w:tcW w:w="1187" w:type="dxa"/>
            <w:vAlign w:val="center"/>
          </w:tcPr>
          <w:p w14:paraId="6635D874" w14:textId="77777777" w:rsidR="0057110D" w:rsidRPr="009E23A6" w:rsidRDefault="0057110D" w:rsidP="00F4761B">
            <w:pPr>
              <w:kinsoku w:val="0"/>
              <w:overflowPunct w:val="0"/>
              <w:autoSpaceDE w:val="0"/>
              <w:autoSpaceDN w:val="0"/>
              <w:adjustRightInd w:val="0"/>
              <w:spacing w:before="110" w:after="0"/>
              <w:ind w:left="29" w:right="113" w:firstLine="6"/>
              <w:contextualSpacing/>
              <w:jc w:val="center"/>
              <w:rPr>
                <w:rFonts w:eastAsia="Times New Roman" w:cs="Arial"/>
                <w:b/>
                <w:bCs/>
                <w:sz w:val="20"/>
                <w:szCs w:val="20"/>
              </w:rPr>
            </w:pPr>
            <w:r w:rsidRPr="009E23A6">
              <w:rPr>
                <w:rFonts w:eastAsia="Times New Roman" w:cs="Arial"/>
                <w:b/>
                <w:bCs/>
                <w:sz w:val="20"/>
                <w:szCs w:val="20"/>
              </w:rPr>
              <w:t>-</w:t>
            </w:r>
          </w:p>
        </w:tc>
        <w:tc>
          <w:tcPr>
            <w:tcW w:w="1187" w:type="dxa"/>
            <w:vAlign w:val="center"/>
          </w:tcPr>
          <w:p w14:paraId="3ABDCFDB" w14:textId="77777777" w:rsidR="0057110D" w:rsidRPr="009E23A6" w:rsidRDefault="0057110D" w:rsidP="00F4761B">
            <w:pPr>
              <w:kinsoku w:val="0"/>
              <w:overflowPunct w:val="0"/>
              <w:autoSpaceDE w:val="0"/>
              <w:autoSpaceDN w:val="0"/>
              <w:adjustRightInd w:val="0"/>
              <w:spacing w:before="110" w:after="0"/>
              <w:ind w:left="8" w:right="143" w:hanging="13"/>
              <w:contextualSpacing/>
              <w:jc w:val="center"/>
              <w:rPr>
                <w:rFonts w:eastAsia="Times New Roman" w:cs="Arial"/>
                <w:b/>
                <w:bCs/>
                <w:sz w:val="20"/>
                <w:szCs w:val="20"/>
              </w:rPr>
            </w:pPr>
            <w:r w:rsidRPr="009E23A6">
              <w:rPr>
                <w:rFonts w:eastAsia="Times New Roman" w:cs="Arial"/>
                <w:b/>
                <w:bCs/>
                <w:sz w:val="20"/>
                <w:szCs w:val="20"/>
              </w:rPr>
              <w:t>-</w:t>
            </w:r>
          </w:p>
        </w:tc>
        <w:tc>
          <w:tcPr>
            <w:tcW w:w="1187" w:type="dxa"/>
            <w:vAlign w:val="center"/>
          </w:tcPr>
          <w:p w14:paraId="1EDBC5C0" w14:textId="77777777" w:rsidR="0057110D" w:rsidRPr="009E23A6" w:rsidRDefault="0057110D" w:rsidP="00F4761B">
            <w:pPr>
              <w:kinsoku w:val="0"/>
              <w:overflowPunct w:val="0"/>
              <w:autoSpaceDE w:val="0"/>
              <w:autoSpaceDN w:val="0"/>
              <w:adjustRightInd w:val="0"/>
              <w:spacing w:before="7" w:after="0"/>
              <w:contextualSpacing/>
              <w:jc w:val="center"/>
              <w:rPr>
                <w:rFonts w:eastAsia="Times New Roman" w:cs="Arial"/>
                <w:sz w:val="20"/>
                <w:szCs w:val="20"/>
              </w:rPr>
            </w:pPr>
          </w:p>
          <w:p w14:paraId="703E0B46" w14:textId="77777777" w:rsidR="0057110D" w:rsidRPr="009E23A6" w:rsidRDefault="0057110D" w:rsidP="00F4761B">
            <w:pPr>
              <w:kinsoku w:val="0"/>
              <w:overflowPunct w:val="0"/>
              <w:autoSpaceDE w:val="0"/>
              <w:autoSpaceDN w:val="0"/>
              <w:adjustRightInd w:val="0"/>
              <w:spacing w:before="7" w:after="0"/>
              <w:contextualSpacing/>
              <w:jc w:val="center"/>
              <w:rPr>
                <w:rFonts w:eastAsia="Times New Roman" w:cs="Arial"/>
                <w:sz w:val="20"/>
                <w:szCs w:val="20"/>
              </w:rPr>
            </w:pPr>
            <w:r w:rsidRPr="009E23A6">
              <w:rPr>
                <w:rFonts w:eastAsia="Times New Roman" w:cs="Arial"/>
                <w:sz w:val="20"/>
                <w:szCs w:val="20"/>
              </w:rPr>
              <w:t>100 %</w:t>
            </w:r>
          </w:p>
        </w:tc>
        <w:tc>
          <w:tcPr>
            <w:tcW w:w="1187" w:type="dxa"/>
            <w:vAlign w:val="center"/>
          </w:tcPr>
          <w:p w14:paraId="174362EF"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bCs/>
                <w:sz w:val="20"/>
                <w:szCs w:val="20"/>
              </w:rPr>
            </w:pPr>
          </w:p>
          <w:p w14:paraId="0F3730E3"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bCs/>
                <w:sz w:val="20"/>
                <w:szCs w:val="20"/>
              </w:rPr>
            </w:pPr>
          </w:p>
          <w:p w14:paraId="535B2192"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bCs/>
                <w:sz w:val="20"/>
                <w:szCs w:val="20"/>
              </w:rPr>
            </w:pPr>
            <w:r w:rsidRPr="009E23A6">
              <w:rPr>
                <w:rFonts w:eastAsia="Times New Roman" w:cs="Arial"/>
                <w:bCs/>
                <w:sz w:val="20"/>
                <w:szCs w:val="20"/>
              </w:rPr>
              <w:t>100 %</w:t>
            </w:r>
          </w:p>
          <w:p w14:paraId="6A23C537"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bCs/>
                <w:sz w:val="20"/>
                <w:szCs w:val="20"/>
              </w:rPr>
            </w:pPr>
          </w:p>
        </w:tc>
      </w:tr>
      <w:tr w:rsidR="0057110D" w:rsidRPr="009E23A6" w14:paraId="360A5F2A" w14:textId="77777777" w:rsidTr="00B47867">
        <w:trPr>
          <w:trHeight w:hRule="exact" w:val="484"/>
        </w:trPr>
        <w:tc>
          <w:tcPr>
            <w:tcW w:w="9752" w:type="dxa"/>
            <w:gridSpan w:val="7"/>
            <w:vAlign w:val="center"/>
          </w:tcPr>
          <w:p w14:paraId="4D75AA12" w14:textId="77777777" w:rsidR="0057110D" w:rsidRPr="009E23A6" w:rsidRDefault="0057110D" w:rsidP="00F4761B">
            <w:pPr>
              <w:kinsoku w:val="0"/>
              <w:overflowPunct w:val="0"/>
              <w:autoSpaceDE w:val="0"/>
              <w:autoSpaceDN w:val="0"/>
              <w:adjustRightInd w:val="0"/>
              <w:spacing w:before="0" w:after="0"/>
              <w:contextualSpacing/>
              <w:jc w:val="left"/>
              <w:rPr>
                <w:rFonts w:eastAsia="Times New Roman" w:cs="Arial"/>
                <w:bCs/>
                <w:sz w:val="20"/>
                <w:szCs w:val="20"/>
              </w:rPr>
            </w:pPr>
            <w:r w:rsidRPr="009E23A6">
              <w:rPr>
                <w:rFonts w:eastAsia="Times New Roman" w:cs="Arial"/>
                <w:b/>
                <w:sz w:val="20"/>
                <w:szCs w:val="20"/>
              </w:rPr>
              <w:t>2. Příjemcem VO a podnik</w:t>
            </w:r>
          </w:p>
        </w:tc>
      </w:tr>
      <w:tr w:rsidR="0057110D" w:rsidRPr="009E23A6" w14:paraId="568EF3E6" w14:textId="77777777" w:rsidTr="00B47867">
        <w:trPr>
          <w:trHeight w:hRule="exact" w:val="1181"/>
        </w:trPr>
        <w:tc>
          <w:tcPr>
            <w:tcW w:w="2261" w:type="dxa"/>
            <w:vMerge w:val="restart"/>
            <w:vAlign w:val="center"/>
          </w:tcPr>
          <w:p w14:paraId="46F193F1" w14:textId="77777777" w:rsidR="0057110D" w:rsidRPr="009E23A6" w:rsidRDefault="0057110D" w:rsidP="00F4761B">
            <w:pPr>
              <w:kinsoku w:val="0"/>
              <w:overflowPunct w:val="0"/>
              <w:autoSpaceDE w:val="0"/>
              <w:autoSpaceDN w:val="0"/>
              <w:adjustRightInd w:val="0"/>
              <w:spacing w:before="150" w:after="0"/>
              <w:ind w:right="164"/>
              <w:contextualSpacing/>
              <w:jc w:val="left"/>
              <w:rPr>
                <w:rFonts w:eastAsia="Times New Roman" w:cs="Arial"/>
                <w:sz w:val="20"/>
                <w:szCs w:val="20"/>
              </w:rPr>
            </w:pPr>
            <w:r w:rsidRPr="009E23A6">
              <w:rPr>
                <w:rFonts w:eastAsia="Times New Roman" w:cs="Arial"/>
                <w:b/>
                <w:bCs/>
                <w:spacing w:val="-1"/>
                <w:w w:val="99"/>
                <w:sz w:val="20"/>
                <w:szCs w:val="20"/>
              </w:rPr>
              <w:t>Pr</w:t>
            </w:r>
            <w:r w:rsidRPr="009E23A6">
              <w:rPr>
                <w:rFonts w:eastAsia="Times New Roman" w:cs="Arial"/>
                <w:b/>
                <w:bCs/>
                <w:w w:val="99"/>
                <w:sz w:val="20"/>
                <w:szCs w:val="20"/>
              </w:rPr>
              <w:t xml:space="preserve">ůmyslový </w:t>
            </w:r>
            <w:r w:rsidRPr="009E23A6">
              <w:rPr>
                <w:rFonts w:eastAsia="Times New Roman" w:cs="Arial"/>
                <w:b/>
                <w:bCs/>
                <w:spacing w:val="-1"/>
                <w:w w:val="99"/>
                <w:sz w:val="20"/>
                <w:szCs w:val="20"/>
              </w:rPr>
              <w:t>vý</w:t>
            </w:r>
            <w:r w:rsidRPr="009E23A6">
              <w:rPr>
                <w:rFonts w:eastAsia="Times New Roman" w:cs="Arial"/>
                <w:b/>
                <w:bCs/>
                <w:spacing w:val="1"/>
                <w:w w:val="99"/>
                <w:sz w:val="20"/>
                <w:szCs w:val="20"/>
              </w:rPr>
              <w:t>z</w:t>
            </w:r>
            <w:r w:rsidRPr="009E23A6">
              <w:rPr>
                <w:rFonts w:eastAsia="Times New Roman" w:cs="Arial"/>
                <w:b/>
                <w:bCs/>
                <w:w w:val="99"/>
                <w:sz w:val="20"/>
                <w:szCs w:val="20"/>
              </w:rPr>
              <w:t>kum</w:t>
            </w:r>
          </w:p>
        </w:tc>
        <w:tc>
          <w:tcPr>
            <w:tcW w:w="1553" w:type="dxa"/>
            <w:vAlign w:val="center"/>
          </w:tcPr>
          <w:p w14:paraId="3CC55B8B" w14:textId="77777777" w:rsidR="0057110D" w:rsidRPr="009E23A6" w:rsidRDefault="0057110D" w:rsidP="00F4761B">
            <w:pPr>
              <w:kinsoku w:val="0"/>
              <w:overflowPunct w:val="0"/>
              <w:autoSpaceDE w:val="0"/>
              <w:autoSpaceDN w:val="0"/>
              <w:adjustRightInd w:val="0"/>
              <w:spacing w:before="103" w:after="0"/>
              <w:contextualSpacing/>
              <w:jc w:val="left"/>
              <w:rPr>
                <w:rFonts w:eastAsia="Times New Roman" w:cs="Arial"/>
                <w:sz w:val="20"/>
                <w:szCs w:val="20"/>
              </w:rPr>
            </w:pPr>
            <w:r w:rsidRPr="009E23A6">
              <w:rPr>
                <w:rFonts w:eastAsia="Times New Roman" w:cs="Arial"/>
                <w:bCs/>
                <w:sz w:val="20"/>
                <w:szCs w:val="20"/>
              </w:rPr>
              <w:t>při zohlednění příplatků MSP</w:t>
            </w:r>
          </w:p>
        </w:tc>
        <w:tc>
          <w:tcPr>
            <w:tcW w:w="1187" w:type="dxa"/>
            <w:vAlign w:val="center"/>
          </w:tcPr>
          <w:p w14:paraId="7A55B8E9" w14:textId="77777777" w:rsidR="0057110D" w:rsidRPr="009E23A6" w:rsidRDefault="0057110D" w:rsidP="00F4761B">
            <w:pPr>
              <w:kinsoku w:val="0"/>
              <w:overflowPunct w:val="0"/>
              <w:autoSpaceDE w:val="0"/>
              <w:autoSpaceDN w:val="0"/>
              <w:adjustRightInd w:val="0"/>
              <w:spacing w:before="105" w:after="0"/>
              <w:ind w:right="267"/>
              <w:contextualSpacing/>
              <w:jc w:val="center"/>
              <w:rPr>
                <w:rFonts w:eastAsia="Times New Roman" w:cs="Arial"/>
                <w:sz w:val="20"/>
                <w:szCs w:val="20"/>
              </w:rPr>
            </w:pPr>
            <w:r w:rsidRPr="009E23A6">
              <w:rPr>
                <w:rFonts w:eastAsia="Times New Roman" w:cs="Arial"/>
                <w:sz w:val="20"/>
                <w:szCs w:val="20"/>
              </w:rPr>
              <w:t>70 %</w:t>
            </w:r>
          </w:p>
        </w:tc>
        <w:tc>
          <w:tcPr>
            <w:tcW w:w="1187" w:type="dxa"/>
            <w:vAlign w:val="center"/>
          </w:tcPr>
          <w:p w14:paraId="45A3C58B" w14:textId="77777777" w:rsidR="0057110D" w:rsidRPr="009E23A6" w:rsidRDefault="0057110D" w:rsidP="00F4761B">
            <w:pPr>
              <w:kinsoku w:val="0"/>
              <w:overflowPunct w:val="0"/>
              <w:autoSpaceDE w:val="0"/>
              <w:autoSpaceDN w:val="0"/>
              <w:adjustRightInd w:val="0"/>
              <w:spacing w:before="105" w:after="0"/>
              <w:ind w:left="178" w:right="186"/>
              <w:contextualSpacing/>
              <w:jc w:val="center"/>
              <w:rPr>
                <w:rFonts w:eastAsia="Times New Roman" w:cs="Arial"/>
                <w:sz w:val="20"/>
                <w:szCs w:val="20"/>
              </w:rPr>
            </w:pPr>
            <w:r w:rsidRPr="009E23A6">
              <w:rPr>
                <w:rFonts w:eastAsia="Times New Roman" w:cs="Arial"/>
                <w:sz w:val="20"/>
                <w:szCs w:val="20"/>
              </w:rPr>
              <w:t>60 %</w:t>
            </w:r>
          </w:p>
        </w:tc>
        <w:tc>
          <w:tcPr>
            <w:tcW w:w="1187" w:type="dxa"/>
            <w:vAlign w:val="center"/>
          </w:tcPr>
          <w:p w14:paraId="36DE4BED" w14:textId="77777777" w:rsidR="0057110D" w:rsidRPr="009E23A6" w:rsidRDefault="0057110D" w:rsidP="00F4761B">
            <w:pPr>
              <w:kinsoku w:val="0"/>
              <w:overflowPunct w:val="0"/>
              <w:autoSpaceDE w:val="0"/>
              <w:autoSpaceDN w:val="0"/>
              <w:adjustRightInd w:val="0"/>
              <w:spacing w:before="105" w:after="0"/>
              <w:ind w:left="134" w:right="137"/>
              <w:contextualSpacing/>
              <w:jc w:val="center"/>
              <w:rPr>
                <w:rFonts w:eastAsia="Times New Roman" w:cs="Arial"/>
                <w:sz w:val="20"/>
                <w:szCs w:val="20"/>
              </w:rPr>
            </w:pPr>
            <w:r w:rsidRPr="009E23A6">
              <w:rPr>
                <w:rFonts w:eastAsia="Times New Roman" w:cs="Arial"/>
                <w:sz w:val="20"/>
                <w:szCs w:val="20"/>
              </w:rPr>
              <w:t>50 %</w:t>
            </w:r>
          </w:p>
        </w:tc>
        <w:tc>
          <w:tcPr>
            <w:tcW w:w="1187" w:type="dxa"/>
            <w:vMerge w:val="restart"/>
            <w:vAlign w:val="center"/>
          </w:tcPr>
          <w:p w14:paraId="09138231"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p>
          <w:p w14:paraId="4C764307" w14:textId="77777777" w:rsidR="0057110D" w:rsidRPr="009E23A6" w:rsidRDefault="0057110D" w:rsidP="00F4761B">
            <w:pPr>
              <w:kinsoku w:val="0"/>
              <w:overflowPunct w:val="0"/>
              <w:autoSpaceDE w:val="0"/>
              <w:autoSpaceDN w:val="0"/>
              <w:adjustRightInd w:val="0"/>
              <w:spacing w:before="135" w:after="0"/>
              <w:contextualSpacing/>
              <w:jc w:val="center"/>
              <w:rPr>
                <w:rFonts w:eastAsia="Times New Roman" w:cs="Arial"/>
                <w:sz w:val="20"/>
                <w:szCs w:val="20"/>
              </w:rPr>
            </w:pPr>
            <w:r w:rsidRPr="009E23A6">
              <w:rPr>
                <w:rFonts w:eastAsia="Times New Roman" w:cs="Arial"/>
                <w:sz w:val="20"/>
                <w:szCs w:val="20"/>
              </w:rPr>
              <w:t>100 %</w:t>
            </w:r>
          </w:p>
        </w:tc>
        <w:tc>
          <w:tcPr>
            <w:tcW w:w="1187" w:type="dxa"/>
            <w:vMerge w:val="restart"/>
            <w:vAlign w:val="center"/>
          </w:tcPr>
          <w:p w14:paraId="6FF64A58"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r w:rsidRPr="009E23A6">
              <w:rPr>
                <w:rFonts w:eastAsia="Times New Roman" w:cs="Arial"/>
                <w:sz w:val="20"/>
                <w:szCs w:val="20"/>
              </w:rPr>
              <w:t>-</w:t>
            </w:r>
          </w:p>
        </w:tc>
      </w:tr>
      <w:tr w:rsidR="0057110D" w:rsidRPr="009E23A6" w14:paraId="131B58C6" w14:textId="77777777" w:rsidTr="00B47867">
        <w:trPr>
          <w:trHeight w:hRule="exact" w:val="1378"/>
        </w:trPr>
        <w:tc>
          <w:tcPr>
            <w:tcW w:w="2261" w:type="dxa"/>
            <w:vMerge/>
            <w:textDirection w:val="btLr"/>
          </w:tcPr>
          <w:p w14:paraId="452FA7FB" w14:textId="77777777" w:rsidR="0057110D" w:rsidRPr="009E23A6" w:rsidRDefault="0057110D" w:rsidP="00F4761B">
            <w:pPr>
              <w:kinsoku w:val="0"/>
              <w:overflowPunct w:val="0"/>
              <w:autoSpaceDE w:val="0"/>
              <w:autoSpaceDN w:val="0"/>
              <w:adjustRightInd w:val="0"/>
              <w:spacing w:before="135" w:after="0"/>
              <w:ind w:left="261"/>
              <w:contextualSpacing/>
              <w:jc w:val="left"/>
              <w:rPr>
                <w:rFonts w:eastAsia="Times New Roman" w:cs="Arial"/>
                <w:sz w:val="20"/>
                <w:szCs w:val="20"/>
              </w:rPr>
            </w:pPr>
          </w:p>
        </w:tc>
        <w:tc>
          <w:tcPr>
            <w:tcW w:w="1553" w:type="dxa"/>
            <w:vAlign w:val="center"/>
          </w:tcPr>
          <w:p w14:paraId="504C1176" w14:textId="0216FE8B" w:rsidR="0057110D" w:rsidRPr="009E23A6" w:rsidRDefault="0057110D" w:rsidP="00F4761B">
            <w:pPr>
              <w:kinsoku w:val="0"/>
              <w:overflowPunct w:val="0"/>
              <w:autoSpaceDE w:val="0"/>
              <w:autoSpaceDN w:val="0"/>
              <w:adjustRightInd w:val="0"/>
              <w:spacing w:before="40" w:after="0"/>
              <w:ind w:right="253"/>
              <w:contextualSpacing/>
              <w:jc w:val="left"/>
              <w:rPr>
                <w:rFonts w:eastAsia="Times New Roman" w:cs="Arial"/>
                <w:sz w:val="20"/>
                <w:szCs w:val="20"/>
              </w:rPr>
            </w:pPr>
            <w:r w:rsidRPr="009E23A6">
              <w:rPr>
                <w:rFonts w:eastAsia="Times New Roman" w:cs="Arial"/>
                <w:bCs/>
                <w:sz w:val="20"/>
                <w:szCs w:val="20"/>
              </w:rPr>
              <w:t>při doložení účinné spolupráce s</w:t>
            </w:r>
            <w:r w:rsidR="0027768B" w:rsidRPr="009E23A6">
              <w:rPr>
                <w:rFonts w:eastAsia="Times New Roman" w:cs="Arial"/>
                <w:bCs/>
                <w:sz w:val="20"/>
                <w:szCs w:val="20"/>
              </w:rPr>
              <w:t> </w:t>
            </w:r>
            <w:r w:rsidRPr="009E23A6">
              <w:rPr>
                <w:rFonts w:eastAsia="Times New Roman" w:cs="Arial"/>
                <w:bCs/>
                <w:sz w:val="20"/>
                <w:szCs w:val="20"/>
              </w:rPr>
              <w:t>VO</w:t>
            </w:r>
            <w:r w:rsidR="0027768B" w:rsidRPr="009E23A6">
              <w:rPr>
                <w:rFonts w:eastAsia="Times New Roman" w:cs="Arial"/>
                <w:bCs/>
                <w:sz w:val="20"/>
                <w:szCs w:val="20"/>
              </w:rPr>
              <w:t xml:space="preserve"> ***</w:t>
            </w:r>
          </w:p>
        </w:tc>
        <w:tc>
          <w:tcPr>
            <w:tcW w:w="1187" w:type="dxa"/>
            <w:vAlign w:val="center"/>
          </w:tcPr>
          <w:p w14:paraId="1146CE70" w14:textId="77777777" w:rsidR="0057110D" w:rsidRPr="009E23A6" w:rsidRDefault="0057110D" w:rsidP="00F4761B">
            <w:pPr>
              <w:kinsoku w:val="0"/>
              <w:overflowPunct w:val="0"/>
              <w:autoSpaceDE w:val="0"/>
              <w:autoSpaceDN w:val="0"/>
              <w:adjustRightInd w:val="0"/>
              <w:spacing w:before="160" w:after="0"/>
              <w:ind w:right="267"/>
              <w:contextualSpacing/>
              <w:jc w:val="center"/>
              <w:rPr>
                <w:rFonts w:eastAsia="Times New Roman" w:cs="Arial"/>
                <w:sz w:val="20"/>
                <w:szCs w:val="20"/>
              </w:rPr>
            </w:pPr>
            <w:r w:rsidRPr="009E23A6">
              <w:rPr>
                <w:rFonts w:eastAsia="Times New Roman" w:cs="Arial"/>
                <w:sz w:val="20"/>
                <w:szCs w:val="20"/>
              </w:rPr>
              <w:t>80 %</w:t>
            </w:r>
          </w:p>
        </w:tc>
        <w:tc>
          <w:tcPr>
            <w:tcW w:w="1187" w:type="dxa"/>
            <w:vAlign w:val="center"/>
          </w:tcPr>
          <w:p w14:paraId="646A47BF" w14:textId="77777777" w:rsidR="0057110D" w:rsidRPr="009E23A6" w:rsidRDefault="0057110D" w:rsidP="00F4761B">
            <w:pPr>
              <w:kinsoku w:val="0"/>
              <w:overflowPunct w:val="0"/>
              <w:autoSpaceDE w:val="0"/>
              <w:autoSpaceDN w:val="0"/>
              <w:adjustRightInd w:val="0"/>
              <w:spacing w:before="160" w:after="0"/>
              <w:ind w:left="178" w:right="186"/>
              <w:contextualSpacing/>
              <w:jc w:val="center"/>
              <w:rPr>
                <w:rFonts w:eastAsia="Times New Roman" w:cs="Arial"/>
                <w:sz w:val="20"/>
                <w:szCs w:val="20"/>
              </w:rPr>
            </w:pPr>
            <w:r w:rsidRPr="009E23A6">
              <w:rPr>
                <w:rFonts w:eastAsia="Times New Roman" w:cs="Arial"/>
                <w:sz w:val="20"/>
                <w:szCs w:val="20"/>
              </w:rPr>
              <w:t>75 %</w:t>
            </w:r>
          </w:p>
        </w:tc>
        <w:tc>
          <w:tcPr>
            <w:tcW w:w="1187" w:type="dxa"/>
            <w:vAlign w:val="center"/>
          </w:tcPr>
          <w:p w14:paraId="5C4F58E8" w14:textId="77777777" w:rsidR="0057110D" w:rsidRPr="009E23A6" w:rsidRDefault="0057110D" w:rsidP="00F4761B">
            <w:pPr>
              <w:kinsoku w:val="0"/>
              <w:overflowPunct w:val="0"/>
              <w:autoSpaceDE w:val="0"/>
              <w:autoSpaceDN w:val="0"/>
              <w:adjustRightInd w:val="0"/>
              <w:spacing w:before="160" w:after="0"/>
              <w:ind w:left="134" w:right="137"/>
              <w:contextualSpacing/>
              <w:jc w:val="center"/>
              <w:rPr>
                <w:rFonts w:eastAsia="Times New Roman" w:cs="Arial"/>
                <w:sz w:val="20"/>
                <w:szCs w:val="20"/>
              </w:rPr>
            </w:pPr>
            <w:r w:rsidRPr="009E23A6">
              <w:rPr>
                <w:rFonts w:eastAsia="Times New Roman" w:cs="Arial"/>
                <w:sz w:val="20"/>
                <w:szCs w:val="20"/>
              </w:rPr>
              <w:t>65 %</w:t>
            </w:r>
          </w:p>
        </w:tc>
        <w:tc>
          <w:tcPr>
            <w:tcW w:w="1187" w:type="dxa"/>
            <w:vMerge/>
            <w:vAlign w:val="center"/>
          </w:tcPr>
          <w:p w14:paraId="6B12930C" w14:textId="77777777" w:rsidR="0057110D" w:rsidRPr="009E23A6" w:rsidRDefault="0057110D" w:rsidP="00F4761B">
            <w:pPr>
              <w:kinsoku w:val="0"/>
              <w:overflowPunct w:val="0"/>
              <w:autoSpaceDE w:val="0"/>
              <w:autoSpaceDN w:val="0"/>
              <w:adjustRightInd w:val="0"/>
              <w:spacing w:before="160" w:after="0"/>
              <w:ind w:left="134" w:right="137"/>
              <w:contextualSpacing/>
              <w:jc w:val="left"/>
              <w:rPr>
                <w:rFonts w:eastAsia="Times New Roman" w:cs="Arial"/>
                <w:sz w:val="20"/>
                <w:szCs w:val="20"/>
              </w:rPr>
            </w:pPr>
          </w:p>
        </w:tc>
        <w:tc>
          <w:tcPr>
            <w:tcW w:w="1187" w:type="dxa"/>
            <w:vMerge/>
          </w:tcPr>
          <w:p w14:paraId="42A01A3C" w14:textId="77777777" w:rsidR="0057110D" w:rsidRPr="009E23A6" w:rsidRDefault="0057110D" w:rsidP="00F4761B">
            <w:pPr>
              <w:kinsoku w:val="0"/>
              <w:overflowPunct w:val="0"/>
              <w:autoSpaceDE w:val="0"/>
              <w:autoSpaceDN w:val="0"/>
              <w:adjustRightInd w:val="0"/>
              <w:spacing w:before="160" w:after="0"/>
              <w:ind w:left="134" w:right="137"/>
              <w:contextualSpacing/>
              <w:jc w:val="left"/>
              <w:rPr>
                <w:rFonts w:eastAsia="Times New Roman" w:cs="Arial"/>
                <w:sz w:val="20"/>
                <w:szCs w:val="20"/>
              </w:rPr>
            </w:pPr>
          </w:p>
        </w:tc>
      </w:tr>
      <w:tr w:rsidR="0057110D" w:rsidRPr="009E23A6" w14:paraId="34E02210" w14:textId="77777777" w:rsidTr="00B47867">
        <w:trPr>
          <w:trHeight w:hRule="exact" w:val="1084"/>
        </w:trPr>
        <w:tc>
          <w:tcPr>
            <w:tcW w:w="2261" w:type="dxa"/>
            <w:vMerge w:val="restart"/>
            <w:vAlign w:val="center"/>
          </w:tcPr>
          <w:p w14:paraId="1B2969C4" w14:textId="77777777" w:rsidR="0057110D" w:rsidRPr="009E23A6" w:rsidRDefault="0057110D" w:rsidP="00F4761B">
            <w:pPr>
              <w:kinsoku w:val="0"/>
              <w:overflowPunct w:val="0"/>
              <w:autoSpaceDE w:val="0"/>
              <w:autoSpaceDN w:val="0"/>
              <w:adjustRightInd w:val="0"/>
              <w:spacing w:before="0" w:after="0"/>
              <w:ind w:right="134"/>
              <w:contextualSpacing/>
              <w:jc w:val="left"/>
              <w:rPr>
                <w:rFonts w:eastAsia="Times New Roman" w:cs="Arial"/>
                <w:b/>
                <w:bCs/>
                <w:w w:val="99"/>
                <w:sz w:val="20"/>
                <w:szCs w:val="20"/>
              </w:rPr>
            </w:pPr>
            <w:r w:rsidRPr="009E23A6">
              <w:rPr>
                <w:rFonts w:eastAsia="Times New Roman" w:cs="Arial"/>
                <w:b/>
                <w:bCs/>
                <w:spacing w:val="-1"/>
                <w:w w:val="99"/>
                <w:sz w:val="20"/>
                <w:szCs w:val="20"/>
              </w:rPr>
              <w:t>E</w:t>
            </w:r>
            <w:r w:rsidRPr="009E23A6">
              <w:rPr>
                <w:rFonts w:eastAsia="Times New Roman" w:cs="Arial"/>
                <w:b/>
                <w:bCs/>
                <w:w w:val="99"/>
                <w:sz w:val="20"/>
                <w:szCs w:val="20"/>
              </w:rPr>
              <w:t>xp</w:t>
            </w:r>
            <w:r w:rsidRPr="009E23A6">
              <w:rPr>
                <w:rFonts w:eastAsia="Times New Roman" w:cs="Arial"/>
                <w:b/>
                <w:bCs/>
                <w:spacing w:val="2"/>
                <w:w w:val="99"/>
                <w:sz w:val="20"/>
                <w:szCs w:val="20"/>
              </w:rPr>
              <w:t>e</w:t>
            </w:r>
            <w:r w:rsidRPr="009E23A6">
              <w:rPr>
                <w:rFonts w:eastAsia="Times New Roman" w:cs="Arial"/>
                <w:b/>
                <w:bCs/>
                <w:spacing w:val="-1"/>
                <w:w w:val="99"/>
                <w:sz w:val="20"/>
                <w:szCs w:val="20"/>
              </w:rPr>
              <w:t>r</w:t>
            </w:r>
            <w:r w:rsidRPr="009E23A6">
              <w:rPr>
                <w:rFonts w:eastAsia="Times New Roman" w:cs="Arial"/>
                <w:b/>
                <w:bCs/>
                <w:w w:val="99"/>
                <w:sz w:val="20"/>
                <w:szCs w:val="20"/>
              </w:rPr>
              <w:t>imentální</w:t>
            </w:r>
          </w:p>
          <w:p w14:paraId="1ECB42C5" w14:textId="77777777" w:rsidR="0057110D" w:rsidRPr="009E23A6" w:rsidRDefault="0057110D" w:rsidP="00F4761B">
            <w:pPr>
              <w:kinsoku w:val="0"/>
              <w:overflowPunct w:val="0"/>
              <w:autoSpaceDE w:val="0"/>
              <w:autoSpaceDN w:val="0"/>
              <w:adjustRightInd w:val="0"/>
              <w:spacing w:before="0" w:after="0"/>
              <w:ind w:right="134"/>
              <w:contextualSpacing/>
              <w:jc w:val="left"/>
              <w:rPr>
                <w:rFonts w:eastAsia="Times New Roman" w:cs="Arial"/>
                <w:b/>
                <w:bCs/>
                <w:w w:val="99"/>
                <w:sz w:val="20"/>
                <w:szCs w:val="20"/>
              </w:rPr>
            </w:pPr>
            <w:r w:rsidRPr="009E23A6">
              <w:rPr>
                <w:rFonts w:eastAsia="Times New Roman" w:cs="Arial"/>
                <w:b/>
                <w:bCs/>
                <w:w w:val="99"/>
                <w:sz w:val="20"/>
                <w:szCs w:val="20"/>
              </w:rPr>
              <w:t>vývoj</w:t>
            </w:r>
          </w:p>
          <w:p w14:paraId="76CD4CBD" w14:textId="77777777" w:rsidR="0057110D" w:rsidRPr="009E23A6" w:rsidRDefault="0057110D" w:rsidP="00F4761B">
            <w:pPr>
              <w:kinsoku w:val="0"/>
              <w:overflowPunct w:val="0"/>
              <w:autoSpaceDE w:val="0"/>
              <w:autoSpaceDN w:val="0"/>
              <w:adjustRightInd w:val="0"/>
              <w:spacing w:before="150" w:after="0"/>
              <w:ind w:right="134"/>
              <w:contextualSpacing/>
              <w:jc w:val="left"/>
              <w:rPr>
                <w:rFonts w:eastAsia="Times New Roman" w:cs="Arial"/>
                <w:sz w:val="20"/>
                <w:szCs w:val="20"/>
              </w:rPr>
            </w:pPr>
          </w:p>
        </w:tc>
        <w:tc>
          <w:tcPr>
            <w:tcW w:w="1553" w:type="dxa"/>
            <w:vAlign w:val="center"/>
          </w:tcPr>
          <w:p w14:paraId="3D05F24F" w14:textId="77777777" w:rsidR="0057110D" w:rsidRPr="009E23A6" w:rsidRDefault="0057110D" w:rsidP="00F4761B">
            <w:pPr>
              <w:kinsoku w:val="0"/>
              <w:overflowPunct w:val="0"/>
              <w:autoSpaceDE w:val="0"/>
              <w:autoSpaceDN w:val="0"/>
              <w:adjustRightInd w:val="0"/>
              <w:spacing w:before="101" w:after="0"/>
              <w:contextualSpacing/>
              <w:jc w:val="left"/>
              <w:rPr>
                <w:rFonts w:eastAsia="Times New Roman" w:cs="Arial"/>
                <w:sz w:val="20"/>
                <w:szCs w:val="20"/>
              </w:rPr>
            </w:pPr>
            <w:r w:rsidRPr="009E23A6">
              <w:rPr>
                <w:rFonts w:eastAsia="Times New Roman" w:cs="Arial"/>
                <w:bCs/>
                <w:sz w:val="20"/>
                <w:szCs w:val="20"/>
              </w:rPr>
              <w:t>při zohlednění příplatků MSP</w:t>
            </w:r>
          </w:p>
        </w:tc>
        <w:tc>
          <w:tcPr>
            <w:tcW w:w="1187" w:type="dxa"/>
            <w:vAlign w:val="center"/>
          </w:tcPr>
          <w:p w14:paraId="282DA016" w14:textId="77777777" w:rsidR="0057110D" w:rsidRPr="009E23A6" w:rsidRDefault="0057110D" w:rsidP="00F4761B">
            <w:pPr>
              <w:kinsoku w:val="0"/>
              <w:overflowPunct w:val="0"/>
              <w:autoSpaceDE w:val="0"/>
              <w:autoSpaceDN w:val="0"/>
              <w:adjustRightInd w:val="0"/>
              <w:spacing w:before="103" w:after="0"/>
              <w:ind w:right="267"/>
              <w:contextualSpacing/>
              <w:jc w:val="center"/>
              <w:rPr>
                <w:rFonts w:eastAsia="Times New Roman" w:cs="Arial"/>
                <w:sz w:val="20"/>
                <w:szCs w:val="20"/>
              </w:rPr>
            </w:pPr>
            <w:r w:rsidRPr="009E23A6">
              <w:rPr>
                <w:rFonts w:eastAsia="Times New Roman" w:cs="Arial"/>
                <w:sz w:val="20"/>
                <w:szCs w:val="20"/>
              </w:rPr>
              <w:t>45 %</w:t>
            </w:r>
          </w:p>
        </w:tc>
        <w:tc>
          <w:tcPr>
            <w:tcW w:w="1187" w:type="dxa"/>
            <w:vAlign w:val="center"/>
          </w:tcPr>
          <w:p w14:paraId="7963283B" w14:textId="77777777" w:rsidR="0057110D" w:rsidRPr="009E23A6" w:rsidRDefault="0057110D" w:rsidP="00F4761B">
            <w:pPr>
              <w:kinsoku w:val="0"/>
              <w:overflowPunct w:val="0"/>
              <w:autoSpaceDE w:val="0"/>
              <w:autoSpaceDN w:val="0"/>
              <w:adjustRightInd w:val="0"/>
              <w:spacing w:before="103" w:after="0"/>
              <w:ind w:left="178" w:right="186"/>
              <w:contextualSpacing/>
              <w:jc w:val="center"/>
              <w:rPr>
                <w:rFonts w:eastAsia="Times New Roman" w:cs="Arial"/>
                <w:sz w:val="20"/>
                <w:szCs w:val="20"/>
              </w:rPr>
            </w:pPr>
            <w:r w:rsidRPr="009E23A6">
              <w:rPr>
                <w:rFonts w:eastAsia="Times New Roman" w:cs="Arial"/>
                <w:sz w:val="20"/>
                <w:szCs w:val="20"/>
              </w:rPr>
              <w:t>35 %</w:t>
            </w:r>
          </w:p>
        </w:tc>
        <w:tc>
          <w:tcPr>
            <w:tcW w:w="1187" w:type="dxa"/>
            <w:vAlign w:val="center"/>
          </w:tcPr>
          <w:p w14:paraId="6C0B6122" w14:textId="77777777" w:rsidR="0057110D" w:rsidRPr="009E23A6" w:rsidRDefault="0057110D" w:rsidP="00F4761B">
            <w:pPr>
              <w:kinsoku w:val="0"/>
              <w:overflowPunct w:val="0"/>
              <w:autoSpaceDE w:val="0"/>
              <w:autoSpaceDN w:val="0"/>
              <w:adjustRightInd w:val="0"/>
              <w:spacing w:before="103" w:after="0"/>
              <w:ind w:left="134" w:right="137"/>
              <w:contextualSpacing/>
              <w:jc w:val="center"/>
              <w:rPr>
                <w:rFonts w:eastAsia="Times New Roman" w:cs="Arial"/>
                <w:sz w:val="20"/>
                <w:szCs w:val="20"/>
              </w:rPr>
            </w:pPr>
            <w:r w:rsidRPr="009E23A6">
              <w:rPr>
                <w:rFonts w:eastAsia="Times New Roman" w:cs="Arial"/>
                <w:sz w:val="20"/>
                <w:szCs w:val="20"/>
              </w:rPr>
              <w:t>25 %</w:t>
            </w:r>
          </w:p>
        </w:tc>
        <w:tc>
          <w:tcPr>
            <w:tcW w:w="1187" w:type="dxa"/>
            <w:vMerge w:val="restart"/>
            <w:vAlign w:val="center"/>
          </w:tcPr>
          <w:p w14:paraId="0B9A3F61"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p>
          <w:p w14:paraId="377E209D" w14:textId="77777777" w:rsidR="0057110D" w:rsidRPr="009E23A6" w:rsidRDefault="0057110D" w:rsidP="00F4761B">
            <w:pPr>
              <w:kinsoku w:val="0"/>
              <w:overflowPunct w:val="0"/>
              <w:autoSpaceDE w:val="0"/>
              <w:autoSpaceDN w:val="0"/>
              <w:adjustRightInd w:val="0"/>
              <w:spacing w:before="174" w:after="0"/>
              <w:contextualSpacing/>
              <w:jc w:val="center"/>
              <w:rPr>
                <w:rFonts w:eastAsia="Times New Roman" w:cs="Arial"/>
                <w:sz w:val="20"/>
                <w:szCs w:val="20"/>
              </w:rPr>
            </w:pPr>
            <w:r w:rsidRPr="009E23A6">
              <w:rPr>
                <w:rFonts w:eastAsia="Times New Roman" w:cs="Arial"/>
                <w:sz w:val="20"/>
                <w:szCs w:val="20"/>
              </w:rPr>
              <w:t>100 %</w:t>
            </w:r>
          </w:p>
        </w:tc>
        <w:tc>
          <w:tcPr>
            <w:tcW w:w="1187" w:type="dxa"/>
            <w:vMerge w:val="restart"/>
            <w:vAlign w:val="center"/>
          </w:tcPr>
          <w:p w14:paraId="7CB5FF99"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p>
          <w:p w14:paraId="6D1B853E"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p>
          <w:p w14:paraId="53D394AE"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r w:rsidRPr="009E23A6">
              <w:rPr>
                <w:rFonts w:eastAsia="Times New Roman" w:cs="Arial"/>
                <w:sz w:val="20"/>
                <w:szCs w:val="20"/>
              </w:rPr>
              <w:t>-</w:t>
            </w:r>
          </w:p>
          <w:p w14:paraId="76FBCC78" w14:textId="77777777" w:rsidR="0057110D" w:rsidRPr="009E23A6" w:rsidRDefault="0057110D" w:rsidP="00F4761B">
            <w:pPr>
              <w:kinsoku w:val="0"/>
              <w:overflowPunct w:val="0"/>
              <w:autoSpaceDE w:val="0"/>
              <w:autoSpaceDN w:val="0"/>
              <w:adjustRightInd w:val="0"/>
              <w:spacing w:before="0" w:after="0"/>
              <w:contextualSpacing/>
              <w:jc w:val="center"/>
              <w:rPr>
                <w:rFonts w:eastAsia="Times New Roman" w:cs="Arial"/>
                <w:sz w:val="20"/>
                <w:szCs w:val="20"/>
              </w:rPr>
            </w:pPr>
          </w:p>
        </w:tc>
      </w:tr>
      <w:tr w:rsidR="0057110D" w:rsidRPr="009E23A6" w14:paraId="4402FF61" w14:textId="77777777" w:rsidTr="00B47867">
        <w:trPr>
          <w:trHeight w:hRule="exact" w:val="1324"/>
        </w:trPr>
        <w:tc>
          <w:tcPr>
            <w:tcW w:w="2261" w:type="dxa"/>
            <w:vMerge/>
            <w:textDirection w:val="btLr"/>
          </w:tcPr>
          <w:p w14:paraId="15878D11" w14:textId="77777777" w:rsidR="0057110D" w:rsidRPr="009E23A6" w:rsidRDefault="0057110D" w:rsidP="00F4761B">
            <w:pPr>
              <w:kinsoku w:val="0"/>
              <w:overflowPunct w:val="0"/>
              <w:autoSpaceDE w:val="0"/>
              <w:autoSpaceDN w:val="0"/>
              <w:adjustRightInd w:val="0"/>
              <w:spacing w:before="174" w:after="0"/>
              <w:ind w:left="261"/>
              <w:contextualSpacing/>
              <w:jc w:val="left"/>
              <w:rPr>
                <w:rFonts w:eastAsia="Times New Roman" w:cs="Arial"/>
                <w:sz w:val="20"/>
                <w:szCs w:val="20"/>
              </w:rPr>
            </w:pPr>
          </w:p>
        </w:tc>
        <w:tc>
          <w:tcPr>
            <w:tcW w:w="1553" w:type="dxa"/>
            <w:vAlign w:val="center"/>
          </w:tcPr>
          <w:p w14:paraId="0C3B8312" w14:textId="472FBA0A" w:rsidR="0057110D" w:rsidRPr="009E23A6" w:rsidRDefault="0057110D" w:rsidP="00F4761B">
            <w:pPr>
              <w:kinsoku w:val="0"/>
              <w:overflowPunct w:val="0"/>
              <w:autoSpaceDE w:val="0"/>
              <w:autoSpaceDN w:val="0"/>
              <w:adjustRightInd w:val="0"/>
              <w:spacing w:before="83" w:after="0"/>
              <w:ind w:right="253"/>
              <w:contextualSpacing/>
              <w:jc w:val="left"/>
              <w:rPr>
                <w:rFonts w:eastAsia="Times New Roman" w:cs="Arial"/>
                <w:sz w:val="20"/>
                <w:szCs w:val="20"/>
              </w:rPr>
            </w:pPr>
            <w:r w:rsidRPr="009E23A6">
              <w:rPr>
                <w:rFonts w:eastAsia="Times New Roman" w:cs="Arial"/>
                <w:bCs/>
                <w:sz w:val="20"/>
                <w:szCs w:val="20"/>
              </w:rPr>
              <w:t>při doložení účinné spolupráce s</w:t>
            </w:r>
            <w:r w:rsidR="0027768B" w:rsidRPr="009E23A6">
              <w:rPr>
                <w:rFonts w:eastAsia="Times New Roman" w:cs="Arial"/>
                <w:bCs/>
                <w:sz w:val="20"/>
                <w:szCs w:val="20"/>
              </w:rPr>
              <w:t> </w:t>
            </w:r>
            <w:r w:rsidRPr="009E23A6">
              <w:rPr>
                <w:rFonts w:eastAsia="Times New Roman" w:cs="Arial"/>
                <w:bCs/>
                <w:sz w:val="20"/>
                <w:szCs w:val="20"/>
              </w:rPr>
              <w:t>VO</w:t>
            </w:r>
            <w:r w:rsidR="0027768B" w:rsidRPr="009E23A6">
              <w:rPr>
                <w:rFonts w:eastAsia="Times New Roman" w:cs="Arial"/>
                <w:bCs/>
                <w:sz w:val="20"/>
                <w:szCs w:val="20"/>
              </w:rPr>
              <w:t xml:space="preserve"> ***</w:t>
            </w:r>
          </w:p>
        </w:tc>
        <w:tc>
          <w:tcPr>
            <w:tcW w:w="1187" w:type="dxa"/>
            <w:vAlign w:val="center"/>
          </w:tcPr>
          <w:p w14:paraId="621FFE5D" w14:textId="77777777" w:rsidR="0057110D" w:rsidRPr="009E23A6" w:rsidRDefault="0057110D" w:rsidP="00F4761B">
            <w:pPr>
              <w:kinsoku w:val="0"/>
              <w:overflowPunct w:val="0"/>
              <w:autoSpaceDE w:val="0"/>
              <w:autoSpaceDN w:val="0"/>
              <w:adjustRightInd w:val="0"/>
              <w:spacing w:before="5" w:after="0"/>
              <w:contextualSpacing/>
              <w:jc w:val="center"/>
              <w:rPr>
                <w:rFonts w:eastAsia="Times New Roman" w:cs="Arial"/>
                <w:sz w:val="20"/>
                <w:szCs w:val="20"/>
              </w:rPr>
            </w:pPr>
          </w:p>
          <w:p w14:paraId="006E11CD" w14:textId="77777777" w:rsidR="0057110D" w:rsidRPr="009E23A6" w:rsidRDefault="0057110D" w:rsidP="00F4761B">
            <w:pPr>
              <w:kinsoku w:val="0"/>
              <w:overflowPunct w:val="0"/>
              <w:autoSpaceDE w:val="0"/>
              <w:autoSpaceDN w:val="0"/>
              <w:adjustRightInd w:val="0"/>
              <w:spacing w:before="0" w:after="0"/>
              <w:ind w:right="267"/>
              <w:contextualSpacing/>
              <w:jc w:val="center"/>
              <w:rPr>
                <w:rFonts w:eastAsia="Times New Roman" w:cs="Arial"/>
                <w:sz w:val="20"/>
                <w:szCs w:val="20"/>
              </w:rPr>
            </w:pPr>
            <w:r w:rsidRPr="009E23A6">
              <w:rPr>
                <w:rFonts w:eastAsia="Times New Roman" w:cs="Arial"/>
                <w:sz w:val="20"/>
                <w:szCs w:val="20"/>
              </w:rPr>
              <w:t>60 %</w:t>
            </w:r>
          </w:p>
        </w:tc>
        <w:tc>
          <w:tcPr>
            <w:tcW w:w="1187" w:type="dxa"/>
            <w:vAlign w:val="center"/>
          </w:tcPr>
          <w:p w14:paraId="19AD9B0D" w14:textId="77777777" w:rsidR="0057110D" w:rsidRPr="009E23A6" w:rsidRDefault="0057110D" w:rsidP="00F4761B">
            <w:pPr>
              <w:kinsoku w:val="0"/>
              <w:overflowPunct w:val="0"/>
              <w:autoSpaceDE w:val="0"/>
              <w:autoSpaceDN w:val="0"/>
              <w:adjustRightInd w:val="0"/>
              <w:spacing w:before="5" w:after="0"/>
              <w:contextualSpacing/>
              <w:jc w:val="center"/>
              <w:rPr>
                <w:rFonts w:eastAsia="Times New Roman" w:cs="Arial"/>
                <w:sz w:val="20"/>
                <w:szCs w:val="20"/>
              </w:rPr>
            </w:pPr>
          </w:p>
          <w:p w14:paraId="3421F055" w14:textId="77777777" w:rsidR="0057110D" w:rsidRPr="009E23A6" w:rsidRDefault="0057110D" w:rsidP="00F4761B">
            <w:pPr>
              <w:kinsoku w:val="0"/>
              <w:overflowPunct w:val="0"/>
              <w:autoSpaceDE w:val="0"/>
              <w:autoSpaceDN w:val="0"/>
              <w:adjustRightInd w:val="0"/>
              <w:spacing w:before="0" w:after="0"/>
              <w:ind w:left="178" w:right="186"/>
              <w:contextualSpacing/>
              <w:jc w:val="center"/>
              <w:rPr>
                <w:rFonts w:eastAsia="Times New Roman" w:cs="Arial"/>
                <w:sz w:val="20"/>
                <w:szCs w:val="20"/>
              </w:rPr>
            </w:pPr>
            <w:r w:rsidRPr="009E23A6">
              <w:rPr>
                <w:rFonts w:eastAsia="Times New Roman" w:cs="Arial"/>
                <w:sz w:val="20"/>
                <w:szCs w:val="20"/>
              </w:rPr>
              <w:t>50 %</w:t>
            </w:r>
          </w:p>
        </w:tc>
        <w:tc>
          <w:tcPr>
            <w:tcW w:w="1187" w:type="dxa"/>
            <w:vAlign w:val="center"/>
          </w:tcPr>
          <w:p w14:paraId="150DAB1C" w14:textId="77777777" w:rsidR="0057110D" w:rsidRPr="009E23A6" w:rsidRDefault="0057110D" w:rsidP="00F4761B">
            <w:pPr>
              <w:kinsoku w:val="0"/>
              <w:overflowPunct w:val="0"/>
              <w:autoSpaceDE w:val="0"/>
              <w:autoSpaceDN w:val="0"/>
              <w:adjustRightInd w:val="0"/>
              <w:spacing w:before="5" w:after="0"/>
              <w:contextualSpacing/>
              <w:jc w:val="center"/>
              <w:rPr>
                <w:rFonts w:eastAsia="Times New Roman" w:cs="Arial"/>
                <w:sz w:val="20"/>
                <w:szCs w:val="20"/>
              </w:rPr>
            </w:pPr>
          </w:p>
          <w:p w14:paraId="486A122C" w14:textId="77777777" w:rsidR="0057110D" w:rsidRPr="009E23A6" w:rsidRDefault="0057110D" w:rsidP="00F4761B">
            <w:pPr>
              <w:kinsoku w:val="0"/>
              <w:overflowPunct w:val="0"/>
              <w:autoSpaceDE w:val="0"/>
              <w:autoSpaceDN w:val="0"/>
              <w:adjustRightInd w:val="0"/>
              <w:spacing w:before="0" w:after="0"/>
              <w:ind w:left="134" w:right="137"/>
              <w:contextualSpacing/>
              <w:jc w:val="center"/>
              <w:rPr>
                <w:rFonts w:eastAsia="Times New Roman" w:cs="Arial"/>
                <w:sz w:val="20"/>
                <w:szCs w:val="20"/>
              </w:rPr>
            </w:pPr>
            <w:r w:rsidRPr="009E23A6">
              <w:rPr>
                <w:rFonts w:eastAsia="Times New Roman" w:cs="Arial"/>
                <w:sz w:val="20"/>
                <w:szCs w:val="20"/>
              </w:rPr>
              <w:t>40 %</w:t>
            </w:r>
          </w:p>
        </w:tc>
        <w:tc>
          <w:tcPr>
            <w:tcW w:w="1187" w:type="dxa"/>
            <w:vMerge/>
          </w:tcPr>
          <w:p w14:paraId="2847FEA3" w14:textId="77777777" w:rsidR="0057110D" w:rsidRPr="009E23A6" w:rsidRDefault="0057110D" w:rsidP="00F4761B">
            <w:pPr>
              <w:kinsoku w:val="0"/>
              <w:overflowPunct w:val="0"/>
              <w:autoSpaceDE w:val="0"/>
              <w:autoSpaceDN w:val="0"/>
              <w:adjustRightInd w:val="0"/>
              <w:spacing w:before="0" w:after="0"/>
              <w:ind w:left="134" w:right="137"/>
              <w:contextualSpacing/>
              <w:jc w:val="left"/>
              <w:rPr>
                <w:rFonts w:eastAsia="Times New Roman" w:cs="Arial"/>
                <w:sz w:val="20"/>
                <w:szCs w:val="20"/>
              </w:rPr>
            </w:pPr>
          </w:p>
        </w:tc>
        <w:tc>
          <w:tcPr>
            <w:tcW w:w="1187" w:type="dxa"/>
            <w:vMerge/>
          </w:tcPr>
          <w:p w14:paraId="6D006A82" w14:textId="77777777" w:rsidR="0057110D" w:rsidRPr="009E23A6" w:rsidRDefault="0057110D" w:rsidP="00F4761B">
            <w:pPr>
              <w:kinsoku w:val="0"/>
              <w:overflowPunct w:val="0"/>
              <w:autoSpaceDE w:val="0"/>
              <w:autoSpaceDN w:val="0"/>
              <w:adjustRightInd w:val="0"/>
              <w:spacing w:before="0" w:after="0"/>
              <w:ind w:left="134" w:right="137"/>
              <w:contextualSpacing/>
              <w:jc w:val="left"/>
              <w:rPr>
                <w:rFonts w:eastAsia="Times New Roman" w:cs="Arial"/>
                <w:sz w:val="20"/>
                <w:szCs w:val="20"/>
              </w:rPr>
            </w:pPr>
          </w:p>
        </w:tc>
      </w:tr>
    </w:tbl>
    <w:p w14:paraId="13F18C08" w14:textId="77777777" w:rsidR="00B47867" w:rsidRPr="009E23A6" w:rsidRDefault="00B47867" w:rsidP="00F4761B">
      <w:pPr>
        <w:autoSpaceDE w:val="0"/>
        <w:autoSpaceDN w:val="0"/>
        <w:adjustRightInd w:val="0"/>
        <w:spacing w:before="0"/>
        <w:rPr>
          <w:rFonts w:eastAsia="Times New Roman" w:cs="Arial"/>
          <w:b/>
          <w:bCs/>
          <w:color w:val="000000"/>
          <w:szCs w:val="22"/>
        </w:rPr>
      </w:pPr>
    </w:p>
    <w:p w14:paraId="420BF358" w14:textId="6F97219E" w:rsidR="0057110D" w:rsidRPr="009E23A6" w:rsidRDefault="0057110D" w:rsidP="00F4761B">
      <w:pPr>
        <w:autoSpaceDE w:val="0"/>
        <w:autoSpaceDN w:val="0"/>
        <w:adjustRightInd w:val="0"/>
        <w:spacing w:before="0"/>
        <w:rPr>
          <w:rFonts w:eastAsia="Times New Roman" w:cs="Arial"/>
          <w:color w:val="000000"/>
          <w:szCs w:val="22"/>
        </w:rPr>
      </w:pPr>
      <w:r w:rsidRPr="009E23A6">
        <w:rPr>
          <w:rFonts w:eastAsia="Times New Roman" w:cs="Arial"/>
          <w:b/>
          <w:bCs/>
          <w:color w:val="000000"/>
          <w:szCs w:val="22"/>
        </w:rPr>
        <w:t xml:space="preserve">Poznámka: </w:t>
      </w:r>
    </w:p>
    <w:p w14:paraId="5F835F44" w14:textId="52640988" w:rsidR="0057110D" w:rsidRPr="009E23A6" w:rsidRDefault="0057110D" w:rsidP="00F4761B">
      <w:pPr>
        <w:autoSpaceDE w:val="0"/>
        <w:autoSpaceDN w:val="0"/>
        <w:adjustRightInd w:val="0"/>
        <w:spacing w:before="0"/>
        <w:ind w:left="284" w:hanging="284"/>
        <w:rPr>
          <w:rFonts w:eastAsia="Times New Roman" w:cs="Arial"/>
          <w:color w:val="000000"/>
          <w:szCs w:val="22"/>
        </w:rPr>
      </w:pPr>
      <w:r w:rsidRPr="009E23A6">
        <w:rPr>
          <w:rFonts w:eastAsia="Times New Roman" w:cs="Arial"/>
          <w:color w:val="000000"/>
          <w:szCs w:val="22"/>
        </w:rPr>
        <w:t xml:space="preserve">* Malý a střední podnik je vymezen podle definice uvedené v článku 2 odst. 2 GBER, a velký podnik je vymezen podle definice v článku 2 odst. 24 GBER. </w:t>
      </w:r>
    </w:p>
    <w:p w14:paraId="4DEAADE9" w14:textId="77777777" w:rsidR="0057110D" w:rsidRPr="009E23A6" w:rsidRDefault="0057110D" w:rsidP="00F4761B">
      <w:pPr>
        <w:autoSpaceDE w:val="0"/>
        <w:autoSpaceDN w:val="0"/>
        <w:adjustRightInd w:val="0"/>
        <w:spacing w:before="0"/>
        <w:ind w:left="284" w:hanging="284"/>
        <w:rPr>
          <w:rFonts w:eastAsia="Times New Roman" w:cs="Arial"/>
          <w:color w:val="000000"/>
          <w:szCs w:val="22"/>
        </w:rPr>
      </w:pPr>
      <w:r w:rsidRPr="009E23A6">
        <w:rPr>
          <w:rFonts w:eastAsia="Times New Roman" w:cs="Arial"/>
          <w:color w:val="000000"/>
          <w:szCs w:val="22"/>
        </w:rPr>
        <w:t xml:space="preserve">** Výzkumná organizace je vymezena podle čl. 2 odst. 83 GBER. Uvedená intenzita podpory je určena pro nehospodářské činnosti výzkumných organizací dle bodu 19. a násl. Rámce. </w:t>
      </w:r>
    </w:p>
    <w:p w14:paraId="3F1EA74D" w14:textId="62CE7CA6" w:rsidR="0057110D" w:rsidRPr="009E23A6" w:rsidRDefault="0057110D" w:rsidP="00F4761B">
      <w:pPr>
        <w:autoSpaceDE w:val="0"/>
        <w:autoSpaceDN w:val="0"/>
        <w:adjustRightInd w:val="0"/>
        <w:spacing w:before="0"/>
        <w:ind w:left="284" w:hanging="284"/>
        <w:rPr>
          <w:rFonts w:eastAsia="Times New Roman" w:cs="Arial"/>
          <w:color w:val="000000"/>
          <w:szCs w:val="22"/>
        </w:rPr>
      </w:pPr>
      <w:r w:rsidRPr="009E23A6">
        <w:rPr>
          <w:rFonts w:eastAsia="Times New Roman" w:cs="Arial"/>
          <w:color w:val="000000"/>
          <w:szCs w:val="22"/>
        </w:rPr>
        <w:t>*** V rámci účinné spolupráce s</w:t>
      </w:r>
      <w:r w:rsidR="008018CB" w:rsidRPr="009E23A6">
        <w:rPr>
          <w:rFonts w:eastAsia="Times New Roman" w:cs="Arial"/>
          <w:color w:val="000000"/>
          <w:szCs w:val="22"/>
        </w:rPr>
        <w:t> </w:t>
      </w:r>
      <w:r w:rsidRPr="009E23A6">
        <w:rPr>
          <w:rFonts w:eastAsia="Times New Roman" w:cs="Arial"/>
          <w:color w:val="000000"/>
          <w:szCs w:val="22"/>
        </w:rPr>
        <w:t>VO</w:t>
      </w:r>
      <w:r w:rsidR="008018CB" w:rsidRPr="009E23A6">
        <w:rPr>
          <w:rFonts w:eastAsia="Times New Roman" w:cs="Arial"/>
          <w:color w:val="000000"/>
          <w:szCs w:val="22"/>
        </w:rPr>
        <w:t xml:space="preserve"> musí VO</w:t>
      </w:r>
      <w:r w:rsidRPr="009E23A6">
        <w:rPr>
          <w:rFonts w:eastAsia="Times New Roman" w:cs="Arial"/>
          <w:color w:val="000000"/>
          <w:szCs w:val="22"/>
        </w:rPr>
        <w:t xml:space="preserve"> nést alespoň 10 % způsobilých nákladů a má právo zveřejňovat výsledky vlastního výzkumu</w:t>
      </w:r>
      <w:r w:rsidR="001D4A56" w:rsidRPr="009E23A6">
        <w:rPr>
          <w:rFonts w:eastAsia="Times New Roman" w:cs="Arial"/>
          <w:color w:val="000000"/>
          <w:szCs w:val="22"/>
        </w:rPr>
        <w:t>.</w:t>
      </w:r>
    </w:p>
    <w:p w14:paraId="74374E44" w14:textId="77777777" w:rsidR="00B47867" w:rsidRPr="009E23A6" w:rsidRDefault="00B47867">
      <w:pPr>
        <w:spacing w:before="0" w:after="160" w:line="259" w:lineRule="auto"/>
        <w:jc w:val="left"/>
        <w:rPr>
          <w:rFonts w:cs="Arial"/>
          <w:b/>
          <w:sz w:val="28"/>
        </w:rPr>
      </w:pPr>
      <w:bookmarkStart w:id="29" w:name="_Toc112061697"/>
      <w:r w:rsidRPr="009E23A6">
        <w:br w:type="page"/>
      </w:r>
    </w:p>
    <w:p w14:paraId="1604FEC8" w14:textId="3495DC75" w:rsidR="0057110D" w:rsidRPr="009E23A6" w:rsidRDefault="0057110D" w:rsidP="00F4761B">
      <w:pPr>
        <w:pStyle w:val="Nadpis1"/>
        <w:spacing w:line="360" w:lineRule="auto"/>
        <w:rPr>
          <w:szCs w:val="32"/>
        </w:rPr>
      </w:pPr>
      <w:bookmarkStart w:id="30" w:name="_Ref115348716"/>
      <w:bookmarkStart w:id="31" w:name="_Toc115938897"/>
      <w:r w:rsidRPr="009E23A6">
        <w:rPr>
          <w:szCs w:val="32"/>
        </w:rPr>
        <w:lastRenderedPageBreak/>
        <w:t>Příjemci podpory</w:t>
      </w:r>
      <w:bookmarkEnd w:id="29"/>
      <w:bookmarkEnd w:id="30"/>
      <w:bookmarkEnd w:id="31"/>
    </w:p>
    <w:p w14:paraId="58AEEEE9" w14:textId="77777777" w:rsidR="0057110D" w:rsidRPr="009E23A6" w:rsidRDefault="0057110D" w:rsidP="00F4761B">
      <w:r w:rsidRPr="009E23A6">
        <w:t>Uchazečem, respektive příjemcem podpory na projekt podle zákona o podpoře výzkumu, experimentálního vývoje a inovací, Rámce a GBER, mohou být:</w:t>
      </w:r>
    </w:p>
    <w:p w14:paraId="4A103996" w14:textId="77777777" w:rsidR="0057110D" w:rsidRPr="009E23A6" w:rsidRDefault="0057110D" w:rsidP="00F4761B">
      <w:pPr>
        <w:pStyle w:val="Odstavecseseznamem"/>
        <w:numPr>
          <w:ilvl w:val="0"/>
          <w:numId w:val="2"/>
        </w:numPr>
      </w:pPr>
      <w:r w:rsidRPr="009E23A6">
        <w:rPr>
          <w:b/>
          <w:bCs/>
        </w:rPr>
        <w:t>Výzkumné organizace</w:t>
      </w:r>
      <w:r w:rsidRPr="009E23A6">
        <w:t xml:space="preserve"> – právnické osoby, definované jako “organizace pro výzkum a šíření znalostí” podle čl. 2 odst. 83 GBER a dle zákona o podpoře výzkumu, experimentálního vývoje a inovací. Tyto organizace mohou řešit projekt samostatně nebo ve spolupráci s dalšími účastníky. Pokud výzkumné organizace vykonávají kromě nehospodářských činností i hospodářské činnosti, mají povinnost vést oddělené účetnictví pro náklady a příjmy z těchto hospodářských činností.</w:t>
      </w:r>
    </w:p>
    <w:p w14:paraId="6B7DFA45" w14:textId="77777777" w:rsidR="0057110D" w:rsidRPr="009E23A6" w:rsidRDefault="0057110D" w:rsidP="00F4761B">
      <w:pPr>
        <w:pStyle w:val="Odstavecseseznamem"/>
        <w:numPr>
          <w:ilvl w:val="0"/>
          <w:numId w:val="2"/>
        </w:numPr>
      </w:pPr>
      <w:r w:rsidRPr="009E23A6">
        <w:rPr>
          <w:b/>
        </w:rPr>
        <w:t>Podniky</w:t>
      </w:r>
      <w:r w:rsidRPr="009E23A6">
        <w:t xml:space="preserve"> – právnické i fyzické osoby vykonávající hospodářskou činnost, bez ohledu na právní formu (Příloha I GBER), které řeší projekt samostatně nebo ve spolupráci s dalšími účastníky a prokáží schopnost projekt spolufinancovat z neveřejných prostředků. </w:t>
      </w:r>
    </w:p>
    <w:p w14:paraId="5AF70D8B" w14:textId="77777777" w:rsidR="0057110D" w:rsidRPr="009E23A6" w:rsidRDefault="0057110D" w:rsidP="00F4761B">
      <w:pPr>
        <w:pStyle w:val="Odstavecseseznamem"/>
        <w:numPr>
          <w:ilvl w:val="0"/>
          <w:numId w:val="2"/>
        </w:numPr>
      </w:pPr>
      <w:r w:rsidRPr="009E23A6">
        <w:rPr>
          <w:b/>
        </w:rPr>
        <w:t>Organizační složky státu</w:t>
      </w:r>
      <w:r w:rsidRPr="009E23A6">
        <w:t xml:space="preserve"> dle § 3 odst. 1 zákona č. 219/2000 Sb., o majetku České republiky a jejím vystupování v právních vztazích a jimi zřízené příspěvkové organizace dle § 54 téhož zákona. </w:t>
      </w:r>
    </w:p>
    <w:p w14:paraId="52CF7DAA" w14:textId="77777777" w:rsidR="0057110D" w:rsidRPr="009E23A6" w:rsidRDefault="0057110D" w:rsidP="00F4761B">
      <w:r w:rsidRPr="009E23A6">
        <w:t>Případná spolupráce podniků a výzkumných organizací, případně dalších fyzických a právnických osob nesmí podnikům poskytovat nepřímé výhody prostřednictvím výzkumné organizace.</w:t>
      </w:r>
    </w:p>
    <w:p w14:paraId="7D14B95F" w14:textId="77777777" w:rsidR="0057110D" w:rsidRPr="009E23A6" w:rsidRDefault="0057110D" w:rsidP="00F4761B">
      <w:pPr>
        <w:pStyle w:val="Nadpis1"/>
        <w:spacing w:line="360" w:lineRule="auto"/>
        <w:rPr>
          <w:szCs w:val="32"/>
        </w:rPr>
      </w:pPr>
      <w:r w:rsidRPr="009E23A6">
        <w:t xml:space="preserve"> </w:t>
      </w:r>
      <w:bookmarkStart w:id="32" w:name="_Toc112061698"/>
      <w:bookmarkStart w:id="33" w:name="_Toc115938898"/>
      <w:r w:rsidRPr="009E23A6">
        <w:rPr>
          <w:szCs w:val="32"/>
        </w:rPr>
        <w:t>Způsobilost uchazečů o podporu</w:t>
      </w:r>
      <w:bookmarkEnd w:id="32"/>
      <w:bookmarkEnd w:id="33"/>
    </w:p>
    <w:p w14:paraId="1F1870D1" w14:textId="77777777" w:rsidR="0057110D" w:rsidRPr="009E23A6" w:rsidRDefault="0057110D" w:rsidP="00F4761B">
      <w:r w:rsidRPr="009E23A6">
        <w:t>Podporu na projekt realizovaný v Programu mohou získat pouze ti uchazeči, kteří splňují podmínky způsobilosti dané § 18 zákona č. 130/2002 Sb.</w:t>
      </w:r>
      <w:r w:rsidRPr="009E23A6" w:rsidDel="005012A8">
        <w:t xml:space="preserve"> </w:t>
      </w:r>
      <w:r w:rsidRPr="009E23A6">
        <w:t>a GBER. Uchází-li se o řešení jednoho projektu společně více uchazečů, vztahuje se povinnost prokázat způsobilost na všechny tyto uchazeče.</w:t>
      </w:r>
    </w:p>
    <w:p w14:paraId="07ACCCC8" w14:textId="77777777" w:rsidR="0057110D" w:rsidRPr="009E23A6" w:rsidRDefault="0057110D" w:rsidP="00F4761B">
      <w:r w:rsidRPr="009E23A6">
        <w:t>Způsobilost prokazuje uchazeč doklady dle zákona č. 130/2002 Sb.</w:t>
      </w:r>
      <w:r w:rsidRPr="009E23A6" w:rsidDel="005012A8">
        <w:t xml:space="preserve"> </w:t>
      </w:r>
      <w:r w:rsidRPr="009E23A6">
        <w:t>způsobem stanoveným poskytovatelem v zadávací dokumentaci.</w:t>
      </w:r>
    </w:p>
    <w:p w14:paraId="0B38D9BE" w14:textId="77777777" w:rsidR="0057110D" w:rsidRPr="009E23A6" w:rsidRDefault="0057110D" w:rsidP="00F4761B">
      <w:r w:rsidRPr="009E23A6">
        <w:t>Za způsobilého je pokládán, pokud naplňuje kritéria uchazeče/dalšího účastníka v daném podprogramu a v dané veřejné soutěži, a pokud je současně:</w:t>
      </w:r>
    </w:p>
    <w:p w14:paraId="1F0613A2" w14:textId="77777777" w:rsidR="0057110D" w:rsidRPr="009E23A6" w:rsidRDefault="0057110D" w:rsidP="00F4761B">
      <w:pPr>
        <w:rPr>
          <w:b/>
        </w:rPr>
      </w:pPr>
      <w:r w:rsidRPr="009E23A6">
        <w:rPr>
          <w:b/>
        </w:rPr>
        <w:t>1. odborně způsobilý</w:t>
      </w:r>
    </w:p>
    <w:p w14:paraId="472BFDE0" w14:textId="77777777" w:rsidR="0057110D" w:rsidRPr="009E23A6" w:rsidRDefault="0057110D" w:rsidP="00F4761B">
      <w:pPr>
        <w:pStyle w:val="Odstavecseseznamem"/>
        <w:numPr>
          <w:ilvl w:val="0"/>
          <w:numId w:val="14"/>
        </w:numPr>
      </w:pPr>
      <w:r w:rsidRPr="009E23A6">
        <w:t>má příslušné oprávnění k činnosti, je-li vyžadováno zvláštním právním předpisem,</w:t>
      </w:r>
    </w:p>
    <w:p w14:paraId="7DB753E9" w14:textId="77777777" w:rsidR="0057110D" w:rsidRPr="009E23A6" w:rsidRDefault="0057110D" w:rsidP="00F4761B">
      <w:pPr>
        <w:pStyle w:val="Odstavecseseznamem"/>
        <w:numPr>
          <w:ilvl w:val="0"/>
          <w:numId w:val="13"/>
        </w:numPr>
      </w:pPr>
      <w:r w:rsidRPr="009E23A6">
        <w:t>má odborné předpoklady k řešení projektu, stanovené poskytovatelem pro danou veřejnou soutěž ve výzkumu, vývoji a inovacích.</w:t>
      </w:r>
    </w:p>
    <w:p w14:paraId="7D1B142B" w14:textId="77777777" w:rsidR="0057110D" w:rsidRPr="009E23A6" w:rsidRDefault="0057110D" w:rsidP="00F4761B">
      <w:pPr>
        <w:rPr>
          <w:b/>
        </w:rPr>
      </w:pPr>
      <w:r w:rsidRPr="009E23A6">
        <w:rPr>
          <w:b/>
        </w:rPr>
        <w:lastRenderedPageBreak/>
        <w:t>2. ekonomicky způsobilý</w:t>
      </w:r>
    </w:p>
    <w:p w14:paraId="12E19FA6" w14:textId="77777777" w:rsidR="0057110D" w:rsidRPr="009E23A6" w:rsidRDefault="0057110D" w:rsidP="00F4761B">
      <w:pPr>
        <w:pStyle w:val="Odstavecseseznamem"/>
        <w:numPr>
          <w:ilvl w:val="0"/>
          <w:numId w:val="12"/>
        </w:numPr>
      </w:pPr>
      <w:r w:rsidRPr="009E23A6">
        <w:t>není v likvidaci a jeho úpadek nebo hrozící úpadek není řešen v insolvenčním řízení,</w:t>
      </w:r>
    </w:p>
    <w:p w14:paraId="74B657AD" w14:textId="77777777" w:rsidR="0057110D" w:rsidRPr="009E23A6" w:rsidRDefault="0057110D" w:rsidP="00F4761B">
      <w:pPr>
        <w:pStyle w:val="Odstavecseseznamem"/>
        <w:numPr>
          <w:ilvl w:val="0"/>
          <w:numId w:val="11"/>
        </w:numPr>
      </w:pPr>
      <w:r w:rsidRPr="009E23A6">
        <w:t>má vypořádány splatné závazky ve vztahu ke státnímu rozpočtu nebo rozpočtu územního samosprávného celku a další splatné závazky vůči státu, státnímu fondu, zdravotní pojišťovně či České správě sociálního zabezpečení,</w:t>
      </w:r>
    </w:p>
    <w:p w14:paraId="124E86C8" w14:textId="77777777" w:rsidR="0057110D" w:rsidRPr="009E23A6" w:rsidRDefault="0057110D" w:rsidP="00F4761B">
      <w:pPr>
        <w:pStyle w:val="Odstavecseseznamem"/>
        <w:numPr>
          <w:ilvl w:val="0"/>
          <w:numId w:val="10"/>
        </w:numPr>
      </w:pPr>
      <w:r w:rsidRPr="009E23A6">
        <w:t>nebyl na něj vystaven příkaz k navrácení podpory podle přímo použitelného předpisu EU (GBER),</w:t>
      </w:r>
    </w:p>
    <w:p w14:paraId="69954EBE" w14:textId="77777777" w:rsidR="0057110D" w:rsidRPr="009E23A6" w:rsidRDefault="0057110D" w:rsidP="00F4761B">
      <w:pPr>
        <w:pStyle w:val="Odstavecseseznamem"/>
        <w:numPr>
          <w:ilvl w:val="0"/>
          <w:numId w:val="10"/>
        </w:numPr>
      </w:pPr>
      <w:r w:rsidRPr="009E23A6">
        <w:t>není podnikem v obtížích.</w:t>
      </w:r>
    </w:p>
    <w:p w14:paraId="1FFAAFAF" w14:textId="77777777" w:rsidR="0057110D" w:rsidRPr="009E23A6" w:rsidRDefault="0057110D" w:rsidP="00F4761B">
      <w:pPr>
        <w:rPr>
          <w:b/>
        </w:rPr>
      </w:pPr>
      <w:r w:rsidRPr="009E23A6">
        <w:rPr>
          <w:b/>
        </w:rPr>
        <w:t>3. trestně bezúhonný</w:t>
      </w:r>
    </w:p>
    <w:p w14:paraId="6F328C30" w14:textId="77777777" w:rsidR="0057110D" w:rsidRPr="009E23A6" w:rsidRDefault="0057110D" w:rsidP="00F4761B">
      <w:pPr>
        <w:pStyle w:val="Odstavecseseznamem"/>
        <w:numPr>
          <w:ilvl w:val="0"/>
          <w:numId w:val="9"/>
        </w:numPr>
      </w:pPr>
      <w:r w:rsidRPr="009E23A6">
        <w:t>nebyl pravomocně odsouzen pro trestný čin, jehož skutková podstata souvisí s předmětem podnikání (činnosti) nebo pro trestný čin hospodářský, nebo trestný čin proti majetku, nebo se na něj tak podle zákona hledí,</w:t>
      </w:r>
    </w:p>
    <w:p w14:paraId="0138EF73" w14:textId="5D3DD641" w:rsidR="0057110D" w:rsidRPr="009E23A6" w:rsidRDefault="0057110D" w:rsidP="00F4761B">
      <w:pPr>
        <w:pStyle w:val="Odstavecseseznamem"/>
        <w:numPr>
          <w:ilvl w:val="0"/>
          <w:numId w:val="9"/>
        </w:numPr>
      </w:pPr>
      <w:r w:rsidRPr="009E23A6">
        <w:t>nebyl v posledních třech letech</w:t>
      </w:r>
      <w:r w:rsidR="001C3BFD" w:rsidRPr="009E23A6">
        <w:t xml:space="preserve"> </w:t>
      </w:r>
      <w:r w:rsidR="0050598B" w:rsidRPr="009E23A6">
        <w:t xml:space="preserve">ode dne předložení návrhu projektu </w:t>
      </w:r>
      <w:r w:rsidRPr="009E23A6">
        <w:t>disciplinárně potrestán podle zvláštních právních předpisů upravujících výkon odborné činnosti, pokud tato činnost souvisí s předmětem vyhlášené veřejné soutěže ve výzkumu, vývoji a inovacích,</w:t>
      </w:r>
    </w:p>
    <w:p w14:paraId="0046B25F" w14:textId="77777777" w:rsidR="0057110D" w:rsidRPr="009E23A6" w:rsidRDefault="0057110D" w:rsidP="00F4761B">
      <w:pPr>
        <w:pStyle w:val="Odstavecseseznamem"/>
        <w:numPr>
          <w:ilvl w:val="0"/>
          <w:numId w:val="9"/>
        </w:numPr>
        <w:rPr>
          <w:rFonts w:cs="Arial"/>
        </w:rPr>
      </w:pPr>
      <w:r w:rsidRPr="009E23A6">
        <w:t>a pokud není v pracovním a jiném odborném poměru k právnické osobě pověřené organizací veřejné soutěže ve výzkumu a vývoji a inovacích podle § 23 odst. 2. To neplatí pro organizační jednotky ministerstva zabývající se výzkumem a vývojem.</w:t>
      </w:r>
    </w:p>
    <w:p w14:paraId="3335A4B4" w14:textId="77777777" w:rsidR="0057110D" w:rsidRPr="009E23A6" w:rsidRDefault="0057110D" w:rsidP="00F4761B">
      <w:pPr>
        <w:rPr>
          <w:b/>
        </w:rPr>
      </w:pPr>
      <w:r w:rsidRPr="009E23A6">
        <w:rPr>
          <w:b/>
        </w:rPr>
        <w:t xml:space="preserve">4. může prokázat motivační účinek </w:t>
      </w:r>
    </w:p>
    <w:p w14:paraId="2BFC6997" w14:textId="7A63B953" w:rsidR="0057110D" w:rsidRPr="009E23A6" w:rsidRDefault="0057110D" w:rsidP="00F4761B">
      <w:pPr>
        <w:pStyle w:val="Odstavecseseznamem"/>
        <w:numPr>
          <w:ilvl w:val="0"/>
          <w:numId w:val="21"/>
        </w:numPr>
      </w:pPr>
      <w:r w:rsidRPr="009E23A6">
        <w:t>dle podmínek uvedených v</w:t>
      </w:r>
      <w:r w:rsidR="0003265A" w:rsidRPr="009E23A6">
        <w:t> </w:t>
      </w:r>
      <w:r w:rsidRPr="009E23A6">
        <w:t>kap</w:t>
      </w:r>
      <w:r w:rsidR="0003265A" w:rsidRPr="009E23A6">
        <w:t>.</w:t>
      </w:r>
      <w:r w:rsidRPr="009E23A6">
        <w:t xml:space="preserve"> </w:t>
      </w:r>
      <w:r w:rsidR="00FD0EC7" w:rsidRPr="009E23A6">
        <w:t>8</w:t>
      </w:r>
      <w:r w:rsidRPr="009E23A6">
        <w:t>. Programu.</w:t>
      </w:r>
    </w:p>
    <w:p w14:paraId="0D6B8BEB" w14:textId="77777777" w:rsidR="0057110D" w:rsidRPr="009E23A6" w:rsidRDefault="0057110D" w:rsidP="00F4761B">
      <w:pPr>
        <w:pStyle w:val="Nadpis1"/>
        <w:spacing w:line="360" w:lineRule="auto"/>
        <w:rPr>
          <w:szCs w:val="32"/>
        </w:rPr>
      </w:pPr>
      <w:r w:rsidRPr="009E23A6">
        <w:t xml:space="preserve"> </w:t>
      </w:r>
      <w:bookmarkStart w:id="34" w:name="_Toc112061699"/>
      <w:bookmarkStart w:id="35" w:name="_Toc115938899"/>
      <w:r w:rsidRPr="009E23A6">
        <w:rPr>
          <w:szCs w:val="32"/>
        </w:rPr>
        <w:t>Způsobilé a uznané náklady</w:t>
      </w:r>
      <w:bookmarkEnd w:id="34"/>
      <w:bookmarkEnd w:id="35"/>
    </w:p>
    <w:p w14:paraId="71E3637A" w14:textId="77777777" w:rsidR="0057110D" w:rsidRPr="009E23A6" w:rsidRDefault="0057110D" w:rsidP="00F4761B">
      <w:r w:rsidRPr="009E23A6">
        <w:t xml:space="preserve">Podpora bude poskytována na uznané náklady projektu, tj. na ty způsobilé náklady, které jsou odůvodněné, které jsou v rozsahu nezbytném pro účely projektu, a které poskytovatel schválí. Uchazeč může jako způsobilé náklady navrhnout pouze náklady vymezené v souladu se zákonem č. 130/2002 Sb., a dále v případě režimu veřejné podpory podle kategorie podpory, tj. v souladu s čl. 25, odst. 3 GBER: </w:t>
      </w:r>
    </w:p>
    <w:p w14:paraId="3B6C267F" w14:textId="77777777" w:rsidR="0057110D" w:rsidRPr="009E23A6" w:rsidRDefault="0057110D" w:rsidP="00F4761B">
      <w:pPr>
        <w:ind w:left="284" w:hanging="284"/>
      </w:pPr>
      <w:r w:rsidRPr="009E23A6">
        <w:t xml:space="preserve">a) osobní náklady: výzkumní pracovníci, technici a ostatní podpůrný personál v rozsahu nezbytném pro účely projektu; </w:t>
      </w:r>
    </w:p>
    <w:p w14:paraId="3F0DB49F" w14:textId="06800C11" w:rsidR="0057110D" w:rsidRPr="009E23A6" w:rsidRDefault="0057110D" w:rsidP="00F4761B">
      <w:pPr>
        <w:ind w:left="284" w:hanging="284"/>
      </w:pPr>
      <w:r w:rsidRPr="009E23A6">
        <w:lastRenderedPageBreak/>
        <w:t xml:space="preserve">b) </w:t>
      </w:r>
      <w:r w:rsidR="003A3A18" w:rsidRPr="009E23A6">
        <w:t xml:space="preserve"> </w:t>
      </w:r>
      <w:r w:rsidRPr="009E23A6">
        <w:t xml:space="preserve">náklady na nástroje a vybavení v rozsahu a po dobu, kdy jsou využívány pro účely projektu. Jestliže nejsou tyto nástroje a vybavení používány v rámci projektu po celou dobu své životnosti, jsou za způsobilé náklady považovány pouze odpisy za dobu trvání projektu vypočtené na základě všeobecně uznávaných účetních zásad; </w:t>
      </w:r>
    </w:p>
    <w:p w14:paraId="0BD7137A" w14:textId="4EBEBDB1" w:rsidR="0057110D" w:rsidRPr="009E23A6" w:rsidRDefault="0057110D" w:rsidP="00F4761B">
      <w:pPr>
        <w:ind w:left="284" w:hanging="284"/>
      </w:pPr>
      <w:r w:rsidRPr="009E23A6">
        <w:t xml:space="preserve">c) </w:t>
      </w:r>
      <w:r w:rsidR="003A3A18" w:rsidRPr="009E23A6">
        <w:t xml:space="preserve"> </w:t>
      </w:r>
      <w:r w:rsidRPr="009E23A6">
        <w:t xml:space="preserve">náklady na smluvní výzkum, poznatky a patenty zakoupené nebo pořízené v rámci licence z vnějších zdrojů za obvyklých tržních podmínek a rovněž náklady na poradenské </w:t>
      </w:r>
      <w:r w:rsidRPr="009E23A6">
        <w:br/>
        <w:t xml:space="preserve">a rovnocenné služby využité výlučně pro účely projektu; </w:t>
      </w:r>
    </w:p>
    <w:p w14:paraId="5512EF62" w14:textId="4FCB8BCB" w:rsidR="0057110D" w:rsidRPr="009E23A6" w:rsidRDefault="0057110D" w:rsidP="00F4761B">
      <w:r w:rsidRPr="009E23A6">
        <w:t xml:space="preserve">d) </w:t>
      </w:r>
      <w:r w:rsidR="003A3A18" w:rsidRPr="009E23A6">
        <w:t xml:space="preserve"> </w:t>
      </w:r>
      <w:r w:rsidRPr="009E23A6">
        <w:t>dodatečné režijní náklady, které vznikly bezprostředně v důsledku projektu;</w:t>
      </w:r>
    </w:p>
    <w:p w14:paraId="5276680E" w14:textId="735CF262" w:rsidR="0057110D" w:rsidRPr="009E23A6" w:rsidRDefault="0057110D" w:rsidP="00F4761B">
      <w:pPr>
        <w:ind w:left="284" w:hanging="284"/>
      </w:pPr>
      <w:r w:rsidRPr="009E23A6">
        <w:t>e)</w:t>
      </w:r>
      <w:r w:rsidR="003A3A18" w:rsidRPr="009E23A6">
        <w:t xml:space="preserve"> </w:t>
      </w:r>
      <w:r w:rsidRPr="009E23A6">
        <w:t xml:space="preserve">ostatní provozní náklady včetně nákladů na materiál, dodávky a podobné výrobky, které vznikly přímo v důsledku projektu. </w:t>
      </w:r>
    </w:p>
    <w:p w14:paraId="2382B8AE" w14:textId="77777777" w:rsidR="0057110D" w:rsidRPr="009E23A6" w:rsidRDefault="0057110D" w:rsidP="00F4761B">
      <w:r w:rsidRPr="009E23A6">
        <w:t>Bližší specifikace způsobilých nákladů bude součástí zadávací dokumentace k příslušné veřejné soutěži.</w:t>
      </w:r>
    </w:p>
    <w:p w14:paraId="68F3ABA6" w14:textId="77777777" w:rsidR="0057110D" w:rsidRPr="009E23A6" w:rsidRDefault="0057110D" w:rsidP="00F4761B">
      <w:pPr>
        <w:pStyle w:val="Nadpis1"/>
        <w:spacing w:line="360" w:lineRule="auto"/>
        <w:rPr>
          <w:szCs w:val="32"/>
        </w:rPr>
      </w:pPr>
      <w:r w:rsidRPr="009E23A6">
        <w:rPr>
          <w:szCs w:val="32"/>
        </w:rPr>
        <w:t xml:space="preserve"> </w:t>
      </w:r>
      <w:bookmarkStart w:id="36" w:name="_Toc112061700"/>
      <w:bookmarkStart w:id="37" w:name="_Toc115938900"/>
      <w:r w:rsidRPr="009E23A6">
        <w:rPr>
          <w:szCs w:val="32"/>
        </w:rPr>
        <w:t>Motivační účinek</w:t>
      </w:r>
      <w:bookmarkEnd w:id="36"/>
      <w:bookmarkEnd w:id="37"/>
    </w:p>
    <w:p w14:paraId="670CE13C" w14:textId="77777777" w:rsidR="0057110D" w:rsidRPr="009E23A6" w:rsidRDefault="0057110D" w:rsidP="00F4761B">
      <w:r w:rsidRPr="009E23A6">
        <w:t>Pro naplnění cílů Programu a podmínek GBER bude poskytovatel v rámci procesu hodnocení návrhů projektů posuzovat splnění motivačního účinku podpory podle čl. 6 GBER. Podpora se považuje za podporu s motivačním účinkem pokud:</w:t>
      </w:r>
    </w:p>
    <w:p w14:paraId="7429A425" w14:textId="77777777" w:rsidR="0057110D" w:rsidRPr="009E23A6" w:rsidRDefault="0057110D" w:rsidP="00F4761B">
      <w:pPr>
        <w:pStyle w:val="Odstavecseseznamem"/>
        <w:numPr>
          <w:ilvl w:val="0"/>
          <w:numId w:val="20"/>
        </w:numPr>
      </w:pPr>
      <w:r w:rsidRPr="009E23A6">
        <w:t>uchazeč předloží písemnou žádost o podporu (návrh projektu v rámci Programu) před zahájením prací na projektu,</w:t>
      </w:r>
    </w:p>
    <w:p w14:paraId="7C8B081D" w14:textId="77777777" w:rsidR="0057110D" w:rsidRPr="009E23A6" w:rsidRDefault="0057110D" w:rsidP="00F4761B">
      <w:pPr>
        <w:pStyle w:val="Odstavecseseznamem"/>
        <w:numPr>
          <w:ilvl w:val="0"/>
          <w:numId w:val="20"/>
        </w:numPr>
      </w:pPr>
      <w:r w:rsidRPr="009E23A6">
        <w:t>žádost o podporu splňuje náležitosti podle čl. 6 odst. 2 GBER,</w:t>
      </w:r>
    </w:p>
    <w:p w14:paraId="7CC3374B" w14:textId="77777777" w:rsidR="0057110D" w:rsidRPr="009E23A6" w:rsidRDefault="0057110D" w:rsidP="00F4761B">
      <w:pPr>
        <w:pStyle w:val="Odstavecseseznamem"/>
        <w:numPr>
          <w:ilvl w:val="0"/>
          <w:numId w:val="20"/>
        </w:numPr>
      </w:pPr>
      <w:r w:rsidRPr="009E23A6">
        <w:t>státní podpora u příjemců povede k tomu, že se uskuteční projekty nebo činnosti, které by jinak nebyly provedeny vůbec nebo by byly provedeny v omezeném rozsahu.</w:t>
      </w:r>
    </w:p>
    <w:p w14:paraId="682D34B3" w14:textId="521D4113" w:rsidR="0057110D" w:rsidRPr="009E23A6" w:rsidRDefault="0057110D" w:rsidP="00F4761B">
      <w:r w:rsidRPr="009E23A6">
        <w:t>U každého projektu a u každého uchazeče bude v tomto směru postupováno individuálně.</w:t>
      </w:r>
    </w:p>
    <w:p w14:paraId="5960239A" w14:textId="77777777" w:rsidR="009A1021" w:rsidRPr="009E23A6" w:rsidRDefault="009A1021" w:rsidP="009A1021">
      <w:pPr>
        <w:pStyle w:val="Nadpis1"/>
        <w:spacing w:line="360" w:lineRule="auto"/>
        <w:rPr>
          <w:szCs w:val="32"/>
        </w:rPr>
      </w:pPr>
      <w:bookmarkStart w:id="38" w:name="_Toc115938901"/>
      <w:r w:rsidRPr="009E23A6">
        <w:rPr>
          <w:szCs w:val="32"/>
        </w:rPr>
        <w:t>Podprogramy</w:t>
      </w:r>
      <w:bookmarkEnd w:id="38"/>
    </w:p>
    <w:p w14:paraId="5842A17D" w14:textId="77777777" w:rsidR="009A1021" w:rsidRPr="009E23A6" w:rsidRDefault="009A1021" w:rsidP="009A1021">
      <w:r w:rsidRPr="009E23A6">
        <w:t>Pro účely dosažení cílů a jejich naplnění je Program rozdělen do dvou podprogramů:</w:t>
      </w:r>
    </w:p>
    <w:p w14:paraId="0F3A0A63" w14:textId="77777777" w:rsidR="009A1021" w:rsidRPr="009E23A6" w:rsidRDefault="009A1021" w:rsidP="009A1021">
      <w:r w:rsidRPr="009E23A6">
        <w:rPr>
          <w:b/>
          <w:bCs/>
        </w:rPr>
        <w:t>Podprogram I</w:t>
      </w:r>
      <w:r w:rsidRPr="009E23A6">
        <w:t xml:space="preserve"> – Podpora inovativního zemědělství a lesnictví prostřednictvím pokročilých postupů a technologií.</w:t>
      </w:r>
    </w:p>
    <w:p w14:paraId="40AD2080" w14:textId="77777777" w:rsidR="009A1021" w:rsidRPr="009E23A6" w:rsidRDefault="009A1021" w:rsidP="009A1021">
      <w:r w:rsidRPr="009E23A6">
        <w:rPr>
          <w:b/>
          <w:bCs/>
        </w:rPr>
        <w:t>Podprogram II</w:t>
      </w:r>
      <w:r w:rsidRPr="009E23A6">
        <w:t xml:space="preserve"> – Podpora státní politiky v agrárním sektoru.</w:t>
      </w:r>
    </w:p>
    <w:p w14:paraId="4CC4B29B" w14:textId="77777777" w:rsidR="009A1021" w:rsidRPr="009E23A6" w:rsidRDefault="009A1021" w:rsidP="009A1021">
      <w:pPr>
        <w:pStyle w:val="Nadpis2"/>
        <w:rPr>
          <w:szCs w:val="28"/>
        </w:rPr>
      </w:pPr>
      <w:bookmarkStart w:id="39" w:name="_Toc115938902"/>
      <w:r w:rsidRPr="009E23A6">
        <w:rPr>
          <w:szCs w:val="28"/>
        </w:rPr>
        <w:lastRenderedPageBreak/>
        <w:t>Podprogram I</w:t>
      </w:r>
      <w:bookmarkEnd w:id="39"/>
    </w:p>
    <w:p w14:paraId="3104B190" w14:textId="77777777" w:rsidR="009A1021" w:rsidRPr="009E23A6" w:rsidRDefault="009A1021" w:rsidP="009A1021">
      <w:pPr>
        <w:rPr>
          <w:szCs w:val="22"/>
        </w:rPr>
      </w:pPr>
      <w:r w:rsidRPr="009E23A6">
        <w:rPr>
          <w:szCs w:val="22"/>
        </w:rPr>
        <w:t>Podprogram I je zaměřen na výzkumné potřeby uživatelů v oblasti podnikání a služeb v agrárním sektoru. V podprogramu I budou přednostně vybírány návrhy projektů, u nichž spektrum plánovaných výsledků bude dávat předpoklad splnění požadavků na kvalitu podle kritérií hodnocení v oblasti společenské relevance a v oblasti přínosu poznání dle platné Metodiky hodnocení výzkumných organizací a hodnocení programů účelové podpory výzkumu, vývoje a inovací schválené usnesením vlády dne 8. února 2017 č. 107. Očekávané výsledky řešení projektu budou hodnoceny především podle přínosů pro uživatele a využitelnosti v praxi.</w:t>
      </w:r>
    </w:p>
    <w:p w14:paraId="1C1C9F35" w14:textId="77777777" w:rsidR="009A1021" w:rsidRPr="009E23A6" w:rsidRDefault="009A1021" w:rsidP="009A1021">
      <w:pPr>
        <w:rPr>
          <w:szCs w:val="22"/>
        </w:rPr>
      </w:pPr>
      <w:r w:rsidRPr="009E23A6">
        <w:rPr>
          <w:szCs w:val="22"/>
        </w:rPr>
        <w:t>V rámci podprogramu I budou realizovány dva typy projektů:</w:t>
      </w:r>
    </w:p>
    <w:p w14:paraId="11146915" w14:textId="66A1B125" w:rsidR="009A1021" w:rsidRPr="009E23A6" w:rsidRDefault="009A1021" w:rsidP="009A1021">
      <w:pPr>
        <w:rPr>
          <w:b/>
          <w:sz w:val="24"/>
        </w:rPr>
      </w:pPr>
      <w:r w:rsidRPr="009E23A6">
        <w:rPr>
          <w:b/>
          <w:sz w:val="24"/>
        </w:rPr>
        <w:t xml:space="preserve">a) </w:t>
      </w:r>
      <w:r w:rsidR="007445CE" w:rsidRPr="009E23A6">
        <w:rPr>
          <w:b/>
          <w:sz w:val="24"/>
        </w:rPr>
        <w:t>P</w:t>
      </w:r>
      <w:r w:rsidRPr="009E23A6">
        <w:rPr>
          <w:b/>
          <w:sz w:val="24"/>
        </w:rPr>
        <w:t xml:space="preserve">rojekty zaměřené na řešení komplexních a víceoborových témat spadajících do alespoň jedné ze tří klíčových oblastí dle </w:t>
      </w:r>
      <w:r w:rsidRPr="009E23A6">
        <w:rPr>
          <w:rFonts w:cs="Arial"/>
          <w:b/>
          <w:sz w:val="24"/>
        </w:rPr>
        <w:t>Koncepce</w:t>
      </w:r>
      <w:r w:rsidRPr="009E23A6">
        <w:rPr>
          <w:rFonts w:cs="Arial"/>
          <w:b/>
          <w:bCs/>
          <w:sz w:val="24"/>
        </w:rPr>
        <w:t xml:space="preserve"> VaVaI MZe 2023+</w:t>
      </w:r>
      <w:r w:rsidRPr="009E23A6">
        <w:rPr>
          <w:b/>
          <w:bCs/>
          <w:sz w:val="24"/>
        </w:rPr>
        <w:t>:</w:t>
      </w:r>
    </w:p>
    <w:p w14:paraId="57100047" w14:textId="77777777" w:rsidR="009A1021" w:rsidRPr="009E23A6" w:rsidRDefault="009A1021" w:rsidP="009A1021">
      <w:pPr>
        <w:pStyle w:val="Odstavecseseznamem"/>
        <w:numPr>
          <w:ilvl w:val="0"/>
          <w:numId w:val="15"/>
        </w:numPr>
      </w:pPr>
      <w:r w:rsidRPr="009E23A6">
        <w:t>Bioekonomika</w:t>
      </w:r>
    </w:p>
    <w:p w14:paraId="1BE77FBC" w14:textId="77777777" w:rsidR="009A1021" w:rsidRPr="009E23A6" w:rsidRDefault="009A1021" w:rsidP="009A1021">
      <w:pPr>
        <w:pStyle w:val="Odstavecseseznamem"/>
        <w:numPr>
          <w:ilvl w:val="0"/>
          <w:numId w:val="15"/>
        </w:numPr>
      </w:pPr>
      <w:r w:rsidRPr="009E23A6">
        <w:t>Smart zemědělství</w:t>
      </w:r>
    </w:p>
    <w:p w14:paraId="1B1BFDE8" w14:textId="77777777" w:rsidR="009A1021" w:rsidRPr="009E23A6" w:rsidRDefault="009A1021" w:rsidP="009A1021">
      <w:pPr>
        <w:pStyle w:val="Odstavecseseznamem"/>
        <w:numPr>
          <w:ilvl w:val="0"/>
          <w:numId w:val="15"/>
        </w:numPr>
      </w:pPr>
      <w:r w:rsidRPr="009E23A6">
        <w:t>Globální změny v biosféře</w:t>
      </w:r>
    </w:p>
    <w:p w14:paraId="5A677FD7" w14:textId="0E67CB0A" w:rsidR="00060CF7" w:rsidRPr="009E23A6" w:rsidRDefault="009A1021" w:rsidP="009A1021">
      <w:pPr>
        <w:pStyle w:val="Odstavecseseznamem"/>
        <w:ind w:left="0"/>
        <w:rPr>
          <w:iCs/>
        </w:rPr>
      </w:pPr>
      <w:r w:rsidRPr="009E23A6">
        <w:t xml:space="preserve">Každá z těchto klíčových oblastí je naplněna výzkumnými směry, které jsou zastoupeny v určité míře odpovídající zaměření v dané klíčové oblasti (viz kap. </w:t>
      </w:r>
      <w:r w:rsidR="00FD0EC7" w:rsidRPr="009E23A6">
        <w:t>2.4</w:t>
      </w:r>
      <w:r w:rsidRPr="009E23A6">
        <w:t xml:space="preserve"> </w:t>
      </w:r>
      <w:r w:rsidRPr="009E23A6">
        <w:rPr>
          <w:i/>
        </w:rPr>
        <w:t>Cíle programu a jejich odůvodnění</w:t>
      </w:r>
      <w:r w:rsidRPr="009E23A6">
        <w:t>). Podpora pro tento podprogram je směrována vedle 3 klíčových oblastí také do 11 výzkumných směrů viz kap.</w:t>
      </w:r>
      <w:r w:rsidRPr="009E23A6">
        <w:rPr>
          <w:color w:val="FF0000"/>
        </w:rPr>
        <w:t xml:space="preserve"> </w:t>
      </w:r>
      <w:r w:rsidR="00F66BD9" w:rsidRPr="009E23A6">
        <w:fldChar w:fldCharType="begin"/>
      </w:r>
      <w:r w:rsidR="00F66BD9" w:rsidRPr="009E23A6">
        <w:instrText xml:space="preserve"> REF _Ref115429609 \r \h </w:instrText>
      </w:r>
      <w:r w:rsidR="009E23A6">
        <w:instrText xml:space="preserve"> \* MERGEFORMAT </w:instrText>
      </w:r>
      <w:r w:rsidR="00F66BD9" w:rsidRPr="009E23A6">
        <w:fldChar w:fldCharType="separate"/>
      </w:r>
      <w:r w:rsidR="00F66BD9" w:rsidRPr="009E23A6">
        <w:t>2.5</w:t>
      </w:r>
      <w:r w:rsidR="00F66BD9" w:rsidRPr="009E23A6">
        <w:fldChar w:fldCharType="end"/>
      </w:r>
      <w:r w:rsidRPr="009E23A6">
        <w:t xml:space="preserve"> </w:t>
      </w:r>
      <w:r w:rsidRPr="009E23A6">
        <w:rPr>
          <w:i/>
        </w:rPr>
        <w:t>Odůvodnění cílů programu</w:t>
      </w:r>
      <w:r w:rsidRPr="009E23A6">
        <w:rPr>
          <w:iCs/>
        </w:rPr>
        <w:t>.</w:t>
      </w:r>
      <w:r w:rsidR="00060CF7" w:rsidRPr="009E23A6">
        <w:rPr>
          <w:iCs/>
        </w:rPr>
        <w:t xml:space="preserve"> </w:t>
      </w:r>
    </w:p>
    <w:p w14:paraId="1BE86003" w14:textId="4FA033BF" w:rsidR="009A1021" w:rsidRPr="009E23A6" w:rsidRDefault="00060CF7" w:rsidP="009A1021">
      <w:pPr>
        <w:pStyle w:val="Odstavecseseznamem"/>
        <w:ind w:left="0"/>
      </w:pPr>
      <w:r w:rsidRPr="009E23A6">
        <w:rPr>
          <w:iCs/>
        </w:rPr>
        <w:t>Výzkum pro potřeby ekologického zemědělství bude řešen především v rámci výzkumných směrů rostlinná výroba, živočišná výroba, rostlinolékařství, veterinární medicína a biodiverzita v rámci klíčových oblastí Bioekonomika a Globální změny v biosféře.</w:t>
      </w:r>
    </w:p>
    <w:p w14:paraId="3CB80571" w14:textId="77777777" w:rsidR="009A1021" w:rsidRPr="009E23A6" w:rsidRDefault="009A1021" w:rsidP="009A1021">
      <w:r w:rsidRPr="009E23A6">
        <w:t xml:space="preserve">Příjemcem (hlavním příjemcem) podpory v tomto podprogramu budou výzkumné organizace, v roli dalšího účastníka musí být minimálně jeden podnik. Případná spolupráce podniků </w:t>
      </w:r>
      <w:r w:rsidRPr="009E23A6">
        <w:br/>
        <w:t xml:space="preserve">a výzkumných organizací, případně dalších fyzických a právnických osob nesmí podnikům poskytovat nepřímé výhody prostřednictvím výzkumné organizace. </w:t>
      </w:r>
    </w:p>
    <w:p w14:paraId="440172CF" w14:textId="626C646A" w:rsidR="0051595B" w:rsidRPr="009E23A6" w:rsidRDefault="009A1021" w:rsidP="0051595B">
      <w:pPr>
        <w:rPr>
          <w:rFonts w:ascii="Calibri" w:eastAsia="Times New Roman" w:hAnsi="Calibri"/>
          <w:szCs w:val="22"/>
        </w:rPr>
      </w:pPr>
      <w:r w:rsidRPr="009E23A6">
        <w:t>U těchto projektů v podprogramu I je maximální doba řešení projektů 5 let.</w:t>
      </w:r>
      <w:r w:rsidR="0025523B">
        <w:t xml:space="preserve"> </w:t>
      </w:r>
      <w:r w:rsidR="0051595B" w:rsidRPr="009E23A6">
        <w:rPr>
          <w:rFonts w:eastAsia="Times New Roman"/>
        </w:rPr>
        <w:t>Při hodnocení návrhu projektu budou zvýhodněny návrhy projektů v případě, že se na jejich realizaci podílí začínající výzkumní pracovníci např. studenti Ph.D studia a/nebo absolventi Ph</w:t>
      </w:r>
      <w:r w:rsidR="008D11E6" w:rsidRPr="009E23A6">
        <w:rPr>
          <w:rFonts w:eastAsia="Times New Roman"/>
        </w:rPr>
        <w:t>.</w:t>
      </w:r>
      <w:r w:rsidR="0051595B" w:rsidRPr="009E23A6">
        <w:rPr>
          <w:rFonts w:eastAsia="Times New Roman"/>
        </w:rPr>
        <w:t xml:space="preserve">D studia do tří let po jeho ukončení. Konkrétní podmínky budou vždy stanoveny ve vyhlášení jednotlivých soutěží. </w:t>
      </w:r>
    </w:p>
    <w:p w14:paraId="4EF0F18A" w14:textId="7DC5B66E" w:rsidR="009A1021" w:rsidRPr="009E23A6" w:rsidRDefault="009A1021" w:rsidP="007445CE">
      <w:pPr>
        <w:rPr>
          <w:b/>
          <w:bCs/>
          <w:sz w:val="24"/>
        </w:rPr>
      </w:pPr>
      <w:r w:rsidRPr="009E23A6">
        <w:rPr>
          <w:b/>
          <w:bCs/>
          <w:sz w:val="24"/>
        </w:rPr>
        <w:t>b)</w:t>
      </w:r>
      <w:r w:rsidRPr="009E23A6">
        <w:rPr>
          <w:b/>
          <w:bCs/>
          <w:i/>
          <w:sz w:val="24"/>
        </w:rPr>
        <w:t xml:space="preserve"> </w:t>
      </w:r>
      <w:r w:rsidR="007445CE" w:rsidRPr="009E23A6">
        <w:rPr>
          <w:b/>
          <w:bCs/>
          <w:sz w:val="24"/>
        </w:rPr>
        <w:t>S</w:t>
      </w:r>
      <w:r w:rsidRPr="009E23A6">
        <w:rPr>
          <w:b/>
          <w:bCs/>
          <w:sz w:val="24"/>
        </w:rPr>
        <w:t xml:space="preserve">trategické projekty </w:t>
      </w:r>
      <w:r w:rsidR="00C51240" w:rsidRPr="00AD3FEC">
        <w:rPr>
          <w:b/>
          <w:bCs/>
          <w:sz w:val="24"/>
        </w:rPr>
        <w:t>inter</w:t>
      </w:r>
      <w:r w:rsidR="00C51240" w:rsidRPr="009E23A6">
        <w:rPr>
          <w:b/>
          <w:bCs/>
          <w:sz w:val="24"/>
        </w:rPr>
        <w:t>disci</w:t>
      </w:r>
      <w:r w:rsidRPr="009E23A6">
        <w:rPr>
          <w:b/>
          <w:bCs/>
          <w:sz w:val="24"/>
        </w:rPr>
        <w:t>plinární povahy zaměřené na klíčové oblasti</w:t>
      </w:r>
    </w:p>
    <w:p w14:paraId="0C6F2349" w14:textId="24F49E70" w:rsidR="009A1021" w:rsidRPr="009E23A6" w:rsidRDefault="009A1021" w:rsidP="009A1021">
      <w:r w:rsidRPr="009E23A6">
        <w:t xml:space="preserve">V rámci podprogramu I bude v roce 2025 navíc vyhlášena veřejná soutěž na předem definovaná témata pro strategické projekty </w:t>
      </w:r>
      <w:r w:rsidR="00C51240" w:rsidRPr="009E23A6">
        <w:t>inter</w:t>
      </w:r>
      <w:r w:rsidRPr="009E23A6">
        <w:t xml:space="preserve">disciplinární povahy. Cílem projektů bude </w:t>
      </w:r>
      <w:r w:rsidRPr="009E23A6">
        <w:lastRenderedPageBreak/>
        <w:t>přinést poznání v definovaných klíčových oblastech a takto získané výsledky uplatnit v praxi. Dlouhodobé projekty budou zaměřeny na řešení výzev v oblasti agrárního sektoru. Výstupem projektů mohou rovněž být výsledky využitelné pro státní správu při nastavování a implementaci politik v agrárním sektoru.</w:t>
      </w:r>
    </w:p>
    <w:p w14:paraId="1EA96D6E" w14:textId="77777777" w:rsidR="009A1021" w:rsidRPr="009E23A6" w:rsidRDefault="009A1021" w:rsidP="009A1021">
      <w:r w:rsidRPr="009E23A6">
        <w:t xml:space="preserve">Očekávaná doba řešení těchto strategických projektů bude 6 let. </w:t>
      </w:r>
    </w:p>
    <w:p w14:paraId="64D7DA7E" w14:textId="76193667" w:rsidR="009A1021" w:rsidRPr="009E23A6" w:rsidRDefault="00522499" w:rsidP="009A1021">
      <w:r w:rsidRPr="009E23A6">
        <w:t>H</w:t>
      </w:r>
      <w:r w:rsidR="009A1021" w:rsidRPr="009E23A6">
        <w:t>lavním příjemcem podpory v podprogramu I budou výzkumné organizace, v roli dalšího účastníka musí být minimálně jeden podnik.</w:t>
      </w:r>
    </w:p>
    <w:p w14:paraId="47E60331" w14:textId="77777777" w:rsidR="009A1021" w:rsidRPr="009E23A6" w:rsidRDefault="009A1021" w:rsidP="009A1021">
      <w:r w:rsidRPr="009E23A6">
        <w:t>Na podprogram I bude ze státního rozpočtu vynaložena podpora ve výši 5 800 mil. Kč, tj. 72 % objemu účelové podpory na celý Program. Očekávaná intenzita podpory na tento podprogram ze státního rozpočtu bude 85 % celkových způsobilých nákladů na řešení všech projektů v tomto podprogramu.</w:t>
      </w:r>
    </w:p>
    <w:p w14:paraId="5E154C76" w14:textId="573D5960" w:rsidR="009A1021" w:rsidRPr="009E23A6" w:rsidRDefault="009A1021" w:rsidP="009A1021">
      <w:pPr>
        <w:rPr>
          <w:b/>
        </w:rPr>
      </w:pPr>
      <w:r w:rsidRPr="009E23A6">
        <w:rPr>
          <w:b/>
        </w:rPr>
        <w:t xml:space="preserve">Tabulka č. </w:t>
      </w:r>
      <w:r w:rsidR="001009A9" w:rsidRPr="009E23A6">
        <w:rPr>
          <w:b/>
          <w:bCs/>
        </w:rPr>
        <w:t>4</w:t>
      </w:r>
      <w:r w:rsidRPr="009E23A6">
        <w:rPr>
          <w:b/>
          <w:bCs/>
        </w:rPr>
        <w:t>:</w:t>
      </w:r>
      <w:r w:rsidRPr="009E23A6">
        <w:rPr>
          <w:b/>
        </w:rPr>
        <w:t xml:space="preserve"> Předpokládané výdaje ze státního rozpočtu a celkové výdaje na podprogram I (v mil. Kč)</w:t>
      </w:r>
    </w:p>
    <w:tbl>
      <w:tblPr>
        <w:tblW w:w="9310" w:type="dxa"/>
        <w:tblCellMar>
          <w:left w:w="70" w:type="dxa"/>
          <w:right w:w="70" w:type="dxa"/>
        </w:tblCellMar>
        <w:tblLook w:val="04A0" w:firstRow="1" w:lastRow="0" w:firstColumn="1" w:lastColumn="0" w:noHBand="0" w:noVBand="1"/>
      </w:tblPr>
      <w:tblGrid>
        <w:gridCol w:w="1513"/>
        <w:gridCol w:w="772"/>
        <w:gridCol w:w="772"/>
        <w:gridCol w:w="772"/>
        <w:gridCol w:w="772"/>
        <w:gridCol w:w="772"/>
        <w:gridCol w:w="772"/>
        <w:gridCol w:w="772"/>
        <w:gridCol w:w="772"/>
        <w:gridCol w:w="756"/>
        <w:gridCol w:w="923"/>
      </w:tblGrid>
      <w:tr w:rsidR="009A1021" w:rsidRPr="009E23A6" w14:paraId="7A5802C2" w14:textId="77777777" w:rsidTr="008442B5">
        <w:trPr>
          <w:trHeight w:val="457"/>
        </w:trPr>
        <w:tc>
          <w:tcPr>
            <w:tcW w:w="1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326A7"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Rok</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498EC210"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2024</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04B7C126"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2025</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18798069"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2026</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083FF911"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2027</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1942A824"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2028</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2D3931F0"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2029</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063D9B42"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2030</w:t>
            </w:r>
          </w:p>
        </w:tc>
        <w:tc>
          <w:tcPr>
            <w:tcW w:w="772" w:type="dxa"/>
            <w:tcBorders>
              <w:top w:val="single" w:sz="4" w:space="0" w:color="auto"/>
              <w:left w:val="nil"/>
              <w:bottom w:val="single" w:sz="4" w:space="0" w:color="auto"/>
              <w:right w:val="single" w:sz="4" w:space="0" w:color="auto"/>
            </w:tcBorders>
            <w:shd w:val="clear" w:color="auto" w:fill="auto"/>
            <w:noWrap/>
            <w:vAlign w:val="center"/>
            <w:hideMark/>
          </w:tcPr>
          <w:p w14:paraId="0479E901"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2031</w:t>
            </w:r>
          </w:p>
        </w:tc>
        <w:tc>
          <w:tcPr>
            <w:tcW w:w="756" w:type="dxa"/>
            <w:tcBorders>
              <w:top w:val="single" w:sz="4" w:space="0" w:color="auto"/>
              <w:left w:val="nil"/>
              <w:bottom w:val="single" w:sz="4" w:space="0" w:color="auto"/>
              <w:right w:val="single" w:sz="4" w:space="0" w:color="auto"/>
            </w:tcBorders>
            <w:shd w:val="clear" w:color="auto" w:fill="auto"/>
            <w:noWrap/>
            <w:vAlign w:val="center"/>
            <w:hideMark/>
          </w:tcPr>
          <w:p w14:paraId="53EC7D6A"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2032</w:t>
            </w:r>
          </w:p>
        </w:tc>
        <w:tc>
          <w:tcPr>
            <w:tcW w:w="865" w:type="dxa"/>
            <w:tcBorders>
              <w:top w:val="single" w:sz="4" w:space="0" w:color="auto"/>
              <w:left w:val="nil"/>
              <w:bottom w:val="single" w:sz="4" w:space="0" w:color="auto"/>
              <w:right w:val="single" w:sz="4" w:space="0" w:color="auto"/>
            </w:tcBorders>
            <w:shd w:val="clear" w:color="auto" w:fill="auto"/>
            <w:noWrap/>
            <w:vAlign w:val="center"/>
            <w:hideMark/>
          </w:tcPr>
          <w:p w14:paraId="3294323C"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Celkem</w:t>
            </w:r>
          </w:p>
        </w:tc>
      </w:tr>
      <w:tr w:rsidR="009A1021" w:rsidRPr="009E23A6" w14:paraId="1B962879" w14:textId="77777777" w:rsidTr="008442B5">
        <w:trPr>
          <w:trHeight w:val="914"/>
        </w:trPr>
        <w:tc>
          <w:tcPr>
            <w:tcW w:w="1513" w:type="dxa"/>
            <w:tcBorders>
              <w:top w:val="nil"/>
              <w:left w:val="single" w:sz="4" w:space="0" w:color="auto"/>
              <w:bottom w:val="single" w:sz="4" w:space="0" w:color="auto"/>
              <w:right w:val="single" w:sz="4" w:space="0" w:color="auto"/>
            </w:tcBorders>
            <w:shd w:val="clear" w:color="auto" w:fill="auto"/>
            <w:vAlign w:val="center"/>
            <w:hideMark/>
          </w:tcPr>
          <w:p w14:paraId="1D6EB9F3"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Výdaje ze státního rozpočtu</w:t>
            </w:r>
          </w:p>
        </w:tc>
        <w:tc>
          <w:tcPr>
            <w:tcW w:w="772" w:type="dxa"/>
            <w:tcBorders>
              <w:top w:val="nil"/>
              <w:left w:val="nil"/>
              <w:bottom w:val="single" w:sz="4" w:space="0" w:color="auto"/>
              <w:right w:val="single" w:sz="4" w:space="0" w:color="auto"/>
            </w:tcBorders>
            <w:shd w:val="clear" w:color="auto" w:fill="auto"/>
            <w:noWrap/>
            <w:vAlign w:val="center"/>
            <w:hideMark/>
          </w:tcPr>
          <w:p w14:paraId="3BE0614A"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200</w:t>
            </w:r>
          </w:p>
        </w:tc>
        <w:tc>
          <w:tcPr>
            <w:tcW w:w="772" w:type="dxa"/>
            <w:tcBorders>
              <w:top w:val="nil"/>
              <w:left w:val="nil"/>
              <w:bottom w:val="single" w:sz="4" w:space="0" w:color="auto"/>
              <w:right w:val="single" w:sz="4" w:space="0" w:color="auto"/>
            </w:tcBorders>
            <w:shd w:val="clear" w:color="auto" w:fill="auto"/>
            <w:noWrap/>
            <w:vAlign w:val="center"/>
            <w:hideMark/>
          </w:tcPr>
          <w:p w14:paraId="2A012EB3"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390</w:t>
            </w:r>
          </w:p>
        </w:tc>
        <w:tc>
          <w:tcPr>
            <w:tcW w:w="772" w:type="dxa"/>
            <w:tcBorders>
              <w:top w:val="nil"/>
              <w:left w:val="nil"/>
              <w:bottom w:val="single" w:sz="4" w:space="0" w:color="auto"/>
              <w:right w:val="single" w:sz="4" w:space="0" w:color="auto"/>
            </w:tcBorders>
            <w:shd w:val="clear" w:color="auto" w:fill="auto"/>
            <w:noWrap/>
            <w:vAlign w:val="center"/>
            <w:hideMark/>
          </w:tcPr>
          <w:p w14:paraId="0A694234"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680</w:t>
            </w:r>
          </w:p>
        </w:tc>
        <w:tc>
          <w:tcPr>
            <w:tcW w:w="772" w:type="dxa"/>
            <w:tcBorders>
              <w:top w:val="nil"/>
              <w:left w:val="nil"/>
              <w:bottom w:val="single" w:sz="4" w:space="0" w:color="auto"/>
              <w:right w:val="single" w:sz="4" w:space="0" w:color="auto"/>
            </w:tcBorders>
            <w:shd w:val="clear" w:color="auto" w:fill="auto"/>
            <w:noWrap/>
            <w:vAlign w:val="center"/>
            <w:hideMark/>
          </w:tcPr>
          <w:p w14:paraId="031D68B6"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680</w:t>
            </w:r>
          </w:p>
        </w:tc>
        <w:tc>
          <w:tcPr>
            <w:tcW w:w="772" w:type="dxa"/>
            <w:tcBorders>
              <w:top w:val="nil"/>
              <w:left w:val="nil"/>
              <w:bottom w:val="single" w:sz="4" w:space="0" w:color="auto"/>
              <w:right w:val="single" w:sz="4" w:space="0" w:color="auto"/>
            </w:tcBorders>
            <w:shd w:val="clear" w:color="auto" w:fill="auto"/>
            <w:noWrap/>
            <w:vAlign w:val="center"/>
            <w:hideMark/>
          </w:tcPr>
          <w:p w14:paraId="1A46BADA"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840</w:t>
            </w:r>
          </w:p>
        </w:tc>
        <w:tc>
          <w:tcPr>
            <w:tcW w:w="772" w:type="dxa"/>
            <w:tcBorders>
              <w:top w:val="nil"/>
              <w:left w:val="nil"/>
              <w:bottom w:val="single" w:sz="4" w:space="0" w:color="auto"/>
              <w:right w:val="single" w:sz="4" w:space="0" w:color="auto"/>
            </w:tcBorders>
            <w:shd w:val="clear" w:color="auto" w:fill="auto"/>
            <w:noWrap/>
            <w:vAlign w:val="center"/>
            <w:hideMark/>
          </w:tcPr>
          <w:p w14:paraId="267B0189"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840</w:t>
            </w:r>
          </w:p>
        </w:tc>
        <w:tc>
          <w:tcPr>
            <w:tcW w:w="772" w:type="dxa"/>
            <w:tcBorders>
              <w:top w:val="nil"/>
              <w:left w:val="nil"/>
              <w:bottom w:val="single" w:sz="4" w:space="0" w:color="auto"/>
              <w:right w:val="single" w:sz="4" w:space="0" w:color="auto"/>
            </w:tcBorders>
            <w:shd w:val="clear" w:color="auto" w:fill="auto"/>
            <w:noWrap/>
            <w:vAlign w:val="center"/>
            <w:hideMark/>
          </w:tcPr>
          <w:p w14:paraId="57F6A20F"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880</w:t>
            </w:r>
          </w:p>
        </w:tc>
        <w:tc>
          <w:tcPr>
            <w:tcW w:w="772" w:type="dxa"/>
            <w:tcBorders>
              <w:top w:val="nil"/>
              <w:left w:val="nil"/>
              <w:bottom w:val="single" w:sz="4" w:space="0" w:color="auto"/>
              <w:right w:val="single" w:sz="4" w:space="0" w:color="auto"/>
            </w:tcBorders>
            <w:shd w:val="clear" w:color="auto" w:fill="auto"/>
            <w:noWrap/>
            <w:vAlign w:val="center"/>
            <w:hideMark/>
          </w:tcPr>
          <w:p w14:paraId="2BB4099E"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720</w:t>
            </w:r>
          </w:p>
        </w:tc>
        <w:tc>
          <w:tcPr>
            <w:tcW w:w="756" w:type="dxa"/>
            <w:tcBorders>
              <w:top w:val="nil"/>
              <w:left w:val="nil"/>
              <w:bottom w:val="single" w:sz="4" w:space="0" w:color="auto"/>
              <w:right w:val="single" w:sz="4" w:space="0" w:color="auto"/>
            </w:tcBorders>
            <w:shd w:val="clear" w:color="auto" w:fill="auto"/>
            <w:noWrap/>
            <w:vAlign w:val="center"/>
            <w:hideMark/>
          </w:tcPr>
          <w:p w14:paraId="34E1C904"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570</w:t>
            </w:r>
          </w:p>
        </w:tc>
        <w:tc>
          <w:tcPr>
            <w:tcW w:w="865" w:type="dxa"/>
            <w:tcBorders>
              <w:top w:val="nil"/>
              <w:left w:val="nil"/>
              <w:bottom w:val="single" w:sz="4" w:space="0" w:color="auto"/>
              <w:right w:val="single" w:sz="4" w:space="0" w:color="auto"/>
            </w:tcBorders>
            <w:shd w:val="clear" w:color="auto" w:fill="auto"/>
            <w:noWrap/>
            <w:vAlign w:val="center"/>
            <w:hideMark/>
          </w:tcPr>
          <w:p w14:paraId="54E97764"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5 800</w:t>
            </w:r>
          </w:p>
        </w:tc>
      </w:tr>
      <w:tr w:rsidR="009A1021" w:rsidRPr="009E23A6" w14:paraId="285E5F13" w14:textId="77777777" w:rsidTr="008442B5">
        <w:trPr>
          <w:trHeight w:val="457"/>
        </w:trPr>
        <w:tc>
          <w:tcPr>
            <w:tcW w:w="1513" w:type="dxa"/>
            <w:tcBorders>
              <w:top w:val="nil"/>
              <w:left w:val="single" w:sz="4" w:space="0" w:color="auto"/>
              <w:bottom w:val="single" w:sz="4" w:space="0" w:color="auto"/>
              <w:right w:val="single" w:sz="4" w:space="0" w:color="auto"/>
            </w:tcBorders>
            <w:shd w:val="clear" w:color="auto" w:fill="auto"/>
            <w:vAlign w:val="center"/>
            <w:hideMark/>
          </w:tcPr>
          <w:p w14:paraId="6A9B6812"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Ostatní zdroje</w:t>
            </w:r>
          </w:p>
        </w:tc>
        <w:tc>
          <w:tcPr>
            <w:tcW w:w="772" w:type="dxa"/>
            <w:tcBorders>
              <w:top w:val="nil"/>
              <w:left w:val="nil"/>
              <w:bottom w:val="single" w:sz="4" w:space="0" w:color="auto"/>
              <w:right w:val="single" w:sz="4" w:space="0" w:color="auto"/>
            </w:tcBorders>
            <w:shd w:val="clear" w:color="auto" w:fill="auto"/>
            <w:noWrap/>
            <w:vAlign w:val="center"/>
            <w:hideMark/>
          </w:tcPr>
          <w:p w14:paraId="66F46AA1"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35</w:t>
            </w:r>
          </w:p>
        </w:tc>
        <w:tc>
          <w:tcPr>
            <w:tcW w:w="772" w:type="dxa"/>
            <w:tcBorders>
              <w:top w:val="nil"/>
              <w:left w:val="nil"/>
              <w:bottom w:val="single" w:sz="4" w:space="0" w:color="auto"/>
              <w:right w:val="single" w:sz="4" w:space="0" w:color="auto"/>
            </w:tcBorders>
            <w:shd w:val="clear" w:color="auto" w:fill="auto"/>
            <w:noWrap/>
            <w:vAlign w:val="center"/>
            <w:hideMark/>
          </w:tcPr>
          <w:p w14:paraId="49AB9880"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70</w:t>
            </w:r>
          </w:p>
        </w:tc>
        <w:tc>
          <w:tcPr>
            <w:tcW w:w="772" w:type="dxa"/>
            <w:tcBorders>
              <w:top w:val="nil"/>
              <w:left w:val="nil"/>
              <w:bottom w:val="single" w:sz="4" w:space="0" w:color="auto"/>
              <w:right w:val="single" w:sz="4" w:space="0" w:color="auto"/>
            </w:tcBorders>
            <w:shd w:val="clear" w:color="auto" w:fill="auto"/>
            <w:noWrap/>
            <w:vAlign w:val="center"/>
            <w:hideMark/>
          </w:tcPr>
          <w:p w14:paraId="5706438F"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120</w:t>
            </w:r>
          </w:p>
        </w:tc>
        <w:tc>
          <w:tcPr>
            <w:tcW w:w="772" w:type="dxa"/>
            <w:tcBorders>
              <w:top w:val="nil"/>
              <w:left w:val="nil"/>
              <w:bottom w:val="single" w:sz="4" w:space="0" w:color="auto"/>
              <w:right w:val="single" w:sz="4" w:space="0" w:color="auto"/>
            </w:tcBorders>
            <w:shd w:val="clear" w:color="auto" w:fill="auto"/>
            <w:noWrap/>
            <w:vAlign w:val="center"/>
            <w:hideMark/>
          </w:tcPr>
          <w:p w14:paraId="265AB5B8"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120</w:t>
            </w:r>
          </w:p>
        </w:tc>
        <w:tc>
          <w:tcPr>
            <w:tcW w:w="772" w:type="dxa"/>
            <w:tcBorders>
              <w:top w:val="nil"/>
              <w:left w:val="nil"/>
              <w:bottom w:val="single" w:sz="4" w:space="0" w:color="auto"/>
              <w:right w:val="single" w:sz="4" w:space="0" w:color="auto"/>
            </w:tcBorders>
            <w:shd w:val="clear" w:color="auto" w:fill="auto"/>
            <w:noWrap/>
            <w:vAlign w:val="center"/>
            <w:hideMark/>
          </w:tcPr>
          <w:p w14:paraId="00FA157C"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150</w:t>
            </w:r>
          </w:p>
        </w:tc>
        <w:tc>
          <w:tcPr>
            <w:tcW w:w="772" w:type="dxa"/>
            <w:tcBorders>
              <w:top w:val="nil"/>
              <w:left w:val="nil"/>
              <w:bottom w:val="single" w:sz="4" w:space="0" w:color="auto"/>
              <w:right w:val="single" w:sz="4" w:space="0" w:color="auto"/>
            </w:tcBorders>
            <w:shd w:val="clear" w:color="auto" w:fill="auto"/>
            <w:noWrap/>
            <w:vAlign w:val="center"/>
            <w:hideMark/>
          </w:tcPr>
          <w:p w14:paraId="1516EE05"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150</w:t>
            </w:r>
          </w:p>
        </w:tc>
        <w:tc>
          <w:tcPr>
            <w:tcW w:w="772" w:type="dxa"/>
            <w:tcBorders>
              <w:top w:val="nil"/>
              <w:left w:val="nil"/>
              <w:bottom w:val="single" w:sz="4" w:space="0" w:color="auto"/>
              <w:right w:val="single" w:sz="4" w:space="0" w:color="auto"/>
            </w:tcBorders>
            <w:shd w:val="clear" w:color="auto" w:fill="auto"/>
            <w:noWrap/>
            <w:vAlign w:val="center"/>
            <w:hideMark/>
          </w:tcPr>
          <w:p w14:paraId="2BB60398"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155</w:t>
            </w:r>
          </w:p>
        </w:tc>
        <w:tc>
          <w:tcPr>
            <w:tcW w:w="772" w:type="dxa"/>
            <w:tcBorders>
              <w:top w:val="nil"/>
              <w:left w:val="nil"/>
              <w:bottom w:val="single" w:sz="4" w:space="0" w:color="auto"/>
              <w:right w:val="single" w:sz="4" w:space="0" w:color="auto"/>
            </w:tcBorders>
            <w:shd w:val="clear" w:color="auto" w:fill="auto"/>
            <w:noWrap/>
            <w:vAlign w:val="center"/>
            <w:hideMark/>
          </w:tcPr>
          <w:p w14:paraId="00B4B208"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130</w:t>
            </w:r>
          </w:p>
        </w:tc>
        <w:tc>
          <w:tcPr>
            <w:tcW w:w="756" w:type="dxa"/>
            <w:tcBorders>
              <w:top w:val="nil"/>
              <w:left w:val="nil"/>
              <w:bottom w:val="single" w:sz="4" w:space="0" w:color="auto"/>
              <w:right w:val="single" w:sz="4" w:space="0" w:color="auto"/>
            </w:tcBorders>
            <w:shd w:val="clear" w:color="auto" w:fill="auto"/>
            <w:noWrap/>
            <w:vAlign w:val="center"/>
            <w:hideMark/>
          </w:tcPr>
          <w:p w14:paraId="2F1E8388"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100</w:t>
            </w:r>
          </w:p>
        </w:tc>
        <w:tc>
          <w:tcPr>
            <w:tcW w:w="865" w:type="dxa"/>
            <w:tcBorders>
              <w:top w:val="nil"/>
              <w:left w:val="nil"/>
              <w:bottom w:val="single" w:sz="4" w:space="0" w:color="auto"/>
              <w:right w:val="single" w:sz="4" w:space="0" w:color="auto"/>
            </w:tcBorders>
            <w:shd w:val="clear" w:color="auto" w:fill="auto"/>
            <w:noWrap/>
            <w:vAlign w:val="center"/>
            <w:hideMark/>
          </w:tcPr>
          <w:p w14:paraId="40A8D774"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1 030</w:t>
            </w:r>
          </w:p>
        </w:tc>
      </w:tr>
      <w:tr w:rsidR="009A1021" w:rsidRPr="009E23A6" w14:paraId="74E4A00C" w14:textId="77777777" w:rsidTr="008442B5">
        <w:trPr>
          <w:trHeight w:val="457"/>
        </w:trPr>
        <w:tc>
          <w:tcPr>
            <w:tcW w:w="1513" w:type="dxa"/>
            <w:tcBorders>
              <w:top w:val="nil"/>
              <w:left w:val="single" w:sz="4" w:space="0" w:color="auto"/>
              <w:bottom w:val="single" w:sz="4" w:space="0" w:color="auto"/>
              <w:right w:val="single" w:sz="4" w:space="0" w:color="auto"/>
            </w:tcBorders>
            <w:shd w:val="clear" w:color="auto" w:fill="auto"/>
            <w:vAlign w:val="center"/>
            <w:hideMark/>
          </w:tcPr>
          <w:p w14:paraId="47721EE3"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Výdaje celkem</w:t>
            </w:r>
          </w:p>
        </w:tc>
        <w:tc>
          <w:tcPr>
            <w:tcW w:w="772" w:type="dxa"/>
            <w:tcBorders>
              <w:top w:val="nil"/>
              <w:left w:val="nil"/>
              <w:bottom w:val="single" w:sz="4" w:space="0" w:color="auto"/>
              <w:right w:val="single" w:sz="4" w:space="0" w:color="auto"/>
            </w:tcBorders>
            <w:shd w:val="clear" w:color="auto" w:fill="auto"/>
            <w:noWrap/>
            <w:vAlign w:val="center"/>
            <w:hideMark/>
          </w:tcPr>
          <w:p w14:paraId="0017D325"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235</w:t>
            </w:r>
          </w:p>
        </w:tc>
        <w:tc>
          <w:tcPr>
            <w:tcW w:w="772" w:type="dxa"/>
            <w:tcBorders>
              <w:top w:val="nil"/>
              <w:left w:val="nil"/>
              <w:bottom w:val="single" w:sz="4" w:space="0" w:color="auto"/>
              <w:right w:val="single" w:sz="4" w:space="0" w:color="auto"/>
            </w:tcBorders>
            <w:shd w:val="clear" w:color="auto" w:fill="auto"/>
            <w:noWrap/>
            <w:vAlign w:val="center"/>
            <w:hideMark/>
          </w:tcPr>
          <w:p w14:paraId="2D0BDC67"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460</w:t>
            </w:r>
          </w:p>
        </w:tc>
        <w:tc>
          <w:tcPr>
            <w:tcW w:w="772" w:type="dxa"/>
            <w:tcBorders>
              <w:top w:val="nil"/>
              <w:left w:val="nil"/>
              <w:bottom w:val="single" w:sz="4" w:space="0" w:color="auto"/>
              <w:right w:val="single" w:sz="4" w:space="0" w:color="auto"/>
            </w:tcBorders>
            <w:shd w:val="clear" w:color="auto" w:fill="auto"/>
            <w:noWrap/>
            <w:vAlign w:val="center"/>
            <w:hideMark/>
          </w:tcPr>
          <w:p w14:paraId="3B132A78"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800</w:t>
            </w:r>
          </w:p>
        </w:tc>
        <w:tc>
          <w:tcPr>
            <w:tcW w:w="772" w:type="dxa"/>
            <w:tcBorders>
              <w:top w:val="nil"/>
              <w:left w:val="nil"/>
              <w:bottom w:val="single" w:sz="4" w:space="0" w:color="auto"/>
              <w:right w:val="single" w:sz="4" w:space="0" w:color="auto"/>
            </w:tcBorders>
            <w:shd w:val="clear" w:color="auto" w:fill="auto"/>
            <w:noWrap/>
            <w:vAlign w:val="center"/>
            <w:hideMark/>
          </w:tcPr>
          <w:p w14:paraId="695116E8"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800</w:t>
            </w:r>
          </w:p>
        </w:tc>
        <w:tc>
          <w:tcPr>
            <w:tcW w:w="772" w:type="dxa"/>
            <w:tcBorders>
              <w:top w:val="nil"/>
              <w:left w:val="nil"/>
              <w:bottom w:val="single" w:sz="4" w:space="0" w:color="auto"/>
              <w:right w:val="single" w:sz="4" w:space="0" w:color="auto"/>
            </w:tcBorders>
            <w:shd w:val="clear" w:color="auto" w:fill="auto"/>
            <w:noWrap/>
            <w:vAlign w:val="center"/>
            <w:hideMark/>
          </w:tcPr>
          <w:p w14:paraId="66E8AFE6"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990</w:t>
            </w:r>
          </w:p>
        </w:tc>
        <w:tc>
          <w:tcPr>
            <w:tcW w:w="772" w:type="dxa"/>
            <w:tcBorders>
              <w:top w:val="nil"/>
              <w:left w:val="nil"/>
              <w:bottom w:val="single" w:sz="4" w:space="0" w:color="auto"/>
              <w:right w:val="single" w:sz="4" w:space="0" w:color="auto"/>
            </w:tcBorders>
            <w:shd w:val="clear" w:color="auto" w:fill="auto"/>
            <w:noWrap/>
            <w:vAlign w:val="center"/>
            <w:hideMark/>
          </w:tcPr>
          <w:p w14:paraId="07B100CC"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990</w:t>
            </w:r>
          </w:p>
        </w:tc>
        <w:tc>
          <w:tcPr>
            <w:tcW w:w="772" w:type="dxa"/>
            <w:tcBorders>
              <w:top w:val="nil"/>
              <w:left w:val="nil"/>
              <w:bottom w:val="single" w:sz="4" w:space="0" w:color="auto"/>
              <w:right w:val="single" w:sz="4" w:space="0" w:color="auto"/>
            </w:tcBorders>
            <w:shd w:val="clear" w:color="auto" w:fill="auto"/>
            <w:noWrap/>
            <w:vAlign w:val="center"/>
            <w:hideMark/>
          </w:tcPr>
          <w:p w14:paraId="2C78375A"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1 035</w:t>
            </w:r>
          </w:p>
        </w:tc>
        <w:tc>
          <w:tcPr>
            <w:tcW w:w="772" w:type="dxa"/>
            <w:tcBorders>
              <w:top w:val="nil"/>
              <w:left w:val="nil"/>
              <w:bottom w:val="single" w:sz="4" w:space="0" w:color="auto"/>
              <w:right w:val="single" w:sz="4" w:space="0" w:color="auto"/>
            </w:tcBorders>
            <w:shd w:val="clear" w:color="auto" w:fill="auto"/>
            <w:noWrap/>
            <w:vAlign w:val="center"/>
            <w:hideMark/>
          </w:tcPr>
          <w:p w14:paraId="1AF035BD"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850</w:t>
            </w:r>
          </w:p>
        </w:tc>
        <w:tc>
          <w:tcPr>
            <w:tcW w:w="756" w:type="dxa"/>
            <w:tcBorders>
              <w:top w:val="nil"/>
              <w:left w:val="nil"/>
              <w:bottom w:val="single" w:sz="4" w:space="0" w:color="auto"/>
              <w:right w:val="single" w:sz="4" w:space="0" w:color="auto"/>
            </w:tcBorders>
            <w:shd w:val="clear" w:color="auto" w:fill="auto"/>
            <w:noWrap/>
            <w:vAlign w:val="center"/>
            <w:hideMark/>
          </w:tcPr>
          <w:p w14:paraId="0C4A566D"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670</w:t>
            </w:r>
          </w:p>
        </w:tc>
        <w:tc>
          <w:tcPr>
            <w:tcW w:w="865" w:type="dxa"/>
            <w:tcBorders>
              <w:top w:val="nil"/>
              <w:left w:val="nil"/>
              <w:bottom w:val="single" w:sz="4" w:space="0" w:color="auto"/>
              <w:right w:val="single" w:sz="4" w:space="0" w:color="auto"/>
            </w:tcBorders>
            <w:shd w:val="clear" w:color="auto" w:fill="auto"/>
            <w:noWrap/>
            <w:vAlign w:val="center"/>
            <w:hideMark/>
          </w:tcPr>
          <w:p w14:paraId="1AE24102"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6 830</w:t>
            </w:r>
          </w:p>
        </w:tc>
      </w:tr>
      <w:tr w:rsidR="009A1021" w:rsidRPr="009E23A6" w14:paraId="47B9DE05" w14:textId="77777777" w:rsidTr="008442B5">
        <w:trPr>
          <w:trHeight w:val="677"/>
        </w:trPr>
        <w:tc>
          <w:tcPr>
            <w:tcW w:w="1513" w:type="dxa"/>
            <w:tcBorders>
              <w:top w:val="nil"/>
              <w:left w:val="single" w:sz="4" w:space="0" w:color="auto"/>
              <w:bottom w:val="single" w:sz="4" w:space="0" w:color="auto"/>
              <w:right w:val="single" w:sz="4" w:space="0" w:color="auto"/>
            </w:tcBorders>
            <w:shd w:val="clear" w:color="auto" w:fill="auto"/>
            <w:vAlign w:val="center"/>
            <w:hideMark/>
          </w:tcPr>
          <w:p w14:paraId="01DCE0A7"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Průměrná intenzita podpory %</w:t>
            </w:r>
          </w:p>
        </w:tc>
        <w:tc>
          <w:tcPr>
            <w:tcW w:w="772" w:type="dxa"/>
            <w:tcBorders>
              <w:top w:val="nil"/>
              <w:left w:val="nil"/>
              <w:bottom w:val="single" w:sz="4" w:space="0" w:color="auto"/>
              <w:right w:val="single" w:sz="4" w:space="0" w:color="auto"/>
            </w:tcBorders>
            <w:shd w:val="clear" w:color="auto" w:fill="auto"/>
            <w:noWrap/>
            <w:vAlign w:val="center"/>
            <w:hideMark/>
          </w:tcPr>
          <w:p w14:paraId="11A3168D"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c>
          <w:tcPr>
            <w:tcW w:w="772" w:type="dxa"/>
            <w:tcBorders>
              <w:top w:val="nil"/>
              <w:left w:val="nil"/>
              <w:bottom w:val="single" w:sz="4" w:space="0" w:color="auto"/>
              <w:right w:val="single" w:sz="4" w:space="0" w:color="auto"/>
            </w:tcBorders>
            <w:shd w:val="clear" w:color="auto" w:fill="auto"/>
            <w:noWrap/>
            <w:vAlign w:val="center"/>
            <w:hideMark/>
          </w:tcPr>
          <w:p w14:paraId="38A4D553"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c>
          <w:tcPr>
            <w:tcW w:w="772" w:type="dxa"/>
            <w:tcBorders>
              <w:top w:val="nil"/>
              <w:left w:val="nil"/>
              <w:bottom w:val="single" w:sz="4" w:space="0" w:color="auto"/>
              <w:right w:val="single" w:sz="4" w:space="0" w:color="auto"/>
            </w:tcBorders>
            <w:shd w:val="clear" w:color="auto" w:fill="auto"/>
            <w:noWrap/>
            <w:vAlign w:val="center"/>
            <w:hideMark/>
          </w:tcPr>
          <w:p w14:paraId="2698A12D"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c>
          <w:tcPr>
            <w:tcW w:w="772" w:type="dxa"/>
            <w:tcBorders>
              <w:top w:val="nil"/>
              <w:left w:val="nil"/>
              <w:bottom w:val="single" w:sz="4" w:space="0" w:color="auto"/>
              <w:right w:val="single" w:sz="4" w:space="0" w:color="auto"/>
            </w:tcBorders>
            <w:shd w:val="clear" w:color="auto" w:fill="auto"/>
            <w:noWrap/>
            <w:vAlign w:val="center"/>
            <w:hideMark/>
          </w:tcPr>
          <w:p w14:paraId="486C14E3"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c>
          <w:tcPr>
            <w:tcW w:w="772" w:type="dxa"/>
            <w:tcBorders>
              <w:top w:val="nil"/>
              <w:left w:val="nil"/>
              <w:bottom w:val="single" w:sz="4" w:space="0" w:color="auto"/>
              <w:right w:val="single" w:sz="4" w:space="0" w:color="auto"/>
            </w:tcBorders>
            <w:shd w:val="clear" w:color="auto" w:fill="auto"/>
            <w:noWrap/>
            <w:vAlign w:val="center"/>
            <w:hideMark/>
          </w:tcPr>
          <w:p w14:paraId="756A24A0"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c>
          <w:tcPr>
            <w:tcW w:w="772" w:type="dxa"/>
            <w:tcBorders>
              <w:top w:val="nil"/>
              <w:left w:val="nil"/>
              <w:bottom w:val="single" w:sz="4" w:space="0" w:color="auto"/>
              <w:right w:val="single" w:sz="4" w:space="0" w:color="auto"/>
            </w:tcBorders>
            <w:shd w:val="clear" w:color="auto" w:fill="auto"/>
            <w:noWrap/>
            <w:vAlign w:val="center"/>
            <w:hideMark/>
          </w:tcPr>
          <w:p w14:paraId="040BF801"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c>
          <w:tcPr>
            <w:tcW w:w="772" w:type="dxa"/>
            <w:tcBorders>
              <w:top w:val="nil"/>
              <w:left w:val="nil"/>
              <w:bottom w:val="single" w:sz="4" w:space="0" w:color="auto"/>
              <w:right w:val="single" w:sz="4" w:space="0" w:color="auto"/>
            </w:tcBorders>
            <w:shd w:val="clear" w:color="auto" w:fill="auto"/>
            <w:noWrap/>
            <w:vAlign w:val="center"/>
            <w:hideMark/>
          </w:tcPr>
          <w:p w14:paraId="5A35E4CD"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c>
          <w:tcPr>
            <w:tcW w:w="772" w:type="dxa"/>
            <w:tcBorders>
              <w:top w:val="nil"/>
              <w:left w:val="nil"/>
              <w:bottom w:val="single" w:sz="4" w:space="0" w:color="auto"/>
              <w:right w:val="single" w:sz="4" w:space="0" w:color="auto"/>
            </w:tcBorders>
            <w:shd w:val="clear" w:color="auto" w:fill="auto"/>
            <w:noWrap/>
            <w:vAlign w:val="center"/>
            <w:hideMark/>
          </w:tcPr>
          <w:p w14:paraId="60976D47"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c>
          <w:tcPr>
            <w:tcW w:w="756" w:type="dxa"/>
            <w:tcBorders>
              <w:top w:val="nil"/>
              <w:left w:val="nil"/>
              <w:bottom w:val="single" w:sz="4" w:space="0" w:color="auto"/>
              <w:right w:val="single" w:sz="4" w:space="0" w:color="auto"/>
            </w:tcBorders>
            <w:shd w:val="clear" w:color="auto" w:fill="auto"/>
            <w:noWrap/>
            <w:vAlign w:val="center"/>
            <w:hideMark/>
          </w:tcPr>
          <w:p w14:paraId="2C4830B5"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c>
          <w:tcPr>
            <w:tcW w:w="865" w:type="dxa"/>
            <w:tcBorders>
              <w:top w:val="nil"/>
              <w:left w:val="nil"/>
              <w:bottom w:val="single" w:sz="4" w:space="0" w:color="auto"/>
              <w:right w:val="single" w:sz="4" w:space="0" w:color="auto"/>
            </w:tcBorders>
            <w:shd w:val="clear" w:color="auto" w:fill="auto"/>
            <w:noWrap/>
            <w:vAlign w:val="center"/>
            <w:hideMark/>
          </w:tcPr>
          <w:p w14:paraId="68816984"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85</w:t>
            </w:r>
          </w:p>
        </w:tc>
      </w:tr>
    </w:tbl>
    <w:p w14:paraId="202EBB5E" w14:textId="16D9320A" w:rsidR="009A1021" w:rsidRPr="009E23A6" w:rsidRDefault="009A1021" w:rsidP="009A1021">
      <w:pPr>
        <w:pStyle w:val="Nadpis2"/>
        <w:rPr>
          <w:szCs w:val="28"/>
        </w:rPr>
      </w:pPr>
      <w:bookmarkStart w:id="40" w:name="_Toc115938903"/>
      <w:r w:rsidRPr="009E23A6">
        <w:rPr>
          <w:szCs w:val="28"/>
        </w:rPr>
        <w:t>Podprogram II</w:t>
      </w:r>
      <w:bookmarkEnd w:id="40"/>
    </w:p>
    <w:p w14:paraId="3BD6D46C" w14:textId="576EE78F" w:rsidR="009A1021" w:rsidRPr="009E23A6" w:rsidRDefault="009A1021" w:rsidP="009A1021">
      <w:r w:rsidRPr="009E23A6">
        <w:t xml:space="preserve">Podprogram II je zaměřen na výzkumné potřeby veřejného sektoru. Při výběru projektů bude brán zřetel na jeho kvalitu a naplnění potřeb stanovených </w:t>
      </w:r>
      <w:r w:rsidR="00B075E7" w:rsidRPr="00AD3FEC">
        <w:t>veřejnou</w:t>
      </w:r>
      <w:r w:rsidRPr="00AD3FEC">
        <w:t xml:space="preserve"> správou</w:t>
      </w:r>
      <w:r w:rsidRPr="009E23A6">
        <w:t>. Vybrané projekty budou mít charakter aplikovaného výzkumu a jejich cílem bude získání nových poznatků uplatnitelných v praxi.</w:t>
      </w:r>
    </w:p>
    <w:p w14:paraId="3BA013D1" w14:textId="77777777" w:rsidR="009A1021" w:rsidRPr="009E23A6" w:rsidRDefault="009A1021" w:rsidP="009A1021">
      <w:r w:rsidRPr="009E23A6">
        <w:t xml:space="preserve">V rámci podprogramu II budou přednostně vybírány k řešení projekty, jejichž výsledky budou sloužit k výzkumné podpoře aktuálních potřeb veřejného sektoru v oblasti zemědělství, potravinářství, lesního a vodního hospodářství a ochrany zemědělského půdního fondu. Tento podprogram bude dále řešit aktuální potřeby resortu zemědělství. Výsledky těchto projektů </w:t>
      </w:r>
      <w:r w:rsidRPr="009E23A6">
        <w:lastRenderedPageBreak/>
        <w:t xml:space="preserve">bude žádoucí aplikovat do praxe ihned s okamžitým efektem zlepšení problematické situace. Z tohoto důvodu bude délka řešení projektů kratší a průměrné náklady na projekt nižší než u podprogramu I. Zaměření projektů bude užší a bude spadat vždy do jednoho z výzkumných směrů </w:t>
      </w:r>
      <w:r w:rsidRPr="009E23A6">
        <w:rPr>
          <w:rFonts w:cs="Arial"/>
          <w:szCs w:val="22"/>
        </w:rPr>
        <w:t>Koncepce VaVaI MZe 2023+</w:t>
      </w:r>
      <w:r w:rsidRPr="009E23A6">
        <w:t xml:space="preserve">. </w:t>
      </w:r>
    </w:p>
    <w:p w14:paraId="072517F0" w14:textId="77777777" w:rsidR="009A1021" w:rsidRPr="009E23A6" w:rsidRDefault="009A1021" w:rsidP="009A1021">
      <w:r w:rsidRPr="009E23A6">
        <w:t xml:space="preserve">U projektů v podprogramu II bude očekávaná doba řešení projektů maximálně 4 roky. </w:t>
      </w:r>
    </w:p>
    <w:p w14:paraId="280C07D1" w14:textId="4049083A" w:rsidR="00522499" w:rsidRPr="009E23A6" w:rsidRDefault="00522499" w:rsidP="009A1021"/>
    <w:p w14:paraId="0401DF83" w14:textId="05B5C555" w:rsidR="00522499" w:rsidRPr="009E23A6" w:rsidRDefault="00522499" w:rsidP="009A1021">
      <w:r w:rsidRPr="009E23A6">
        <w:t xml:space="preserve">Hlavním příjemcem podpory v podprogramu II budou výzkumné organizace, dalšími účastníky mohou být jiné výzkumné organizace </w:t>
      </w:r>
      <w:r w:rsidR="001C128C" w:rsidRPr="009E23A6">
        <w:t>a/</w:t>
      </w:r>
      <w:r w:rsidRPr="009E23A6">
        <w:t>nebo i podniky.</w:t>
      </w:r>
    </w:p>
    <w:p w14:paraId="5E018738" w14:textId="77777777" w:rsidR="009A1021" w:rsidRPr="009E23A6" w:rsidRDefault="009A1021" w:rsidP="009A1021">
      <w:pPr>
        <w:rPr>
          <w:b/>
          <w:bCs/>
        </w:rPr>
      </w:pPr>
      <w:r w:rsidRPr="009E23A6">
        <w:t>Na tento podprogram bude ze státního rozpočtu vynaložena podpora ve výši 2 300 mil. Kč, tj. 28 % objemu účelové podpory na celý Program. Očekávaná intenzita podpory na tento podprogram ze státního rozpočtu bude 95 % celkových způsobilých nákladů na řešení všech projektů v tomto podprogramu.</w:t>
      </w:r>
    </w:p>
    <w:p w14:paraId="7BAD576A" w14:textId="3355C2CE" w:rsidR="009A1021" w:rsidRPr="009E23A6" w:rsidRDefault="009A1021" w:rsidP="009A1021">
      <w:pPr>
        <w:rPr>
          <w:b/>
        </w:rPr>
      </w:pPr>
      <w:r w:rsidRPr="009E23A6">
        <w:rPr>
          <w:b/>
        </w:rPr>
        <w:t xml:space="preserve">Tabulka č. </w:t>
      </w:r>
      <w:r w:rsidR="001009A9" w:rsidRPr="009E23A6">
        <w:rPr>
          <w:b/>
          <w:bCs/>
        </w:rPr>
        <w:t>5</w:t>
      </w:r>
      <w:r w:rsidRPr="009E23A6">
        <w:rPr>
          <w:b/>
          <w:bCs/>
        </w:rPr>
        <w:t>:</w:t>
      </w:r>
      <w:r w:rsidRPr="009E23A6">
        <w:rPr>
          <w:b/>
        </w:rPr>
        <w:t xml:space="preserve"> Předpokládané výdaje za státního rozpočtu a celkové výdaje na podprogram II (v mil. Kč)</w:t>
      </w:r>
    </w:p>
    <w:tbl>
      <w:tblPr>
        <w:tblW w:w="9324" w:type="dxa"/>
        <w:tblCellMar>
          <w:left w:w="70" w:type="dxa"/>
          <w:right w:w="70" w:type="dxa"/>
        </w:tblCellMar>
        <w:tblLook w:val="04A0" w:firstRow="1" w:lastRow="0" w:firstColumn="1" w:lastColumn="0" w:noHBand="0" w:noVBand="1"/>
      </w:tblPr>
      <w:tblGrid>
        <w:gridCol w:w="1516"/>
        <w:gridCol w:w="773"/>
        <w:gridCol w:w="773"/>
        <w:gridCol w:w="773"/>
        <w:gridCol w:w="773"/>
        <w:gridCol w:w="773"/>
        <w:gridCol w:w="773"/>
        <w:gridCol w:w="773"/>
        <w:gridCol w:w="773"/>
        <w:gridCol w:w="758"/>
        <w:gridCol w:w="923"/>
      </w:tblGrid>
      <w:tr w:rsidR="009A1021" w:rsidRPr="009E23A6" w14:paraId="3ED8FA33" w14:textId="77777777" w:rsidTr="008442B5">
        <w:trPr>
          <w:trHeight w:val="499"/>
        </w:trPr>
        <w:tc>
          <w:tcPr>
            <w:tcW w:w="15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F892D"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Rok</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14:paraId="3D3E4D01"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2024</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14:paraId="1A1CE80C"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2025</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14:paraId="61FECF2D"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2026</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14:paraId="075EE1BE"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2027</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14:paraId="5E06FB2E"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2028</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14:paraId="4CDF06A7"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2029</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14:paraId="230F0093"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2030</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14:paraId="1195BAF5"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2031</w:t>
            </w:r>
          </w:p>
        </w:tc>
        <w:tc>
          <w:tcPr>
            <w:tcW w:w="758" w:type="dxa"/>
            <w:tcBorders>
              <w:top w:val="single" w:sz="4" w:space="0" w:color="auto"/>
              <w:left w:val="nil"/>
              <w:bottom w:val="single" w:sz="4" w:space="0" w:color="auto"/>
              <w:right w:val="single" w:sz="4" w:space="0" w:color="auto"/>
            </w:tcBorders>
            <w:shd w:val="clear" w:color="auto" w:fill="auto"/>
            <w:noWrap/>
            <w:vAlign w:val="center"/>
            <w:hideMark/>
          </w:tcPr>
          <w:p w14:paraId="3831FB48"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2032</w:t>
            </w:r>
          </w:p>
        </w:tc>
        <w:tc>
          <w:tcPr>
            <w:tcW w:w="866" w:type="dxa"/>
            <w:tcBorders>
              <w:top w:val="single" w:sz="4" w:space="0" w:color="auto"/>
              <w:left w:val="nil"/>
              <w:bottom w:val="single" w:sz="4" w:space="0" w:color="auto"/>
              <w:right w:val="single" w:sz="4" w:space="0" w:color="auto"/>
            </w:tcBorders>
            <w:shd w:val="clear" w:color="auto" w:fill="auto"/>
            <w:noWrap/>
            <w:vAlign w:val="center"/>
            <w:hideMark/>
          </w:tcPr>
          <w:p w14:paraId="7081CE6C" w14:textId="77777777" w:rsidR="009A1021" w:rsidRPr="009E23A6" w:rsidRDefault="009A1021" w:rsidP="008442B5">
            <w:pPr>
              <w:spacing w:before="0" w:after="0"/>
              <w:jc w:val="center"/>
              <w:rPr>
                <w:rFonts w:eastAsia="Times New Roman" w:cs="Arial"/>
                <w:b/>
                <w:bCs/>
                <w:color w:val="000000"/>
                <w:szCs w:val="22"/>
              </w:rPr>
            </w:pPr>
            <w:r w:rsidRPr="009E23A6">
              <w:rPr>
                <w:rFonts w:eastAsia="Times New Roman" w:cs="Arial"/>
                <w:b/>
                <w:bCs/>
                <w:color w:val="000000"/>
                <w:szCs w:val="22"/>
              </w:rPr>
              <w:t>Celkem</w:t>
            </w:r>
          </w:p>
        </w:tc>
      </w:tr>
      <w:tr w:rsidR="009A1021" w:rsidRPr="009E23A6" w14:paraId="55BBB6B2" w14:textId="77777777" w:rsidTr="008442B5">
        <w:trPr>
          <w:trHeight w:val="998"/>
        </w:trPr>
        <w:tc>
          <w:tcPr>
            <w:tcW w:w="1516" w:type="dxa"/>
            <w:tcBorders>
              <w:top w:val="nil"/>
              <w:left w:val="single" w:sz="4" w:space="0" w:color="auto"/>
              <w:bottom w:val="single" w:sz="4" w:space="0" w:color="auto"/>
              <w:right w:val="single" w:sz="4" w:space="0" w:color="auto"/>
            </w:tcBorders>
            <w:shd w:val="clear" w:color="auto" w:fill="auto"/>
            <w:vAlign w:val="center"/>
            <w:hideMark/>
          </w:tcPr>
          <w:p w14:paraId="25033ED6"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Výdaje ze státního rozpočtu</w:t>
            </w:r>
          </w:p>
        </w:tc>
        <w:tc>
          <w:tcPr>
            <w:tcW w:w="773" w:type="dxa"/>
            <w:tcBorders>
              <w:top w:val="nil"/>
              <w:left w:val="nil"/>
              <w:bottom w:val="single" w:sz="4" w:space="0" w:color="auto"/>
              <w:right w:val="single" w:sz="4" w:space="0" w:color="auto"/>
            </w:tcBorders>
            <w:shd w:val="clear" w:color="auto" w:fill="auto"/>
            <w:noWrap/>
            <w:vAlign w:val="center"/>
            <w:hideMark/>
          </w:tcPr>
          <w:p w14:paraId="088E5616"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100</w:t>
            </w:r>
          </w:p>
        </w:tc>
        <w:tc>
          <w:tcPr>
            <w:tcW w:w="773" w:type="dxa"/>
            <w:tcBorders>
              <w:top w:val="nil"/>
              <w:left w:val="nil"/>
              <w:bottom w:val="single" w:sz="4" w:space="0" w:color="auto"/>
              <w:right w:val="single" w:sz="4" w:space="0" w:color="auto"/>
            </w:tcBorders>
            <w:shd w:val="clear" w:color="auto" w:fill="auto"/>
            <w:noWrap/>
            <w:vAlign w:val="center"/>
            <w:hideMark/>
          </w:tcPr>
          <w:p w14:paraId="57894243"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190</w:t>
            </w:r>
          </w:p>
        </w:tc>
        <w:tc>
          <w:tcPr>
            <w:tcW w:w="773" w:type="dxa"/>
            <w:tcBorders>
              <w:top w:val="nil"/>
              <w:left w:val="nil"/>
              <w:bottom w:val="single" w:sz="4" w:space="0" w:color="auto"/>
              <w:right w:val="single" w:sz="4" w:space="0" w:color="auto"/>
            </w:tcBorders>
            <w:shd w:val="clear" w:color="auto" w:fill="auto"/>
            <w:noWrap/>
            <w:vAlign w:val="center"/>
            <w:hideMark/>
          </w:tcPr>
          <w:p w14:paraId="47BFEDFD"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320</w:t>
            </w:r>
          </w:p>
        </w:tc>
        <w:tc>
          <w:tcPr>
            <w:tcW w:w="773" w:type="dxa"/>
            <w:tcBorders>
              <w:top w:val="nil"/>
              <w:left w:val="nil"/>
              <w:bottom w:val="single" w:sz="4" w:space="0" w:color="auto"/>
              <w:right w:val="single" w:sz="4" w:space="0" w:color="auto"/>
            </w:tcBorders>
            <w:shd w:val="clear" w:color="auto" w:fill="auto"/>
            <w:noWrap/>
            <w:vAlign w:val="center"/>
            <w:hideMark/>
          </w:tcPr>
          <w:p w14:paraId="2919E119"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320</w:t>
            </w:r>
          </w:p>
        </w:tc>
        <w:tc>
          <w:tcPr>
            <w:tcW w:w="773" w:type="dxa"/>
            <w:tcBorders>
              <w:top w:val="nil"/>
              <w:left w:val="nil"/>
              <w:bottom w:val="single" w:sz="4" w:space="0" w:color="auto"/>
              <w:right w:val="single" w:sz="4" w:space="0" w:color="auto"/>
            </w:tcBorders>
            <w:shd w:val="clear" w:color="auto" w:fill="auto"/>
            <w:noWrap/>
            <w:vAlign w:val="center"/>
            <w:hideMark/>
          </w:tcPr>
          <w:p w14:paraId="60DD3BEB"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320</w:t>
            </w:r>
          </w:p>
        </w:tc>
        <w:tc>
          <w:tcPr>
            <w:tcW w:w="773" w:type="dxa"/>
            <w:tcBorders>
              <w:top w:val="nil"/>
              <w:left w:val="nil"/>
              <w:bottom w:val="single" w:sz="4" w:space="0" w:color="auto"/>
              <w:right w:val="single" w:sz="4" w:space="0" w:color="auto"/>
            </w:tcBorders>
            <w:shd w:val="clear" w:color="auto" w:fill="auto"/>
            <w:noWrap/>
            <w:vAlign w:val="center"/>
            <w:hideMark/>
          </w:tcPr>
          <w:p w14:paraId="22509D49"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320</w:t>
            </w:r>
          </w:p>
        </w:tc>
        <w:tc>
          <w:tcPr>
            <w:tcW w:w="773" w:type="dxa"/>
            <w:tcBorders>
              <w:top w:val="nil"/>
              <w:left w:val="nil"/>
              <w:bottom w:val="single" w:sz="4" w:space="0" w:color="auto"/>
              <w:right w:val="single" w:sz="4" w:space="0" w:color="auto"/>
            </w:tcBorders>
            <w:shd w:val="clear" w:color="auto" w:fill="auto"/>
            <w:noWrap/>
            <w:vAlign w:val="center"/>
            <w:hideMark/>
          </w:tcPr>
          <w:p w14:paraId="09AEB71D"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280</w:t>
            </w:r>
          </w:p>
        </w:tc>
        <w:tc>
          <w:tcPr>
            <w:tcW w:w="773" w:type="dxa"/>
            <w:tcBorders>
              <w:top w:val="nil"/>
              <w:left w:val="nil"/>
              <w:bottom w:val="single" w:sz="4" w:space="0" w:color="auto"/>
              <w:right w:val="single" w:sz="4" w:space="0" w:color="auto"/>
            </w:tcBorders>
            <w:shd w:val="clear" w:color="auto" w:fill="auto"/>
            <w:noWrap/>
            <w:vAlign w:val="center"/>
            <w:hideMark/>
          </w:tcPr>
          <w:p w14:paraId="0EB392DA"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270</w:t>
            </w:r>
          </w:p>
        </w:tc>
        <w:tc>
          <w:tcPr>
            <w:tcW w:w="758" w:type="dxa"/>
            <w:tcBorders>
              <w:top w:val="nil"/>
              <w:left w:val="nil"/>
              <w:bottom w:val="single" w:sz="4" w:space="0" w:color="auto"/>
              <w:right w:val="single" w:sz="4" w:space="0" w:color="auto"/>
            </w:tcBorders>
            <w:shd w:val="clear" w:color="auto" w:fill="auto"/>
            <w:noWrap/>
            <w:vAlign w:val="center"/>
            <w:hideMark/>
          </w:tcPr>
          <w:p w14:paraId="1A157B55"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180</w:t>
            </w:r>
          </w:p>
        </w:tc>
        <w:tc>
          <w:tcPr>
            <w:tcW w:w="866" w:type="dxa"/>
            <w:tcBorders>
              <w:top w:val="nil"/>
              <w:left w:val="nil"/>
              <w:bottom w:val="single" w:sz="4" w:space="0" w:color="auto"/>
              <w:right w:val="single" w:sz="4" w:space="0" w:color="auto"/>
            </w:tcBorders>
            <w:shd w:val="clear" w:color="auto" w:fill="auto"/>
            <w:noWrap/>
            <w:vAlign w:val="center"/>
            <w:hideMark/>
          </w:tcPr>
          <w:p w14:paraId="45291FF4"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2 300</w:t>
            </w:r>
          </w:p>
        </w:tc>
      </w:tr>
      <w:tr w:rsidR="009A1021" w:rsidRPr="009E23A6" w14:paraId="33897398" w14:textId="77777777" w:rsidTr="008442B5">
        <w:trPr>
          <w:trHeight w:val="499"/>
        </w:trPr>
        <w:tc>
          <w:tcPr>
            <w:tcW w:w="1516" w:type="dxa"/>
            <w:tcBorders>
              <w:top w:val="nil"/>
              <w:left w:val="single" w:sz="4" w:space="0" w:color="auto"/>
              <w:bottom w:val="single" w:sz="4" w:space="0" w:color="auto"/>
              <w:right w:val="single" w:sz="4" w:space="0" w:color="auto"/>
            </w:tcBorders>
            <w:shd w:val="clear" w:color="auto" w:fill="auto"/>
            <w:vAlign w:val="center"/>
            <w:hideMark/>
          </w:tcPr>
          <w:p w14:paraId="1D5CA973"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Ostatní zdroje</w:t>
            </w:r>
          </w:p>
        </w:tc>
        <w:tc>
          <w:tcPr>
            <w:tcW w:w="773" w:type="dxa"/>
            <w:tcBorders>
              <w:top w:val="nil"/>
              <w:left w:val="nil"/>
              <w:bottom w:val="single" w:sz="4" w:space="0" w:color="auto"/>
              <w:right w:val="single" w:sz="4" w:space="0" w:color="auto"/>
            </w:tcBorders>
            <w:shd w:val="clear" w:color="auto" w:fill="auto"/>
            <w:noWrap/>
            <w:vAlign w:val="center"/>
            <w:hideMark/>
          </w:tcPr>
          <w:p w14:paraId="06DD7201"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5</w:t>
            </w:r>
          </w:p>
        </w:tc>
        <w:tc>
          <w:tcPr>
            <w:tcW w:w="773" w:type="dxa"/>
            <w:tcBorders>
              <w:top w:val="nil"/>
              <w:left w:val="nil"/>
              <w:bottom w:val="single" w:sz="4" w:space="0" w:color="auto"/>
              <w:right w:val="single" w:sz="4" w:space="0" w:color="auto"/>
            </w:tcBorders>
            <w:shd w:val="clear" w:color="auto" w:fill="auto"/>
            <w:noWrap/>
            <w:vAlign w:val="center"/>
            <w:hideMark/>
          </w:tcPr>
          <w:p w14:paraId="786B3FF1"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10</w:t>
            </w:r>
          </w:p>
        </w:tc>
        <w:tc>
          <w:tcPr>
            <w:tcW w:w="773" w:type="dxa"/>
            <w:tcBorders>
              <w:top w:val="nil"/>
              <w:left w:val="nil"/>
              <w:bottom w:val="single" w:sz="4" w:space="0" w:color="auto"/>
              <w:right w:val="single" w:sz="4" w:space="0" w:color="auto"/>
            </w:tcBorders>
            <w:shd w:val="clear" w:color="auto" w:fill="auto"/>
            <w:noWrap/>
            <w:vAlign w:val="center"/>
            <w:hideMark/>
          </w:tcPr>
          <w:p w14:paraId="4580E781"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15</w:t>
            </w:r>
          </w:p>
        </w:tc>
        <w:tc>
          <w:tcPr>
            <w:tcW w:w="773" w:type="dxa"/>
            <w:tcBorders>
              <w:top w:val="nil"/>
              <w:left w:val="nil"/>
              <w:bottom w:val="single" w:sz="4" w:space="0" w:color="auto"/>
              <w:right w:val="single" w:sz="4" w:space="0" w:color="auto"/>
            </w:tcBorders>
            <w:shd w:val="clear" w:color="auto" w:fill="auto"/>
            <w:noWrap/>
            <w:vAlign w:val="center"/>
            <w:hideMark/>
          </w:tcPr>
          <w:p w14:paraId="7D3E0984"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15</w:t>
            </w:r>
          </w:p>
        </w:tc>
        <w:tc>
          <w:tcPr>
            <w:tcW w:w="773" w:type="dxa"/>
            <w:tcBorders>
              <w:top w:val="nil"/>
              <w:left w:val="nil"/>
              <w:bottom w:val="single" w:sz="4" w:space="0" w:color="auto"/>
              <w:right w:val="single" w:sz="4" w:space="0" w:color="auto"/>
            </w:tcBorders>
            <w:shd w:val="clear" w:color="auto" w:fill="auto"/>
            <w:noWrap/>
            <w:vAlign w:val="center"/>
            <w:hideMark/>
          </w:tcPr>
          <w:p w14:paraId="4FFFFBFF"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15</w:t>
            </w:r>
          </w:p>
        </w:tc>
        <w:tc>
          <w:tcPr>
            <w:tcW w:w="773" w:type="dxa"/>
            <w:tcBorders>
              <w:top w:val="nil"/>
              <w:left w:val="nil"/>
              <w:bottom w:val="single" w:sz="4" w:space="0" w:color="auto"/>
              <w:right w:val="single" w:sz="4" w:space="0" w:color="auto"/>
            </w:tcBorders>
            <w:shd w:val="clear" w:color="auto" w:fill="auto"/>
            <w:noWrap/>
            <w:vAlign w:val="center"/>
            <w:hideMark/>
          </w:tcPr>
          <w:p w14:paraId="2A7346F8"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15</w:t>
            </w:r>
          </w:p>
        </w:tc>
        <w:tc>
          <w:tcPr>
            <w:tcW w:w="773" w:type="dxa"/>
            <w:tcBorders>
              <w:top w:val="nil"/>
              <w:left w:val="nil"/>
              <w:bottom w:val="single" w:sz="4" w:space="0" w:color="auto"/>
              <w:right w:val="single" w:sz="4" w:space="0" w:color="auto"/>
            </w:tcBorders>
            <w:shd w:val="clear" w:color="auto" w:fill="auto"/>
            <w:noWrap/>
            <w:vAlign w:val="center"/>
            <w:hideMark/>
          </w:tcPr>
          <w:p w14:paraId="23767010"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15</w:t>
            </w:r>
          </w:p>
        </w:tc>
        <w:tc>
          <w:tcPr>
            <w:tcW w:w="773" w:type="dxa"/>
            <w:tcBorders>
              <w:top w:val="nil"/>
              <w:left w:val="nil"/>
              <w:bottom w:val="single" w:sz="4" w:space="0" w:color="auto"/>
              <w:right w:val="single" w:sz="4" w:space="0" w:color="auto"/>
            </w:tcBorders>
            <w:shd w:val="clear" w:color="auto" w:fill="auto"/>
            <w:noWrap/>
            <w:vAlign w:val="center"/>
            <w:hideMark/>
          </w:tcPr>
          <w:p w14:paraId="11B5D2BB"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15</w:t>
            </w:r>
          </w:p>
        </w:tc>
        <w:tc>
          <w:tcPr>
            <w:tcW w:w="758" w:type="dxa"/>
            <w:tcBorders>
              <w:top w:val="nil"/>
              <w:left w:val="nil"/>
              <w:bottom w:val="single" w:sz="4" w:space="0" w:color="auto"/>
              <w:right w:val="single" w:sz="4" w:space="0" w:color="auto"/>
            </w:tcBorders>
            <w:shd w:val="clear" w:color="auto" w:fill="auto"/>
            <w:noWrap/>
            <w:vAlign w:val="center"/>
            <w:hideMark/>
          </w:tcPr>
          <w:p w14:paraId="07621D43"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10</w:t>
            </w:r>
          </w:p>
        </w:tc>
        <w:tc>
          <w:tcPr>
            <w:tcW w:w="866" w:type="dxa"/>
            <w:tcBorders>
              <w:top w:val="nil"/>
              <w:left w:val="nil"/>
              <w:bottom w:val="single" w:sz="4" w:space="0" w:color="auto"/>
              <w:right w:val="single" w:sz="4" w:space="0" w:color="auto"/>
            </w:tcBorders>
            <w:shd w:val="clear" w:color="auto" w:fill="auto"/>
            <w:noWrap/>
            <w:vAlign w:val="center"/>
            <w:hideMark/>
          </w:tcPr>
          <w:p w14:paraId="5A095833"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115</w:t>
            </w:r>
          </w:p>
        </w:tc>
      </w:tr>
      <w:tr w:rsidR="009A1021" w:rsidRPr="009E23A6" w14:paraId="3B2E3D1B" w14:textId="77777777" w:rsidTr="008442B5">
        <w:trPr>
          <w:trHeight w:val="499"/>
        </w:trPr>
        <w:tc>
          <w:tcPr>
            <w:tcW w:w="1516" w:type="dxa"/>
            <w:tcBorders>
              <w:top w:val="nil"/>
              <w:left w:val="single" w:sz="4" w:space="0" w:color="auto"/>
              <w:bottom w:val="single" w:sz="4" w:space="0" w:color="auto"/>
              <w:right w:val="single" w:sz="4" w:space="0" w:color="auto"/>
            </w:tcBorders>
            <w:shd w:val="clear" w:color="auto" w:fill="auto"/>
            <w:vAlign w:val="center"/>
            <w:hideMark/>
          </w:tcPr>
          <w:p w14:paraId="3B246A9B"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Výdaje celkem</w:t>
            </w:r>
          </w:p>
        </w:tc>
        <w:tc>
          <w:tcPr>
            <w:tcW w:w="773" w:type="dxa"/>
            <w:tcBorders>
              <w:top w:val="nil"/>
              <w:left w:val="nil"/>
              <w:bottom w:val="single" w:sz="4" w:space="0" w:color="auto"/>
              <w:right w:val="single" w:sz="4" w:space="0" w:color="auto"/>
            </w:tcBorders>
            <w:shd w:val="clear" w:color="auto" w:fill="auto"/>
            <w:noWrap/>
            <w:vAlign w:val="center"/>
            <w:hideMark/>
          </w:tcPr>
          <w:p w14:paraId="7F1A94B8"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105</w:t>
            </w:r>
          </w:p>
        </w:tc>
        <w:tc>
          <w:tcPr>
            <w:tcW w:w="773" w:type="dxa"/>
            <w:tcBorders>
              <w:top w:val="nil"/>
              <w:left w:val="nil"/>
              <w:bottom w:val="single" w:sz="4" w:space="0" w:color="auto"/>
              <w:right w:val="single" w:sz="4" w:space="0" w:color="auto"/>
            </w:tcBorders>
            <w:shd w:val="clear" w:color="auto" w:fill="auto"/>
            <w:noWrap/>
            <w:vAlign w:val="center"/>
            <w:hideMark/>
          </w:tcPr>
          <w:p w14:paraId="39C863EF"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200</w:t>
            </w:r>
          </w:p>
        </w:tc>
        <w:tc>
          <w:tcPr>
            <w:tcW w:w="773" w:type="dxa"/>
            <w:tcBorders>
              <w:top w:val="nil"/>
              <w:left w:val="nil"/>
              <w:bottom w:val="single" w:sz="4" w:space="0" w:color="auto"/>
              <w:right w:val="single" w:sz="4" w:space="0" w:color="auto"/>
            </w:tcBorders>
            <w:shd w:val="clear" w:color="auto" w:fill="auto"/>
            <w:noWrap/>
            <w:vAlign w:val="center"/>
            <w:hideMark/>
          </w:tcPr>
          <w:p w14:paraId="57AEA2DC"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335</w:t>
            </w:r>
          </w:p>
        </w:tc>
        <w:tc>
          <w:tcPr>
            <w:tcW w:w="773" w:type="dxa"/>
            <w:tcBorders>
              <w:top w:val="nil"/>
              <w:left w:val="nil"/>
              <w:bottom w:val="single" w:sz="4" w:space="0" w:color="auto"/>
              <w:right w:val="single" w:sz="4" w:space="0" w:color="auto"/>
            </w:tcBorders>
            <w:shd w:val="clear" w:color="auto" w:fill="auto"/>
            <w:noWrap/>
            <w:vAlign w:val="center"/>
            <w:hideMark/>
          </w:tcPr>
          <w:p w14:paraId="61AAC65C"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335</w:t>
            </w:r>
          </w:p>
        </w:tc>
        <w:tc>
          <w:tcPr>
            <w:tcW w:w="773" w:type="dxa"/>
            <w:tcBorders>
              <w:top w:val="nil"/>
              <w:left w:val="nil"/>
              <w:bottom w:val="single" w:sz="4" w:space="0" w:color="auto"/>
              <w:right w:val="single" w:sz="4" w:space="0" w:color="auto"/>
            </w:tcBorders>
            <w:shd w:val="clear" w:color="auto" w:fill="auto"/>
            <w:noWrap/>
            <w:vAlign w:val="center"/>
            <w:hideMark/>
          </w:tcPr>
          <w:p w14:paraId="6F889B99"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335</w:t>
            </w:r>
          </w:p>
        </w:tc>
        <w:tc>
          <w:tcPr>
            <w:tcW w:w="773" w:type="dxa"/>
            <w:tcBorders>
              <w:top w:val="nil"/>
              <w:left w:val="nil"/>
              <w:bottom w:val="single" w:sz="4" w:space="0" w:color="auto"/>
              <w:right w:val="single" w:sz="4" w:space="0" w:color="auto"/>
            </w:tcBorders>
            <w:shd w:val="clear" w:color="auto" w:fill="auto"/>
            <w:noWrap/>
            <w:vAlign w:val="center"/>
            <w:hideMark/>
          </w:tcPr>
          <w:p w14:paraId="66C6372A"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335</w:t>
            </w:r>
          </w:p>
        </w:tc>
        <w:tc>
          <w:tcPr>
            <w:tcW w:w="773" w:type="dxa"/>
            <w:tcBorders>
              <w:top w:val="nil"/>
              <w:left w:val="nil"/>
              <w:bottom w:val="single" w:sz="4" w:space="0" w:color="auto"/>
              <w:right w:val="single" w:sz="4" w:space="0" w:color="auto"/>
            </w:tcBorders>
            <w:shd w:val="clear" w:color="auto" w:fill="auto"/>
            <w:noWrap/>
            <w:vAlign w:val="center"/>
            <w:hideMark/>
          </w:tcPr>
          <w:p w14:paraId="5D3F2664"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295</w:t>
            </w:r>
          </w:p>
        </w:tc>
        <w:tc>
          <w:tcPr>
            <w:tcW w:w="773" w:type="dxa"/>
            <w:tcBorders>
              <w:top w:val="nil"/>
              <w:left w:val="nil"/>
              <w:bottom w:val="single" w:sz="4" w:space="0" w:color="auto"/>
              <w:right w:val="single" w:sz="4" w:space="0" w:color="auto"/>
            </w:tcBorders>
            <w:shd w:val="clear" w:color="auto" w:fill="auto"/>
            <w:noWrap/>
            <w:vAlign w:val="center"/>
            <w:hideMark/>
          </w:tcPr>
          <w:p w14:paraId="5AB0A5E4"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285</w:t>
            </w:r>
          </w:p>
        </w:tc>
        <w:tc>
          <w:tcPr>
            <w:tcW w:w="758" w:type="dxa"/>
            <w:tcBorders>
              <w:top w:val="nil"/>
              <w:left w:val="nil"/>
              <w:bottom w:val="single" w:sz="4" w:space="0" w:color="auto"/>
              <w:right w:val="single" w:sz="4" w:space="0" w:color="auto"/>
            </w:tcBorders>
            <w:shd w:val="clear" w:color="auto" w:fill="auto"/>
            <w:noWrap/>
            <w:vAlign w:val="center"/>
            <w:hideMark/>
          </w:tcPr>
          <w:p w14:paraId="45D8F452"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190</w:t>
            </w:r>
          </w:p>
        </w:tc>
        <w:tc>
          <w:tcPr>
            <w:tcW w:w="866" w:type="dxa"/>
            <w:tcBorders>
              <w:top w:val="nil"/>
              <w:left w:val="nil"/>
              <w:bottom w:val="single" w:sz="4" w:space="0" w:color="auto"/>
              <w:right w:val="single" w:sz="4" w:space="0" w:color="auto"/>
            </w:tcBorders>
            <w:shd w:val="clear" w:color="auto" w:fill="auto"/>
            <w:noWrap/>
            <w:vAlign w:val="center"/>
            <w:hideMark/>
          </w:tcPr>
          <w:p w14:paraId="2F21B51F"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2 415</w:t>
            </w:r>
          </w:p>
        </w:tc>
      </w:tr>
      <w:tr w:rsidR="009A1021" w:rsidRPr="009E23A6" w14:paraId="2CDB9D17" w14:textId="77777777" w:rsidTr="008442B5">
        <w:trPr>
          <w:trHeight w:val="998"/>
        </w:trPr>
        <w:tc>
          <w:tcPr>
            <w:tcW w:w="1516" w:type="dxa"/>
            <w:tcBorders>
              <w:top w:val="nil"/>
              <w:left w:val="single" w:sz="4" w:space="0" w:color="auto"/>
              <w:bottom w:val="single" w:sz="4" w:space="0" w:color="auto"/>
              <w:right w:val="single" w:sz="4" w:space="0" w:color="auto"/>
            </w:tcBorders>
            <w:shd w:val="clear" w:color="auto" w:fill="auto"/>
            <w:vAlign w:val="center"/>
            <w:hideMark/>
          </w:tcPr>
          <w:p w14:paraId="77EAFC49" w14:textId="77777777" w:rsidR="009A1021" w:rsidRPr="009E23A6" w:rsidRDefault="009A1021" w:rsidP="008442B5">
            <w:pPr>
              <w:spacing w:before="0" w:after="0"/>
              <w:jc w:val="left"/>
              <w:rPr>
                <w:rFonts w:eastAsia="Times New Roman" w:cs="Arial"/>
                <w:b/>
                <w:bCs/>
                <w:color w:val="000000"/>
                <w:szCs w:val="22"/>
              </w:rPr>
            </w:pPr>
            <w:r w:rsidRPr="009E23A6">
              <w:rPr>
                <w:rFonts w:eastAsia="Times New Roman" w:cs="Arial"/>
                <w:b/>
                <w:bCs/>
                <w:color w:val="000000"/>
                <w:szCs w:val="22"/>
              </w:rPr>
              <w:t>Průměrná intenzita podpory %</w:t>
            </w:r>
          </w:p>
        </w:tc>
        <w:tc>
          <w:tcPr>
            <w:tcW w:w="773" w:type="dxa"/>
            <w:tcBorders>
              <w:top w:val="nil"/>
              <w:left w:val="nil"/>
              <w:bottom w:val="single" w:sz="4" w:space="0" w:color="auto"/>
              <w:right w:val="single" w:sz="4" w:space="0" w:color="auto"/>
            </w:tcBorders>
            <w:shd w:val="clear" w:color="auto" w:fill="auto"/>
            <w:noWrap/>
            <w:vAlign w:val="center"/>
            <w:hideMark/>
          </w:tcPr>
          <w:p w14:paraId="0CDD87AA"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c>
          <w:tcPr>
            <w:tcW w:w="773" w:type="dxa"/>
            <w:tcBorders>
              <w:top w:val="nil"/>
              <w:left w:val="nil"/>
              <w:bottom w:val="single" w:sz="4" w:space="0" w:color="auto"/>
              <w:right w:val="single" w:sz="4" w:space="0" w:color="auto"/>
            </w:tcBorders>
            <w:shd w:val="clear" w:color="auto" w:fill="auto"/>
            <w:noWrap/>
            <w:vAlign w:val="center"/>
            <w:hideMark/>
          </w:tcPr>
          <w:p w14:paraId="29AA4413"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c>
          <w:tcPr>
            <w:tcW w:w="773" w:type="dxa"/>
            <w:tcBorders>
              <w:top w:val="nil"/>
              <w:left w:val="nil"/>
              <w:bottom w:val="single" w:sz="4" w:space="0" w:color="auto"/>
              <w:right w:val="single" w:sz="4" w:space="0" w:color="auto"/>
            </w:tcBorders>
            <w:shd w:val="clear" w:color="auto" w:fill="auto"/>
            <w:noWrap/>
            <w:vAlign w:val="center"/>
            <w:hideMark/>
          </w:tcPr>
          <w:p w14:paraId="0402530A"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c>
          <w:tcPr>
            <w:tcW w:w="773" w:type="dxa"/>
            <w:tcBorders>
              <w:top w:val="nil"/>
              <w:left w:val="nil"/>
              <w:bottom w:val="single" w:sz="4" w:space="0" w:color="auto"/>
              <w:right w:val="single" w:sz="4" w:space="0" w:color="auto"/>
            </w:tcBorders>
            <w:shd w:val="clear" w:color="auto" w:fill="auto"/>
            <w:noWrap/>
            <w:vAlign w:val="center"/>
            <w:hideMark/>
          </w:tcPr>
          <w:p w14:paraId="68385AB5"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c>
          <w:tcPr>
            <w:tcW w:w="773" w:type="dxa"/>
            <w:tcBorders>
              <w:top w:val="nil"/>
              <w:left w:val="nil"/>
              <w:bottom w:val="single" w:sz="4" w:space="0" w:color="auto"/>
              <w:right w:val="single" w:sz="4" w:space="0" w:color="auto"/>
            </w:tcBorders>
            <w:shd w:val="clear" w:color="auto" w:fill="auto"/>
            <w:noWrap/>
            <w:vAlign w:val="center"/>
            <w:hideMark/>
          </w:tcPr>
          <w:p w14:paraId="54FCB4CF"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c>
          <w:tcPr>
            <w:tcW w:w="773" w:type="dxa"/>
            <w:tcBorders>
              <w:top w:val="nil"/>
              <w:left w:val="nil"/>
              <w:bottom w:val="single" w:sz="4" w:space="0" w:color="auto"/>
              <w:right w:val="single" w:sz="4" w:space="0" w:color="auto"/>
            </w:tcBorders>
            <w:shd w:val="clear" w:color="auto" w:fill="auto"/>
            <w:noWrap/>
            <w:vAlign w:val="center"/>
            <w:hideMark/>
          </w:tcPr>
          <w:p w14:paraId="7DB147FB"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c>
          <w:tcPr>
            <w:tcW w:w="773" w:type="dxa"/>
            <w:tcBorders>
              <w:top w:val="nil"/>
              <w:left w:val="nil"/>
              <w:bottom w:val="single" w:sz="4" w:space="0" w:color="auto"/>
              <w:right w:val="single" w:sz="4" w:space="0" w:color="auto"/>
            </w:tcBorders>
            <w:shd w:val="clear" w:color="auto" w:fill="auto"/>
            <w:noWrap/>
            <w:vAlign w:val="center"/>
            <w:hideMark/>
          </w:tcPr>
          <w:p w14:paraId="15235FC6"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c>
          <w:tcPr>
            <w:tcW w:w="773" w:type="dxa"/>
            <w:tcBorders>
              <w:top w:val="nil"/>
              <w:left w:val="nil"/>
              <w:bottom w:val="single" w:sz="4" w:space="0" w:color="auto"/>
              <w:right w:val="single" w:sz="4" w:space="0" w:color="auto"/>
            </w:tcBorders>
            <w:shd w:val="clear" w:color="auto" w:fill="auto"/>
            <w:noWrap/>
            <w:vAlign w:val="center"/>
            <w:hideMark/>
          </w:tcPr>
          <w:p w14:paraId="091DDE83"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c>
          <w:tcPr>
            <w:tcW w:w="758" w:type="dxa"/>
            <w:tcBorders>
              <w:top w:val="nil"/>
              <w:left w:val="nil"/>
              <w:bottom w:val="single" w:sz="4" w:space="0" w:color="auto"/>
              <w:right w:val="single" w:sz="4" w:space="0" w:color="auto"/>
            </w:tcBorders>
            <w:shd w:val="clear" w:color="auto" w:fill="auto"/>
            <w:noWrap/>
            <w:vAlign w:val="center"/>
            <w:hideMark/>
          </w:tcPr>
          <w:p w14:paraId="59EE082D"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c>
          <w:tcPr>
            <w:tcW w:w="866" w:type="dxa"/>
            <w:tcBorders>
              <w:top w:val="nil"/>
              <w:left w:val="nil"/>
              <w:bottom w:val="single" w:sz="4" w:space="0" w:color="auto"/>
              <w:right w:val="single" w:sz="4" w:space="0" w:color="auto"/>
            </w:tcBorders>
            <w:shd w:val="clear" w:color="auto" w:fill="auto"/>
            <w:noWrap/>
            <w:vAlign w:val="center"/>
            <w:hideMark/>
          </w:tcPr>
          <w:p w14:paraId="1BBC9638" w14:textId="77777777" w:rsidR="009A1021" w:rsidRPr="009E23A6" w:rsidRDefault="009A1021" w:rsidP="008442B5">
            <w:pPr>
              <w:spacing w:before="0" w:after="0"/>
              <w:jc w:val="center"/>
              <w:rPr>
                <w:rFonts w:eastAsia="Times New Roman" w:cs="Arial"/>
                <w:color w:val="000000"/>
                <w:szCs w:val="22"/>
              </w:rPr>
            </w:pPr>
            <w:r w:rsidRPr="009E23A6">
              <w:rPr>
                <w:rFonts w:eastAsia="Times New Roman" w:cs="Arial"/>
                <w:color w:val="000000"/>
                <w:szCs w:val="22"/>
              </w:rPr>
              <w:t>95</w:t>
            </w:r>
          </w:p>
        </w:tc>
      </w:tr>
    </w:tbl>
    <w:p w14:paraId="1E80F733" w14:textId="244640F3" w:rsidR="0057110D" w:rsidRPr="009E23A6" w:rsidRDefault="0057110D" w:rsidP="00F4761B">
      <w:pPr>
        <w:pStyle w:val="Nadpis1"/>
        <w:spacing w:line="360" w:lineRule="auto"/>
        <w:rPr>
          <w:szCs w:val="32"/>
        </w:rPr>
      </w:pPr>
      <w:bookmarkStart w:id="41" w:name="_Toc112061707"/>
      <w:bookmarkStart w:id="42" w:name="_Toc115938904"/>
      <w:r w:rsidRPr="009E23A6">
        <w:rPr>
          <w:szCs w:val="32"/>
        </w:rPr>
        <w:t>Klíčové oblasti</w:t>
      </w:r>
      <w:bookmarkEnd w:id="41"/>
      <w:bookmarkEnd w:id="42"/>
    </w:p>
    <w:p w14:paraId="54983013" w14:textId="77777777" w:rsidR="0057110D" w:rsidRPr="009E23A6" w:rsidRDefault="0057110D" w:rsidP="00F4761B">
      <w:pPr>
        <w:pStyle w:val="Nadpis2"/>
      </w:pPr>
      <w:bookmarkStart w:id="43" w:name="_Toc112061708"/>
      <w:bookmarkStart w:id="44" w:name="_Toc112061814"/>
      <w:bookmarkStart w:id="45" w:name="_Toc115938905"/>
      <w:r w:rsidRPr="009E23A6">
        <w:t>Bioekonomika</w:t>
      </w:r>
      <w:bookmarkEnd w:id="43"/>
      <w:bookmarkEnd w:id="44"/>
      <w:bookmarkEnd w:id="45"/>
    </w:p>
    <w:p w14:paraId="017AF15F" w14:textId="1FB5D1CA" w:rsidR="0057110D" w:rsidRPr="009E23A6" w:rsidRDefault="0057110D" w:rsidP="00F4761B">
      <w:r w:rsidRPr="009E23A6">
        <w:t xml:space="preserve">Cílem této klíčové oblasti je aplikace bioekonomických nástrojů a přístupů do výzkumu ve všech výzkumných směrech </w:t>
      </w:r>
      <w:r w:rsidRPr="009E23A6">
        <w:rPr>
          <w:rFonts w:cs="Arial"/>
          <w:szCs w:val="22"/>
        </w:rPr>
        <w:t>Koncepce VaVaI MZe 2023+</w:t>
      </w:r>
      <w:r w:rsidRPr="009E23A6">
        <w:t xml:space="preserve">. Cílem bioekonomiky je hledat ve výzkumu a vývoji nová aplikační řešení při zpracování biomasy. Bioekonomika v současné době získává stále větší pozornost jako nástroj pro udržitelný způsob ekonomického růstu </w:t>
      </w:r>
      <w:r w:rsidRPr="009E23A6">
        <w:lastRenderedPageBreak/>
        <w:t xml:space="preserve">a konkurenceschopnosti nejen v oblastech zemědělských, ale i v oblastech průmyslových. Bioekonomika společně s uplatněním cirkulární ekonomiky/oběhového hospodářství v zemědělské prvovýrobě má potenciál snížit závislost na neobnovitelných zdrojích, zmírnit dopady klimatické změny, zajistit bezpečné dodávky potravin a přispět k udržitelnému rozvoji venkovských regionů. </w:t>
      </w:r>
    </w:p>
    <w:p w14:paraId="648A848E" w14:textId="77777777" w:rsidR="0057110D" w:rsidRPr="009E23A6" w:rsidRDefault="0057110D" w:rsidP="00F4761B">
      <w:r w:rsidRPr="009E23A6">
        <w:t xml:space="preserve">V souladu se současnými strategiemi Evropské komise je to příležitost ke zlepšení ekonomické a environmentální udržitelnosti českého agrárního sektoru včetně lesnictví. Velkou výzvou je také hledání nových způsobů zpracování současných vedlejších produktů či odpadů na zdroje biologicky účinných látek pro výživu nebo produkci výrobků s vyšší přidanou hodnotou. </w:t>
      </w:r>
    </w:p>
    <w:p w14:paraId="310C1A86" w14:textId="28D8D535" w:rsidR="0057110D" w:rsidRPr="009E23A6" w:rsidRDefault="0057110D" w:rsidP="00F4761B">
      <w:r w:rsidRPr="009E23A6">
        <w:t>Jde o klíčovou oblast, kde bude výzkum také zaměřen na vývoj nových biohnojiv</w:t>
      </w:r>
      <w:r w:rsidR="007B4AD7" w:rsidRPr="009E23A6">
        <w:t>, biostimulantů</w:t>
      </w:r>
      <w:r w:rsidRPr="009E23A6">
        <w:t xml:space="preserve"> a přípravků pro biologickou ochranu rostlin, ale také bude hledat nové možnosti využití materiálů na</w:t>
      </w:r>
      <w:r w:rsidR="005D05D0" w:rsidRPr="009E23A6">
        <w:t> </w:t>
      </w:r>
      <w:r w:rsidRPr="009E23A6">
        <w:t>biologické bázi pro stavebnictví</w:t>
      </w:r>
      <w:r w:rsidR="00B075E7" w:rsidRPr="009E23A6">
        <w:t xml:space="preserve">, </w:t>
      </w:r>
      <w:r w:rsidRPr="009E23A6">
        <w:t>průmysl</w:t>
      </w:r>
      <w:r w:rsidR="00B075E7" w:rsidRPr="009E23A6">
        <w:t xml:space="preserve"> </w:t>
      </w:r>
      <w:r w:rsidR="00B075E7" w:rsidRPr="00AD3FEC">
        <w:t>či jiné sektory</w:t>
      </w:r>
      <w:r w:rsidR="005036B3" w:rsidRPr="009E23A6">
        <w:t>.</w:t>
      </w:r>
    </w:p>
    <w:p w14:paraId="38624AF1" w14:textId="77777777" w:rsidR="0057110D" w:rsidRPr="009E23A6" w:rsidRDefault="0057110D" w:rsidP="00F4761B">
      <w:r w:rsidRPr="009E23A6">
        <w:t>Klíčová oblast bioekonomika má silné vazby s většinou definovaných výzkumných směrů. Nejsilnější je vazba s výzkumným směrem lesnická a zemědělská ekonomika a politika. Nezanedbatelná je ale i vazba s většinou ostatních směrů, primárně rostlinná či živočišná produkce, rostlinolékařství, zemědělská technika.</w:t>
      </w:r>
    </w:p>
    <w:p w14:paraId="2DE1C53C" w14:textId="77777777" w:rsidR="0057110D" w:rsidRPr="009E23A6" w:rsidRDefault="0057110D" w:rsidP="00F4761B">
      <w:pPr>
        <w:pStyle w:val="Nadpis2"/>
      </w:pPr>
      <w:bookmarkStart w:id="46" w:name="_Toc112061709"/>
      <w:bookmarkStart w:id="47" w:name="_Toc112061815"/>
      <w:bookmarkStart w:id="48" w:name="_Toc115938906"/>
      <w:r w:rsidRPr="009E23A6">
        <w:t>Smart zemědělství</w:t>
      </w:r>
      <w:bookmarkEnd w:id="46"/>
      <w:bookmarkEnd w:id="47"/>
      <w:bookmarkEnd w:id="48"/>
    </w:p>
    <w:p w14:paraId="495865CA" w14:textId="4BD33A22" w:rsidR="0057110D" w:rsidRPr="009E23A6" w:rsidRDefault="0057110D" w:rsidP="00F4761B">
      <w:r w:rsidRPr="009E23A6">
        <w:t>Cílem této klíčové oblasti je podpora zavádění všech moderních prvků, jako jsou precizní zemědělství, využívání senzorických systémů, dostupných informačních zdrojů a moderních informačních a komunikačních technologií, digitalizace, automatizace a robotizace do zemědělské, lesnické a potravinářské výroby. Současný rozvoj informačních a komunikačních technologií včetně senzorických systémů vede k tomu, že při zemědělské, lesnické a potravinářské výrobě lze získat množství užitečných dat, která mohou sloužit k podstatnému zkvalitnění výsledné produkce</w:t>
      </w:r>
      <w:r w:rsidR="00B075E7" w:rsidRPr="009E23A6">
        <w:t xml:space="preserve">. </w:t>
      </w:r>
      <w:r w:rsidR="00B075E7" w:rsidRPr="00AD3FEC">
        <w:t xml:space="preserve">Rychlé datové sítě umožňují </w:t>
      </w:r>
      <w:r w:rsidR="00CE5173" w:rsidRPr="00AD3FEC">
        <w:t xml:space="preserve">decentralizovaný </w:t>
      </w:r>
      <w:r w:rsidR="00B075E7" w:rsidRPr="00AD3FEC">
        <w:t>sběr</w:t>
      </w:r>
      <w:r w:rsidR="00CE5173" w:rsidRPr="00AD3FEC">
        <w:t xml:space="preserve"> a uložení </w:t>
      </w:r>
      <w:r w:rsidR="00B075E7" w:rsidRPr="00AD3FEC">
        <w:t>dat z</w:t>
      </w:r>
      <w:r w:rsidR="00CE5173" w:rsidRPr="00AD3FEC">
        <w:t> velkého množství zařízení (IoT – internet věcí) a jejich vyhodnocení pomocí strojového učení (AI)</w:t>
      </w:r>
      <w:r w:rsidR="003E1989" w:rsidRPr="00AD3FEC">
        <w:t>.</w:t>
      </w:r>
    </w:p>
    <w:p w14:paraId="5F45CBCD" w14:textId="4DFD1516" w:rsidR="0057110D" w:rsidRPr="009E23A6" w:rsidRDefault="0057110D" w:rsidP="00F4761B">
      <w:r w:rsidRPr="009E23A6">
        <w:t>V oblasti zemědělské výroby mohou tyto moderní technologie sloužit ke zkvalitnění celého procesu hospodaření v zemědělském podniku, které povede ke snížení nákladů, snížení potřeby vstupů (včetně hnojiv či přípravků na ochranu rostlin)</w:t>
      </w:r>
      <w:r w:rsidR="007B4AD7" w:rsidRPr="009E23A6">
        <w:t xml:space="preserve"> nebo jejich optimalizaci,</w:t>
      </w:r>
      <w:r w:rsidRPr="009E23A6">
        <w:t xml:space="preserve"> provádění cílených zásahů pouze v té míře a na těch místech, kde jsou třeba, a také ke</w:t>
      </w:r>
      <w:r w:rsidR="00627C0A" w:rsidRPr="009E23A6">
        <w:t> </w:t>
      </w:r>
      <w:r w:rsidRPr="009E23A6">
        <w:t xml:space="preserve">zpětnému hodnocení účinnosti celého systému. Výsledný objem zemědělské produkce přitom může být zachován, nebo se také může zvyšovat. </w:t>
      </w:r>
    </w:p>
    <w:p w14:paraId="13A85403" w14:textId="707B07A7" w:rsidR="0057110D" w:rsidRPr="009E23A6" w:rsidRDefault="0057110D" w:rsidP="00F4761B">
      <w:r w:rsidRPr="009E23A6">
        <w:lastRenderedPageBreak/>
        <w:t xml:space="preserve">V oblasti hospodaření v lesích je klíčové mimo jiné využití technologií dálkového průzkumu Země (dále také “DPZ”), využití digitalizace při získávání a zpracování dat </w:t>
      </w:r>
      <w:r w:rsidR="00F309B0" w:rsidRPr="009E23A6">
        <w:t>(</w:t>
      </w:r>
      <w:r w:rsidR="00F309B0" w:rsidRPr="009E23A6">
        <w:rPr>
          <w:rFonts w:cs="Arial"/>
          <w:color w:val="000000"/>
          <w:szCs w:val="22"/>
        </w:rPr>
        <w:t>big data, artificial intelligence či machine learning</w:t>
      </w:r>
      <w:r w:rsidR="00F309B0" w:rsidRPr="009E23A6">
        <w:t xml:space="preserve">) </w:t>
      </w:r>
      <w:r w:rsidRPr="009E23A6">
        <w:t>a informací v rámci zvyšování stability a udržení produktivity lesních porostů/ekosystémů a kontinuity výrobních řetězců v oblastech produkce reprodukčního materiálu v odpovídající genetické, biologické a technologické kvalitě, dále</w:t>
      </w:r>
      <w:r w:rsidR="001A08CC" w:rsidRPr="009E23A6">
        <w:t> </w:t>
      </w:r>
      <w:r w:rsidRPr="009E23A6">
        <w:t>zakládání a hospodaření v porostech s cílem zachování trvale udržitelného hospodaření a poskytování ekosystémových služeb. Zásadní je obnova ekologické stability lesa, podpora ekologických funkcí krajiny v podmínkách obnovy lesa po</w:t>
      </w:r>
      <w:r w:rsidR="00627C0A" w:rsidRPr="009E23A6">
        <w:t> </w:t>
      </w:r>
      <w:r w:rsidRPr="009E23A6">
        <w:t>kalamitách a adaptací na</w:t>
      </w:r>
      <w:r w:rsidR="001A08CC" w:rsidRPr="009E23A6">
        <w:t> </w:t>
      </w:r>
      <w:r w:rsidRPr="009E23A6">
        <w:t>klimatickou změnu, popřípadě podpora funkce lesních ekosystémů při její mitigaci.</w:t>
      </w:r>
    </w:p>
    <w:p w14:paraId="3BABB714" w14:textId="77777777" w:rsidR="0057110D" w:rsidRPr="009E23A6" w:rsidRDefault="0057110D" w:rsidP="00F4761B">
      <w:r w:rsidRPr="009E23A6">
        <w:t>V oblasti potravinářského průmyslu lze tyto moderní technické prostředky využít k optimalizaci vstupů surovin, energií a lidské práce, efektivní využití vedlejších produktů a odpadů z potravinářské výroby s použitím nových technik, organismů a složek. V rámci přechodu k udržitelným potravinovým systémům existuje potenciál jejich uplatnění k zajištění komplexní sledovatelnosti vstupů a transakcí, od pole až ke spotřebiteli, optimalizaci dodavatelských řetězců potravin a usnadnění udržitelnějšího stravování prospěšného pro celou společnost.</w:t>
      </w:r>
    </w:p>
    <w:p w14:paraId="459B58C0" w14:textId="0DB02486" w:rsidR="0057110D" w:rsidRPr="009E23A6" w:rsidRDefault="0057110D" w:rsidP="00F4761B">
      <w:r w:rsidRPr="009E23A6">
        <w:t>Podpora zavádění technologií smart zemědělství povede k celkovému zkvalitnění zemědělské, lesnické a potravinářské výroby v kontextu ochrany životního prostředí v důsledku efektivního využívání všech dostupných zdrojů</w:t>
      </w:r>
      <w:r w:rsidR="00CE5173" w:rsidRPr="009E23A6">
        <w:t xml:space="preserve"> a zkrácení dodavatelských řetězců</w:t>
      </w:r>
      <w:r w:rsidRPr="009E23A6">
        <w:t xml:space="preserve"> Tyto technologie přirozeně povedou i k ochraně půdy jako samotného základu veškeré zemědělské a potravinářské produkce.</w:t>
      </w:r>
    </w:p>
    <w:p w14:paraId="73A89976" w14:textId="77777777" w:rsidR="0057110D" w:rsidRPr="009E23A6" w:rsidRDefault="0057110D" w:rsidP="00F4761B">
      <w:r w:rsidRPr="009E23A6">
        <w:t>Smart zemědělství zahrnuje také zemědělství šetrné ke klimatu (climate smart agriculture), uhlíkové zemědělství.</w:t>
      </w:r>
    </w:p>
    <w:p w14:paraId="26142A4C" w14:textId="77777777" w:rsidR="0057110D" w:rsidRPr="009E23A6" w:rsidRDefault="0057110D" w:rsidP="00F4761B">
      <w:pPr>
        <w:pStyle w:val="Nadpis2"/>
      </w:pPr>
      <w:bookmarkStart w:id="49" w:name="_Toc112061710"/>
      <w:bookmarkStart w:id="50" w:name="_Toc112061816"/>
      <w:bookmarkStart w:id="51" w:name="_Toc115938907"/>
      <w:r w:rsidRPr="009E23A6">
        <w:t>Globální změny v biosféře</w:t>
      </w:r>
      <w:bookmarkEnd w:id="49"/>
      <w:bookmarkEnd w:id="50"/>
      <w:bookmarkEnd w:id="51"/>
    </w:p>
    <w:p w14:paraId="6EA764C5" w14:textId="77777777" w:rsidR="0057110D" w:rsidRPr="009E23A6" w:rsidRDefault="0057110D" w:rsidP="00F4761B">
      <w:r w:rsidRPr="009E23A6">
        <w:t xml:space="preserve">Z pohledu zemědělské výroby jsou změny v biosféře klíčové. Souvisí s udržitelným využíváním přírodních zdrojů, především půdy a vody. Je nutné reagovat na probíhající změny, v souvislosti s měnícím se klimatem, které přinášejí mnohé jevy negativní, zejména zvyšující se četnost periodického zemědělského sucha, nevhodné rozložení srážek ve vegetačním období, zvýšené riziko ničivých přívalových srážek, předčasný nástup jarního vegetačního období, střídaného s výskytem mrazů, šíření škůdců z teplejších oblastí atd. Zemědělská soustava musí na tyto faktory reagovat změnami osevních postupů, které budou využívat i u nás netradiční plodiny, více odolávající např. suchu, šlechtěním plodin k větší odolnosti vůči vybraným činitelům. V rámci zemědělské soustavy bude nutné klást větší důraz na šetrné způsoby hospodaření, včetně ekologického zemědělství a na opatření, zadržující vodu v krajině, a to prostřednictvím zvýšení retenční schopnosti půdního prostředí, </w:t>
      </w:r>
      <w:r w:rsidRPr="009E23A6">
        <w:lastRenderedPageBreak/>
        <w:t>ale i budování zelených prvků v krajině, k tomu přímo určených. Je třeba rozvíjet pokročilé způsoby ochrany rostlin a zdraví zvířat, šetrnějších k životnímu prostředí a celkově podpořit dobře fungující krajinu.</w:t>
      </w:r>
    </w:p>
    <w:p w14:paraId="5C51443D" w14:textId="6B0AEA2A" w:rsidR="0057110D" w:rsidRPr="009E23A6" w:rsidRDefault="0057110D" w:rsidP="00F4761B">
      <w:r w:rsidRPr="009E23A6">
        <w:t>V oblasti lesního hospodářství je klíčová oblast cílena na optimalizaci struktury porostů z hlediska druhového, genetického, věkového i prostorového a na pěstební postupy vedoucí k jejich obhospodařování. Cílem je zvýšení stability lesních porostů a v hospodářských lesích i stabilizace produkce. Význam by měl být přikládán výzkumu v oblasti ověřování identity reprodukčního materiálu pomocí DNA markerů stejně tak jako využívání těchto metod při zachování domácího genofondu dřevin a rozvíjení In vitro metod rozmnožování reprodukčního materiálu. Je nutno hledat optimální uplatnění pro dřeviny původní dřevinné skladby i vhodné dřeviny introdukované, na druhé straně je nutno předcházet šíření invazivních druhů, což platí i pro řadu druhů živočichů s potenciálem mysliveckého managementu. Měnící se ekologické podmínky vedou k aktivizaci řady biotických škůdců a škodlivých faktorů, včetně nově se objevujících druhů – analýza dynamiky poškození porostů a determinace obranných a ochranných opatření je další výzvou v této oblasti. Jsou</w:t>
      </w:r>
      <w:r w:rsidR="00D84B54" w:rsidRPr="009E23A6">
        <w:t> </w:t>
      </w:r>
      <w:r w:rsidRPr="009E23A6">
        <w:t>zde důležité překryvy v oblasti biodiverzity včetně managementu populací rostlinných i živočišných druhů (myslivecký management), kvality lesních půd a ochrany vodních zdrojů. V navazujících odvětvích je cílem klíčové oblasti optimalizace ekosystémových služeb a využití biomasy lesních porostů včetně nových technologií a produktů</w:t>
      </w:r>
      <w:r w:rsidR="003D0A2F" w:rsidRPr="009E23A6">
        <w:t>, včetně stavebnictví.</w:t>
      </w:r>
    </w:p>
    <w:p w14:paraId="34B3C867" w14:textId="77777777" w:rsidR="0057110D" w:rsidRPr="009E23A6" w:rsidRDefault="0057110D" w:rsidP="00F4761B">
      <w:r w:rsidRPr="009E23A6">
        <w:t xml:space="preserve">Klíčové oblasti jsou prezentovány formou tematických výzkumných směrů zásadních pro zemědělsko-potravinářský sektor, lesnictví a vodní hospodářství, jichž je celkem 11 a jejich výčet uvádí níže uvedená Tab. č. 6. Jsou zde zároveň uvedeny váhy jednotlivých výzkumných směrů pro naplnění cílů klíčových oblastí </w:t>
      </w:r>
      <w:r w:rsidRPr="009E23A6">
        <w:rPr>
          <w:rFonts w:cs="Arial"/>
          <w:szCs w:val="22"/>
        </w:rPr>
        <w:t>Koncepce VaVaI MZe 2023+</w:t>
      </w:r>
      <w:r w:rsidRPr="009E23A6">
        <w:t>, síla vazby je vyjádřena počtem křížků (tzn., se zvyšujícím se počtem křížků roste význam jednotlivého výzkumného směru pro naplnění cílů dané klíčové oblasti).</w:t>
      </w:r>
    </w:p>
    <w:p w14:paraId="27799E27" w14:textId="77777777" w:rsidR="00B47867" w:rsidRPr="009E23A6" w:rsidRDefault="00B47867">
      <w:pPr>
        <w:spacing w:before="0" w:after="160" w:line="259" w:lineRule="auto"/>
        <w:jc w:val="left"/>
        <w:rPr>
          <w:b/>
        </w:rPr>
      </w:pPr>
      <w:r w:rsidRPr="009E23A6">
        <w:rPr>
          <w:b/>
        </w:rPr>
        <w:br w:type="page"/>
      </w:r>
    </w:p>
    <w:p w14:paraId="701BF500" w14:textId="08C277C6" w:rsidR="0057110D" w:rsidRPr="009E23A6" w:rsidRDefault="0057110D" w:rsidP="00F4761B">
      <w:pPr>
        <w:rPr>
          <w:b/>
        </w:rPr>
      </w:pPr>
      <w:r w:rsidRPr="009E23A6">
        <w:rPr>
          <w:b/>
        </w:rPr>
        <w:lastRenderedPageBreak/>
        <w:t xml:space="preserve">Tabulka č. </w:t>
      </w:r>
      <w:r w:rsidRPr="009E23A6">
        <w:rPr>
          <w:b/>
          <w:bCs/>
        </w:rPr>
        <w:t>6</w:t>
      </w:r>
      <w:r w:rsidRPr="009E23A6">
        <w:rPr>
          <w:b/>
        </w:rPr>
        <w:t xml:space="preserve">: Váha uplatnění jednotlivých výzkumných směrů v rámci klíčových oblastí dle </w:t>
      </w:r>
      <w:r w:rsidRPr="009E23A6">
        <w:rPr>
          <w:rFonts w:cs="Arial"/>
          <w:b/>
          <w:szCs w:val="22"/>
        </w:rPr>
        <w:t xml:space="preserve">Koncepce </w:t>
      </w:r>
      <w:r w:rsidRPr="009E23A6">
        <w:rPr>
          <w:rFonts w:cs="Arial"/>
          <w:b/>
          <w:bCs/>
          <w:szCs w:val="22"/>
        </w:rPr>
        <w:t>VaVaI MZe 2023+</w:t>
      </w:r>
    </w:p>
    <w:tbl>
      <w:tblPr>
        <w:tblStyle w:val="Tmavtabulkasmkou5zvraznn3"/>
        <w:tblW w:w="9151" w:type="dxa"/>
        <w:tblInd w:w="-5" w:type="dxa"/>
        <w:tblLook w:val="04A0" w:firstRow="1" w:lastRow="0" w:firstColumn="1" w:lastColumn="0" w:noHBand="0" w:noVBand="1"/>
      </w:tblPr>
      <w:tblGrid>
        <w:gridCol w:w="3232"/>
        <w:gridCol w:w="2210"/>
        <w:gridCol w:w="2010"/>
        <w:gridCol w:w="1699"/>
      </w:tblGrid>
      <w:tr w:rsidR="0057110D" w:rsidRPr="009E23A6" w14:paraId="71822C1A" w14:textId="77777777" w:rsidTr="00DC4A05">
        <w:trPr>
          <w:cnfStyle w:val="100000000000" w:firstRow="1" w:lastRow="0" w:firstColumn="0" w:lastColumn="0" w:oddVBand="0" w:evenVBand="0" w:oddHBand="0"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232" w:type="dxa"/>
            <w:vMerge w:val="restart"/>
            <w:shd w:val="clear" w:color="auto" w:fill="70AD47" w:themeFill="accent6"/>
            <w:vAlign w:val="center"/>
          </w:tcPr>
          <w:p w14:paraId="7B92FC2E" w14:textId="77777777" w:rsidR="0057110D" w:rsidRPr="009E23A6" w:rsidRDefault="0057110D" w:rsidP="00F4761B">
            <w:pPr>
              <w:spacing w:before="0" w:after="0"/>
              <w:ind w:left="709"/>
              <w:jc w:val="left"/>
              <w:rPr>
                <w:rFonts w:eastAsia="Calibri" w:cs="Arial"/>
              </w:rPr>
            </w:pPr>
            <w:r w:rsidRPr="009E23A6">
              <w:rPr>
                <w:rFonts w:eastAsia="Calibri" w:cs="Arial"/>
              </w:rPr>
              <w:t>Výzkumné směry</w:t>
            </w:r>
          </w:p>
        </w:tc>
        <w:tc>
          <w:tcPr>
            <w:tcW w:w="5919" w:type="dxa"/>
            <w:gridSpan w:val="3"/>
            <w:shd w:val="clear" w:color="auto" w:fill="70AD47" w:themeFill="accent6"/>
          </w:tcPr>
          <w:p w14:paraId="50E1623A" w14:textId="77777777" w:rsidR="0057110D" w:rsidRPr="009E23A6" w:rsidRDefault="0057110D" w:rsidP="00F4761B">
            <w:pPr>
              <w:spacing w:before="0" w:after="0"/>
              <w:ind w:left="709"/>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Klíčové oblasti</w:t>
            </w:r>
          </w:p>
        </w:tc>
      </w:tr>
      <w:tr w:rsidR="0057110D" w:rsidRPr="009E23A6" w14:paraId="55CCDA2C" w14:textId="77777777" w:rsidTr="00DC4A05">
        <w:trPr>
          <w:cnfStyle w:val="000000100000" w:firstRow="0" w:lastRow="0" w:firstColumn="0" w:lastColumn="0" w:oddVBand="0" w:evenVBand="0" w:oddHBand="1" w:evenHBand="0" w:firstRowFirstColumn="0" w:firstRowLastColumn="0" w:lastRowFirstColumn="0" w:lastRowLastColumn="0"/>
          <w:trHeight w:val="743"/>
        </w:trPr>
        <w:tc>
          <w:tcPr>
            <w:cnfStyle w:val="001000000000" w:firstRow="0" w:lastRow="0" w:firstColumn="1" w:lastColumn="0" w:oddVBand="0" w:evenVBand="0" w:oddHBand="0" w:evenHBand="0" w:firstRowFirstColumn="0" w:firstRowLastColumn="0" w:lastRowFirstColumn="0" w:lastRowLastColumn="0"/>
            <w:tcW w:w="3232" w:type="dxa"/>
            <w:vMerge/>
            <w:shd w:val="clear" w:color="auto" w:fill="70AD47" w:themeFill="accent6"/>
          </w:tcPr>
          <w:p w14:paraId="29E2C3E7" w14:textId="77777777" w:rsidR="0057110D" w:rsidRPr="009E23A6" w:rsidRDefault="0057110D" w:rsidP="00F4761B">
            <w:pPr>
              <w:spacing w:before="0" w:after="0"/>
              <w:ind w:left="709"/>
              <w:jc w:val="left"/>
              <w:rPr>
                <w:rFonts w:eastAsia="Calibri" w:cs="Arial"/>
              </w:rPr>
            </w:pPr>
          </w:p>
        </w:tc>
        <w:tc>
          <w:tcPr>
            <w:tcW w:w="2210" w:type="dxa"/>
            <w:shd w:val="clear" w:color="auto" w:fill="A8D08D" w:themeFill="accent6" w:themeFillTint="99"/>
            <w:vAlign w:val="center"/>
          </w:tcPr>
          <w:p w14:paraId="7B824277"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Bioekonomika</w:t>
            </w:r>
          </w:p>
        </w:tc>
        <w:tc>
          <w:tcPr>
            <w:tcW w:w="2010" w:type="dxa"/>
            <w:shd w:val="clear" w:color="auto" w:fill="A8D08D" w:themeFill="accent6" w:themeFillTint="99"/>
            <w:vAlign w:val="center"/>
          </w:tcPr>
          <w:p w14:paraId="4F3CCF5B"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Smart</w:t>
            </w:r>
          </w:p>
          <w:p w14:paraId="6AEBC746"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zemědělství</w:t>
            </w:r>
          </w:p>
        </w:tc>
        <w:tc>
          <w:tcPr>
            <w:tcW w:w="1698" w:type="dxa"/>
            <w:shd w:val="clear" w:color="auto" w:fill="A8D08D" w:themeFill="accent6" w:themeFillTint="99"/>
            <w:vAlign w:val="center"/>
          </w:tcPr>
          <w:p w14:paraId="7248B3E0"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Globální změny</w:t>
            </w:r>
          </w:p>
          <w:p w14:paraId="6A29847F"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v biosféře</w:t>
            </w:r>
          </w:p>
        </w:tc>
      </w:tr>
      <w:tr w:rsidR="0057110D" w:rsidRPr="009E23A6" w14:paraId="796C4835" w14:textId="77777777" w:rsidTr="00DC4A05">
        <w:trPr>
          <w:trHeight w:val="288"/>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2EDAA240" w14:textId="77777777" w:rsidR="0057110D" w:rsidRPr="009E23A6" w:rsidRDefault="0057110D" w:rsidP="00F4761B">
            <w:pPr>
              <w:numPr>
                <w:ilvl w:val="0"/>
                <w:numId w:val="7"/>
              </w:numPr>
              <w:spacing w:before="0" w:after="0"/>
              <w:ind w:left="1029" w:hanging="425"/>
              <w:jc w:val="left"/>
              <w:rPr>
                <w:rFonts w:eastAsia="Calibri" w:cs="Arial"/>
              </w:rPr>
            </w:pPr>
            <w:r w:rsidRPr="009E23A6">
              <w:rPr>
                <w:rFonts w:eastAsia="Calibri" w:cs="Arial"/>
              </w:rPr>
              <w:t>Půda</w:t>
            </w:r>
          </w:p>
        </w:tc>
        <w:tc>
          <w:tcPr>
            <w:tcW w:w="2210" w:type="dxa"/>
            <w:shd w:val="clear" w:color="auto" w:fill="E2EFD9" w:themeFill="accent6" w:themeFillTint="33"/>
            <w:vAlign w:val="center"/>
          </w:tcPr>
          <w:p w14:paraId="148F4A0B" w14:textId="77777777" w:rsidR="0057110D" w:rsidRPr="009E23A6" w:rsidRDefault="0057110D" w:rsidP="00F4761B">
            <w:pPr>
              <w:spacing w:before="0" w:after="0"/>
              <w:ind w:left="709"/>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w:t>
            </w:r>
          </w:p>
        </w:tc>
        <w:tc>
          <w:tcPr>
            <w:tcW w:w="2010" w:type="dxa"/>
            <w:shd w:val="clear" w:color="auto" w:fill="E2EFD9" w:themeFill="accent6" w:themeFillTint="33"/>
            <w:vAlign w:val="center"/>
          </w:tcPr>
          <w:p w14:paraId="581844D6"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XXX</w:t>
            </w:r>
          </w:p>
        </w:tc>
        <w:tc>
          <w:tcPr>
            <w:tcW w:w="1698" w:type="dxa"/>
            <w:shd w:val="clear" w:color="auto" w:fill="E2EFD9" w:themeFill="accent6" w:themeFillTint="33"/>
            <w:vAlign w:val="center"/>
          </w:tcPr>
          <w:p w14:paraId="3615B277"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XXX</w:t>
            </w:r>
          </w:p>
        </w:tc>
      </w:tr>
      <w:tr w:rsidR="0057110D" w:rsidRPr="009E23A6" w14:paraId="55BB24EC" w14:textId="77777777" w:rsidTr="00DC4A05">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4A1B164F" w14:textId="77777777" w:rsidR="0057110D" w:rsidRPr="009E23A6" w:rsidRDefault="0057110D" w:rsidP="00F4761B">
            <w:pPr>
              <w:numPr>
                <w:ilvl w:val="0"/>
                <w:numId w:val="7"/>
              </w:numPr>
              <w:spacing w:before="0" w:after="0"/>
              <w:ind w:left="1029" w:hanging="425"/>
              <w:jc w:val="left"/>
              <w:rPr>
                <w:rFonts w:eastAsia="Calibri" w:cs="Arial"/>
              </w:rPr>
            </w:pPr>
            <w:r w:rsidRPr="009E23A6">
              <w:rPr>
                <w:rFonts w:eastAsia="Calibri" w:cs="Arial"/>
              </w:rPr>
              <w:t>Voda</w:t>
            </w:r>
          </w:p>
        </w:tc>
        <w:tc>
          <w:tcPr>
            <w:tcW w:w="2210" w:type="dxa"/>
            <w:shd w:val="clear" w:color="auto" w:fill="A8D08D" w:themeFill="accent6" w:themeFillTint="99"/>
            <w:vAlign w:val="center"/>
          </w:tcPr>
          <w:p w14:paraId="0C33B4B0" w14:textId="77777777" w:rsidR="0057110D" w:rsidRPr="009E23A6" w:rsidRDefault="0057110D" w:rsidP="00F4761B">
            <w:pPr>
              <w:spacing w:before="0" w:after="0"/>
              <w:ind w:left="709"/>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w:t>
            </w:r>
          </w:p>
        </w:tc>
        <w:tc>
          <w:tcPr>
            <w:tcW w:w="2010" w:type="dxa"/>
            <w:shd w:val="clear" w:color="auto" w:fill="A8D08D" w:themeFill="accent6" w:themeFillTint="99"/>
            <w:vAlign w:val="center"/>
          </w:tcPr>
          <w:p w14:paraId="36A76B33"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w:t>
            </w:r>
          </w:p>
        </w:tc>
        <w:tc>
          <w:tcPr>
            <w:tcW w:w="1698" w:type="dxa"/>
            <w:shd w:val="clear" w:color="auto" w:fill="A8D08D" w:themeFill="accent6" w:themeFillTint="99"/>
            <w:vAlign w:val="center"/>
          </w:tcPr>
          <w:p w14:paraId="4FC86442"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XXX</w:t>
            </w:r>
          </w:p>
        </w:tc>
      </w:tr>
      <w:tr w:rsidR="0057110D" w:rsidRPr="009E23A6" w14:paraId="678E7494" w14:textId="77777777" w:rsidTr="00DC4A05">
        <w:trPr>
          <w:trHeight w:val="288"/>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07844FA0" w14:textId="77777777" w:rsidR="0057110D" w:rsidRPr="009E23A6" w:rsidRDefault="0057110D" w:rsidP="00F4761B">
            <w:pPr>
              <w:numPr>
                <w:ilvl w:val="0"/>
                <w:numId w:val="7"/>
              </w:numPr>
              <w:spacing w:before="0" w:after="0"/>
              <w:ind w:left="1029" w:hanging="425"/>
              <w:jc w:val="left"/>
              <w:rPr>
                <w:rFonts w:eastAsia="Calibri" w:cs="Arial"/>
              </w:rPr>
            </w:pPr>
            <w:r w:rsidRPr="009E23A6">
              <w:rPr>
                <w:rFonts w:eastAsia="Calibri" w:cs="Arial"/>
              </w:rPr>
              <w:t>Biodiverzita</w:t>
            </w:r>
          </w:p>
        </w:tc>
        <w:tc>
          <w:tcPr>
            <w:tcW w:w="2210" w:type="dxa"/>
            <w:shd w:val="clear" w:color="auto" w:fill="E2EFD9" w:themeFill="accent6" w:themeFillTint="33"/>
            <w:vAlign w:val="center"/>
          </w:tcPr>
          <w:p w14:paraId="79EF5116" w14:textId="77777777" w:rsidR="0057110D" w:rsidRPr="009E23A6" w:rsidRDefault="0057110D" w:rsidP="00F4761B">
            <w:pPr>
              <w:spacing w:before="0" w:after="0"/>
              <w:ind w:left="709"/>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w:t>
            </w:r>
          </w:p>
        </w:tc>
        <w:tc>
          <w:tcPr>
            <w:tcW w:w="2010" w:type="dxa"/>
            <w:shd w:val="clear" w:color="auto" w:fill="E2EFD9" w:themeFill="accent6" w:themeFillTint="33"/>
            <w:vAlign w:val="center"/>
          </w:tcPr>
          <w:p w14:paraId="6D06C063"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w:t>
            </w:r>
          </w:p>
        </w:tc>
        <w:tc>
          <w:tcPr>
            <w:tcW w:w="1698" w:type="dxa"/>
            <w:shd w:val="clear" w:color="auto" w:fill="E2EFD9" w:themeFill="accent6" w:themeFillTint="33"/>
            <w:vAlign w:val="center"/>
          </w:tcPr>
          <w:p w14:paraId="370F787F"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XXX</w:t>
            </w:r>
          </w:p>
        </w:tc>
      </w:tr>
      <w:tr w:rsidR="0057110D" w:rsidRPr="009E23A6" w14:paraId="62FFA842" w14:textId="77777777" w:rsidTr="00DC4A05">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5F1B46CD" w14:textId="77777777" w:rsidR="0057110D" w:rsidRPr="009E23A6" w:rsidRDefault="0057110D" w:rsidP="00F4761B">
            <w:pPr>
              <w:numPr>
                <w:ilvl w:val="0"/>
                <w:numId w:val="7"/>
              </w:numPr>
              <w:spacing w:before="0" w:after="0"/>
              <w:ind w:left="1029" w:hanging="425"/>
              <w:jc w:val="left"/>
              <w:rPr>
                <w:rFonts w:eastAsia="Calibri" w:cs="Arial"/>
              </w:rPr>
            </w:pPr>
            <w:r w:rsidRPr="009E23A6">
              <w:rPr>
                <w:rFonts w:eastAsia="Calibri" w:cs="Arial"/>
              </w:rPr>
              <w:t>Lesnictví a navazující odvětví</w:t>
            </w:r>
          </w:p>
        </w:tc>
        <w:tc>
          <w:tcPr>
            <w:tcW w:w="2210" w:type="dxa"/>
            <w:shd w:val="clear" w:color="auto" w:fill="A8D08D" w:themeFill="accent6" w:themeFillTint="99"/>
            <w:vAlign w:val="center"/>
          </w:tcPr>
          <w:p w14:paraId="34781C09" w14:textId="77777777" w:rsidR="0057110D" w:rsidRPr="009E23A6" w:rsidRDefault="0057110D" w:rsidP="00F4761B">
            <w:pPr>
              <w:spacing w:before="0" w:after="0"/>
              <w:ind w:left="709"/>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w:t>
            </w:r>
          </w:p>
        </w:tc>
        <w:tc>
          <w:tcPr>
            <w:tcW w:w="2010" w:type="dxa"/>
            <w:shd w:val="clear" w:color="auto" w:fill="A8D08D" w:themeFill="accent6" w:themeFillTint="99"/>
            <w:vAlign w:val="center"/>
          </w:tcPr>
          <w:p w14:paraId="7ED85EE1"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w:t>
            </w:r>
          </w:p>
        </w:tc>
        <w:tc>
          <w:tcPr>
            <w:tcW w:w="1698" w:type="dxa"/>
            <w:shd w:val="clear" w:color="auto" w:fill="A8D08D" w:themeFill="accent6" w:themeFillTint="99"/>
            <w:vAlign w:val="center"/>
          </w:tcPr>
          <w:p w14:paraId="4DBCE73B"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XXX</w:t>
            </w:r>
          </w:p>
        </w:tc>
      </w:tr>
      <w:tr w:rsidR="0057110D" w:rsidRPr="009E23A6" w14:paraId="7840DAD6" w14:textId="77777777" w:rsidTr="00DC4A05">
        <w:trPr>
          <w:trHeight w:val="561"/>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04E6E66A" w14:textId="77777777" w:rsidR="0057110D" w:rsidRPr="009E23A6" w:rsidRDefault="0057110D" w:rsidP="00F4761B">
            <w:pPr>
              <w:numPr>
                <w:ilvl w:val="0"/>
                <w:numId w:val="7"/>
              </w:numPr>
              <w:spacing w:before="0" w:after="0"/>
              <w:ind w:left="1029" w:hanging="425"/>
              <w:jc w:val="left"/>
              <w:rPr>
                <w:rFonts w:eastAsia="Calibri" w:cs="Arial"/>
              </w:rPr>
            </w:pPr>
            <w:r w:rsidRPr="009E23A6">
              <w:rPr>
                <w:rFonts w:eastAsia="Calibri" w:cs="Arial"/>
              </w:rPr>
              <w:t>Rostlinná produkce</w:t>
            </w:r>
          </w:p>
        </w:tc>
        <w:tc>
          <w:tcPr>
            <w:tcW w:w="2210" w:type="dxa"/>
            <w:shd w:val="clear" w:color="auto" w:fill="E2EFD9" w:themeFill="accent6" w:themeFillTint="33"/>
            <w:vAlign w:val="center"/>
          </w:tcPr>
          <w:p w14:paraId="29221C58" w14:textId="77777777" w:rsidR="0057110D" w:rsidRPr="009E23A6" w:rsidRDefault="0057110D" w:rsidP="00F4761B">
            <w:pPr>
              <w:spacing w:before="0" w:after="0"/>
              <w:ind w:left="709"/>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w:t>
            </w:r>
          </w:p>
        </w:tc>
        <w:tc>
          <w:tcPr>
            <w:tcW w:w="2010" w:type="dxa"/>
            <w:shd w:val="clear" w:color="auto" w:fill="E2EFD9" w:themeFill="accent6" w:themeFillTint="33"/>
            <w:vAlign w:val="center"/>
          </w:tcPr>
          <w:p w14:paraId="1CA6196A"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XXX</w:t>
            </w:r>
          </w:p>
        </w:tc>
        <w:tc>
          <w:tcPr>
            <w:tcW w:w="1698" w:type="dxa"/>
            <w:shd w:val="clear" w:color="auto" w:fill="E2EFD9" w:themeFill="accent6" w:themeFillTint="33"/>
            <w:vAlign w:val="center"/>
          </w:tcPr>
          <w:p w14:paraId="2B29A8E3"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w:t>
            </w:r>
          </w:p>
        </w:tc>
      </w:tr>
      <w:tr w:rsidR="0057110D" w:rsidRPr="009E23A6" w14:paraId="5E0B309F" w14:textId="77777777" w:rsidTr="00DC4A05">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6B1843CB" w14:textId="77777777" w:rsidR="0057110D" w:rsidRPr="009E23A6" w:rsidRDefault="0057110D" w:rsidP="00F4761B">
            <w:pPr>
              <w:numPr>
                <w:ilvl w:val="0"/>
                <w:numId w:val="7"/>
              </w:numPr>
              <w:spacing w:before="0" w:after="0"/>
              <w:ind w:left="1029" w:hanging="425"/>
              <w:jc w:val="left"/>
              <w:rPr>
                <w:rFonts w:eastAsia="Calibri" w:cs="Arial"/>
              </w:rPr>
            </w:pPr>
            <w:r w:rsidRPr="009E23A6">
              <w:rPr>
                <w:rFonts w:eastAsia="Calibri" w:cs="Arial"/>
              </w:rPr>
              <w:t>Rostlinolékařství</w:t>
            </w:r>
          </w:p>
        </w:tc>
        <w:tc>
          <w:tcPr>
            <w:tcW w:w="2210" w:type="dxa"/>
            <w:shd w:val="clear" w:color="auto" w:fill="A8D08D" w:themeFill="accent6" w:themeFillTint="99"/>
            <w:vAlign w:val="center"/>
          </w:tcPr>
          <w:p w14:paraId="1CEDACEC" w14:textId="77777777" w:rsidR="0057110D" w:rsidRPr="009E23A6" w:rsidRDefault="0057110D" w:rsidP="00F4761B">
            <w:pPr>
              <w:spacing w:before="0" w:after="0"/>
              <w:ind w:left="709"/>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w:t>
            </w:r>
          </w:p>
        </w:tc>
        <w:tc>
          <w:tcPr>
            <w:tcW w:w="2010" w:type="dxa"/>
            <w:shd w:val="clear" w:color="auto" w:fill="A8D08D" w:themeFill="accent6" w:themeFillTint="99"/>
            <w:vAlign w:val="center"/>
          </w:tcPr>
          <w:p w14:paraId="650F9C0B"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XXX</w:t>
            </w:r>
          </w:p>
        </w:tc>
        <w:tc>
          <w:tcPr>
            <w:tcW w:w="1698" w:type="dxa"/>
            <w:shd w:val="clear" w:color="auto" w:fill="A8D08D" w:themeFill="accent6" w:themeFillTint="99"/>
            <w:vAlign w:val="center"/>
          </w:tcPr>
          <w:p w14:paraId="22E248AF"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w:t>
            </w:r>
          </w:p>
        </w:tc>
      </w:tr>
      <w:tr w:rsidR="0057110D" w:rsidRPr="009E23A6" w14:paraId="2E309581" w14:textId="77777777" w:rsidTr="00DC4A05">
        <w:trPr>
          <w:trHeight w:val="561"/>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6E5535CD" w14:textId="77777777" w:rsidR="0057110D" w:rsidRPr="009E23A6" w:rsidRDefault="0057110D" w:rsidP="00F4761B">
            <w:pPr>
              <w:numPr>
                <w:ilvl w:val="0"/>
                <w:numId w:val="7"/>
              </w:numPr>
              <w:spacing w:before="0" w:after="0"/>
              <w:ind w:left="1171" w:hanging="567"/>
              <w:jc w:val="left"/>
              <w:rPr>
                <w:rFonts w:eastAsia="Calibri" w:cs="Arial"/>
              </w:rPr>
            </w:pPr>
            <w:r w:rsidRPr="009E23A6">
              <w:rPr>
                <w:rFonts w:eastAsia="Calibri" w:cs="Arial"/>
              </w:rPr>
              <w:t>Živočišná produkce</w:t>
            </w:r>
          </w:p>
        </w:tc>
        <w:tc>
          <w:tcPr>
            <w:tcW w:w="2210" w:type="dxa"/>
            <w:shd w:val="clear" w:color="auto" w:fill="E2EFD9" w:themeFill="accent6" w:themeFillTint="33"/>
            <w:vAlign w:val="center"/>
          </w:tcPr>
          <w:p w14:paraId="55FDE4D8" w14:textId="77777777" w:rsidR="0057110D" w:rsidRPr="009E23A6" w:rsidRDefault="0057110D" w:rsidP="00F4761B">
            <w:pPr>
              <w:spacing w:before="0" w:after="0"/>
              <w:ind w:left="709"/>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w:t>
            </w:r>
          </w:p>
        </w:tc>
        <w:tc>
          <w:tcPr>
            <w:tcW w:w="2010" w:type="dxa"/>
            <w:shd w:val="clear" w:color="auto" w:fill="E2EFD9" w:themeFill="accent6" w:themeFillTint="33"/>
            <w:vAlign w:val="center"/>
          </w:tcPr>
          <w:p w14:paraId="0841178D"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XXX</w:t>
            </w:r>
          </w:p>
        </w:tc>
        <w:tc>
          <w:tcPr>
            <w:tcW w:w="1698" w:type="dxa"/>
            <w:shd w:val="clear" w:color="auto" w:fill="E2EFD9" w:themeFill="accent6" w:themeFillTint="33"/>
            <w:vAlign w:val="center"/>
          </w:tcPr>
          <w:p w14:paraId="443130F9"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XXX</w:t>
            </w:r>
          </w:p>
        </w:tc>
      </w:tr>
      <w:tr w:rsidR="0057110D" w:rsidRPr="009E23A6" w14:paraId="63C1E35A" w14:textId="77777777" w:rsidTr="00DC4A05">
        <w:trPr>
          <w:cnfStyle w:val="000000100000" w:firstRow="0" w:lastRow="0" w:firstColumn="0" w:lastColumn="0" w:oddVBand="0" w:evenVBand="0" w:oddHBand="1"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18E42F90" w14:textId="77777777" w:rsidR="0057110D" w:rsidRPr="009E23A6" w:rsidRDefault="0057110D" w:rsidP="00F4761B">
            <w:pPr>
              <w:numPr>
                <w:ilvl w:val="0"/>
                <w:numId w:val="7"/>
              </w:numPr>
              <w:spacing w:before="0" w:after="0"/>
              <w:ind w:left="1171" w:hanging="567"/>
              <w:jc w:val="left"/>
              <w:rPr>
                <w:rFonts w:eastAsia="Calibri" w:cs="Arial"/>
              </w:rPr>
            </w:pPr>
            <w:r w:rsidRPr="009E23A6">
              <w:rPr>
                <w:rFonts w:eastAsia="Calibri" w:cs="Arial"/>
              </w:rPr>
              <w:t>Veterinární medicína</w:t>
            </w:r>
          </w:p>
        </w:tc>
        <w:tc>
          <w:tcPr>
            <w:tcW w:w="2210" w:type="dxa"/>
            <w:shd w:val="clear" w:color="auto" w:fill="A8D08D" w:themeFill="accent6" w:themeFillTint="99"/>
            <w:vAlign w:val="center"/>
          </w:tcPr>
          <w:p w14:paraId="0501558C" w14:textId="77777777" w:rsidR="0057110D" w:rsidRPr="009E23A6" w:rsidRDefault="0057110D" w:rsidP="00F4761B">
            <w:pPr>
              <w:spacing w:before="0" w:after="0"/>
              <w:ind w:left="709"/>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w:t>
            </w:r>
          </w:p>
        </w:tc>
        <w:tc>
          <w:tcPr>
            <w:tcW w:w="2010" w:type="dxa"/>
            <w:shd w:val="clear" w:color="auto" w:fill="A8D08D" w:themeFill="accent6" w:themeFillTint="99"/>
            <w:vAlign w:val="center"/>
          </w:tcPr>
          <w:p w14:paraId="1F3B921C"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w:t>
            </w:r>
          </w:p>
        </w:tc>
        <w:tc>
          <w:tcPr>
            <w:tcW w:w="1698" w:type="dxa"/>
            <w:shd w:val="clear" w:color="auto" w:fill="A8D08D" w:themeFill="accent6" w:themeFillTint="99"/>
            <w:vAlign w:val="center"/>
          </w:tcPr>
          <w:p w14:paraId="4B610321"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XXX</w:t>
            </w:r>
          </w:p>
        </w:tc>
      </w:tr>
      <w:tr w:rsidR="0057110D" w:rsidRPr="009E23A6" w14:paraId="1552779E" w14:textId="77777777" w:rsidTr="00DC4A05">
        <w:trPr>
          <w:trHeight w:val="561"/>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203BCFC9" w14:textId="77777777" w:rsidR="0057110D" w:rsidRPr="009E23A6" w:rsidRDefault="0057110D" w:rsidP="00F4761B">
            <w:pPr>
              <w:numPr>
                <w:ilvl w:val="0"/>
                <w:numId w:val="7"/>
              </w:numPr>
              <w:spacing w:before="0" w:after="0"/>
              <w:ind w:left="1029" w:hanging="425"/>
              <w:jc w:val="left"/>
              <w:rPr>
                <w:rFonts w:eastAsia="Calibri" w:cs="Arial"/>
              </w:rPr>
            </w:pPr>
            <w:r w:rsidRPr="009E23A6">
              <w:rPr>
                <w:rFonts w:eastAsia="Calibri" w:cs="Arial"/>
              </w:rPr>
              <w:t>Produkce potravin</w:t>
            </w:r>
          </w:p>
        </w:tc>
        <w:tc>
          <w:tcPr>
            <w:tcW w:w="2210" w:type="dxa"/>
            <w:shd w:val="clear" w:color="auto" w:fill="E2EFD9" w:themeFill="accent6" w:themeFillTint="33"/>
            <w:vAlign w:val="center"/>
          </w:tcPr>
          <w:p w14:paraId="319F0E90" w14:textId="77777777" w:rsidR="0057110D" w:rsidRPr="009E23A6" w:rsidRDefault="0057110D" w:rsidP="00F4761B">
            <w:pPr>
              <w:spacing w:before="0" w:after="0"/>
              <w:ind w:left="709"/>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w:t>
            </w:r>
          </w:p>
        </w:tc>
        <w:tc>
          <w:tcPr>
            <w:tcW w:w="2010" w:type="dxa"/>
            <w:shd w:val="clear" w:color="auto" w:fill="E2EFD9" w:themeFill="accent6" w:themeFillTint="33"/>
            <w:vAlign w:val="center"/>
          </w:tcPr>
          <w:p w14:paraId="3DFE7B29"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XXX</w:t>
            </w:r>
          </w:p>
        </w:tc>
        <w:tc>
          <w:tcPr>
            <w:tcW w:w="1698" w:type="dxa"/>
            <w:shd w:val="clear" w:color="auto" w:fill="E2EFD9" w:themeFill="accent6" w:themeFillTint="33"/>
            <w:vAlign w:val="center"/>
          </w:tcPr>
          <w:p w14:paraId="66C7AD5B"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w:t>
            </w:r>
          </w:p>
        </w:tc>
      </w:tr>
      <w:tr w:rsidR="0057110D" w:rsidRPr="009E23A6" w14:paraId="1DBFFEE9" w14:textId="77777777" w:rsidTr="00DC4A05">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17C3B008" w14:textId="77777777" w:rsidR="0057110D" w:rsidRPr="009E23A6" w:rsidRDefault="0057110D" w:rsidP="00F4761B">
            <w:pPr>
              <w:numPr>
                <w:ilvl w:val="0"/>
                <w:numId w:val="7"/>
              </w:numPr>
              <w:spacing w:before="0" w:after="0"/>
              <w:ind w:left="1029" w:hanging="425"/>
              <w:jc w:val="left"/>
              <w:rPr>
                <w:rFonts w:eastAsia="Calibri" w:cs="Arial"/>
              </w:rPr>
            </w:pPr>
            <w:r w:rsidRPr="009E23A6">
              <w:rPr>
                <w:rFonts w:eastAsia="Calibri" w:cs="Arial"/>
              </w:rPr>
              <w:t>Zemědělská technika</w:t>
            </w:r>
          </w:p>
        </w:tc>
        <w:tc>
          <w:tcPr>
            <w:tcW w:w="2210" w:type="dxa"/>
            <w:shd w:val="clear" w:color="auto" w:fill="A8D08D" w:themeFill="accent6" w:themeFillTint="99"/>
            <w:vAlign w:val="center"/>
          </w:tcPr>
          <w:p w14:paraId="4944EF42" w14:textId="77777777" w:rsidR="0057110D" w:rsidRPr="009E23A6" w:rsidRDefault="0057110D" w:rsidP="00F4761B">
            <w:pPr>
              <w:spacing w:before="0" w:after="0"/>
              <w:ind w:left="709"/>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w:t>
            </w:r>
          </w:p>
        </w:tc>
        <w:tc>
          <w:tcPr>
            <w:tcW w:w="2010" w:type="dxa"/>
            <w:shd w:val="clear" w:color="auto" w:fill="A8D08D" w:themeFill="accent6" w:themeFillTint="99"/>
            <w:vAlign w:val="center"/>
          </w:tcPr>
          <w:p w14:paraId="749B9456"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XXX</w:t>
            </w:r>
          </w:p>
        </w:tc>
        <w:tc>
          <w:tcPr>
            <w:tcW w:w="1698" w:type="dxa"/>
            <w:shd w:val="clear" w:color="auto" w:fill="A8D08D" w:themeFill="accent6" w:themeFillTint="99"/>
            <w:vAlign w:val="center"/>
          </w:tcPr>
          <w:p w14:paraId="0F968D86" w14:textId="77777777" w:rsidR="0057110D" w:rsidRPr="009E23A6" w:rsidRDefault="0057110D" w:rsidP="00F4761B">
            <w:pPr>
              <w:spacing w:before="0" w:after="0"/>
              <w:jc w:val="center"/>
              <w:cnfStyle w:val="000000100000" w:firstRow="0" w:lastRow="0" w:firstColumn="0" w:lastColumn="0" w:oddVBand="0" w:evenVBand="0" w:oddHBand="1" w:evenHBand="0" w:firstRowFirstColumn="0" w:firstRowLastColumn="0" w:lastRowFirstColumn="0" w:lastRowLastColumn="0"/>
              <w:rPr>
                <w:rFonts w:eastAsia="Calibri" w:cs="Arial"/>
              </w:rPr>
            </w:pPr>
            <w:r w:rsidRPr="009E23A6">
              <w:rPr>
                <w:rFonts w:eastAsia="Calibri" w:cs="Arial"/>
              </w:rPr>
              <w:t>XX</w:t>
            </w:r>
          </w:p>
        </w:tc>
      </w:tr>
      <w:tr w:rsidR="0057110D" w:rsidRPr="009E23A6" w14:paraId="5E2A8FD7" w14:textId="77777777" w:rsidTr="00DC4A05">
        <w:trPr>
          <w:trHeight w:val="834"/>
        </w:trPr>
        <w:tc>
          <w:tcPr>
            <w:cnfStyle w:val="001000000000" w:firstRow="0" w:lastRow="0" w:firstColumn="1" w:lastColumn="0" w:oddVBand="0" w:evenVBand="0" w:oddHBand="0" w:evenHBand="0" w:firstRowFirstColumn="0" w:firstRowLastColumn="0" w:lastRowFirstColumn="0" w:lastRowLastColumn="0"/>
            <w:tcW w:w="3232" w:type="dxa"/>
            <w:shd w:val="clear" w:color="auto" w:fill="70AD47" w:themeFill="accent6"/>
            <w:vAlign w:val="center"/>
          </w:tcPr>
          <w:p w14:paraId="69A2F115" w14:textId="77777777" w:rsidR="0057110D" w:rsidRPr="009E23A6" w:rsidRDefault="0057110D" w:rsidP="00F4761B">
            <w:pPr>
              <w:numPr>
                <w:ilvl w:val="0"/>
                <w:numId w:val="7"/>
              </w:numPr>
              <w:spacing w:before="0" w:after="0"/>
              <w:ind w:left="1029" w:hanging="425"/>
              <w:jc w:val="left"/>
              <w:rPr>
                <w:rFonts w:eastAsia="Calibri" w:cs="Arial"/>
              </w:rPr>
            </w:pPr>
            <w:r w:rsidRPr="009E23A6">
              <w:rPr>
                <w:rFonts w:eastAsia="Calibri" w:cs="Arial"/>
              </w:rPr>
              <w:t>Lesnická a zemědělská ekonomika a politika</w:t>
            </w:r>
          </w:p>
        </w:tc>
        <w:tc>
          <w:tcPr>
            <w:tcW w:w="2210" w:type="dxa"/>
            <w:shd w:val="clear" w:color="auto" w:fill="E2EFD9" w:themeFill="accent6" w:themeFillTint="33"/>
            <w:vAlign w:val="center"/>
          </w:tcPr>
          <w:p w14:paraId="2B079490" w14:textId="77777777" w:rsidR="0057110D" w:rsidRPr="009E23A6" w:rsidRDefault="0057110D" w:rsidP="00F4761B">
            <w:pPr>
              <w:spacing w:before="0" w:after="0"/>
              <w:ind w:left="709"/>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XXX</w:t>
            </w:r>
          </w:p>
        </w:tc>
        <w:tc>
          <w:tcPr>
            <w:tcW w:w="2010" w:type="dxa"/>
            <w:shd w:val="clear" w:color="auto" w:fill="E2EFD9" w:themeFill="accent6" w:themeFillTint="33"/>
            <w:vAlign w:val="center"/>
          </w:tcPr>
          <w:p w14:paraId="5CDB1B4C"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w:t>
            </w:r>
          </w:p>
        </w:tc>
        <w:tc>
          <w:tcPr>
            <w:tcW w:w="1698" w:type="dxa"/>
            <w:shd w:val="clear" w:color="auto" w:fill="E2EFD9" w:themeFill="accent6" w:themeFillTint="33"/>
            <w:vAlign w:val="center"/>
          </w:tcPr>
          <w:p w14:paraId="5CB31B48" w14:textId="77777777" w:rsidR="0057110D" w:rsidRPr="009E23A6" w:rsidRDefault="0057110D" w:rsidP="00F4761B">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9E23A6">
              <w:rPr>
                <w:rFonts w:eastAsia="Calibri" w:cs="Arial"/>
              </w:rPr>
              <w:t>XX</w:t>
            </w:r>
          </w:p>
        </w:tc>
      </w:tr>
    </w:tbl>
    <w:p w14:paraId="21DD2085" w14:textId="460F127A" w:rsidR="0057110D" w:rsidRPr="009E23A6" w:rsidRDefault="0057110D" w:rsidP="00F4761B">
      <w:pPr>
        <w:pStyle w:val="Nadpis1"/>
        <w:spacing w:line="360" w:lineRule="auto"/>
        <w:rPr>
          <w:szCs w:val="32"/>
        </w:rPr>
      </w:pPr>
      <w:bookmarkStart w:id="52" w:name="_Ref98267873"/>
      <w:bookmarkStart w:id="53" w:name="_Toc112061711"/>
      <w:bookmarkStart w:id="54" w:name="_Toc115938908"/>
      <w:r w:rsidRPr="009E23A6">
        <w:rPr>
          <w:szCs w:val="32"/>
        </w:rPr>
        <w:t>Výzkumné směry</w:t>
      </w:r>
      <w:bookmarkEnd w:id="52"/>
      <w:bookmarkEnd w:id="53"/>
      <w:bookmarkEnd w:id="54"/>
    </w:p>
    <w:p w14:paraId="3B3559FF" w14:textId="77777777" w:rsidR="0057110D" w:rsidRPr="009E23A6" w:rsidRDefault="0057110D" w:rsidP="00F4761B">
      <w:pPr>
        <w:pStyle w:val="Nadpis2"/>
      </w:pPr>
      <w:bookmarkStart w:id="55" w:name="_Toc112061712"/>
      <w:bookmarkStart w:id="56" w:name="_Toc112061818"/>
      <w:bookmarkStart w:id="57" w:name="_Toc115938909"/>
      <w:r w:rsidRPr="009E23A6">
        <w:t>Půda</w:t>
      </w:r>
      <w:bookmarkEnd w:id="55"/>
      <w:bookmarkEnd w:id="56"/>
      <w:bookmarkEnd w:id="57"/>
    </w:p>
    <w:p w14:paraId="08CA50A6" w14:textId="1CC630FD" w:rsidR="0057110D" w:rsidRPr="009E23A6" w:rsidRDefault="0057110D" w:rsidP="00F4761B">
      <w:r w:rsidRPr="009E23A6">
        <w:t>Cílem výzkumného směru „Půda“ je získání poznatků k podpoře udržitelného hospodaření na zemědělské i lesní půdě, s ohledem na její kvalitu a environmentální funkce v</w:t>
      </w:r>
      <w:r w:rsidR="007F793C" w:rsidRPr="009E23A6">
        <w:t> </w:t>
      </w:r>
      <w:r w:rsidRPr="009E23A6">
        <w:t>krajině</w:t>
      </w:r>
      <w:r w:rsidR="007F793C" w:rsidRPr="009E23A6">
        <w:t xml:space="preserve"> </w:t>
      </w:r>
      <w:r w:rsidR="007F793C" w:rsidRPr="00AD3FEC">
        <w:t xml:space="preserve">dle </w:t>
      </w:r>
      <w:r w:rsidR="002E5776" w:rsidRPr="00AD3FEC">
        <w:t xml:space="preserve">strategie </w:t>
      </w:r>
      <w:r w:rsidR="007F793C" w:rsidRPr="00AD3FEC">
        <w:rPr>
          <w:i/>
          <w:iCs/>
        </w:rPr>
        <w:t>Soil Deal for Europe</w:t>
      </w:r>
      <w:r w:rsidRPr="009E23A6">
        <w:t>. Při výzkumu a využívání půdy se doposud dlouhodobě upřednostňovaly produkční funkce půdy. Nejenom v souvislosti s klimatickou změnou je třeba se více soustředit na environmentální funkce půdy.</w:t>
      </w:r>
    </w:p>
    <w:p w14:paraId="5484AEF2" w14:textId="77777777" w:rsidR="0057110D" w:rsidRPr="009E23A6" w:rsidRDefault="0057110D" w:rsidP="00F4761B">
      <w:r w:rsidRPr="009E23A6">
        <w:t xml:space="preserve">Je třeba omezit zábory zemědělských půd a bojovat proti degradačním procesům na půdách, především v souvislosti se zvyšujícím se antropogenním tlakem. K nejvíce ohrožujícím degradačním procesům se řadí vodní a větrná eroze, úbytek půdní organické hmoty, kontaminace půd anorganickými a organickými polutanty, pokles půdní biodiverzity, </w:t>
      </w:r>
      <w:r w:rsidRPr="009E23A6">
        <w:lastRenderedPageBreak/>
        <w:t xml:space="preserve">technogenní zhutnění půd nebo acidifikace či nevyvážený poměr biogenních prvků v půdách lesních. </w:t>
      </w:r>
    </w:p>
    <w:p w14:paraId="01384E10" w14:textId="68CC8D80" w:rsidR="0057110D" w:rsidRPr="009E23A6" w:rsidRDefault="0057110D" w:rsidP="00F4761B">
      <w:r w:rsidRPr="009E23A6">
        <w:t xml:space="preserve">Je třeba rozvíjet půdoochranné technologie hospodaření na zemědělských půdách, </w:t>
      </w:r>
      <w:r w:rsidR="00301E49" w:rsidRPr="009E23A6">
        <w:t xml:space="preserve">včetně technologií a agrotechnických postupů, </w:t>
      </w:r>
      <w:r w:rsidRPr="009E23A6">
        <w:t>které výrazně omezí negativní dopady plynoucí z</w:t>
      </w:r>
      <w:r w:rsidR="000C0368" w:rsidRPr="009E23A6">
        <w:t> </w:t>
      </w:r>
      <w:r w:rsidRPr="009E23A6">
        <w:t>intenzivního hospodaření na půdách, omezí zejména projevy vodní a větrné eroze, podpoří vstupy organické hmoty do zemědělských půd a povedou k navýšení retenční schopnosti půd, čímž výrazně posílí schopnost krajiny zadržovat vodu. Na to musí reagovat i metodika pozemkových úprav. Je třeba podpořit cirkulární hospodaření při vnosu organických i</w:t>
      </w:r>
      <w:r w:rsidR="000C0368" w:rsidRPr="009E23A6">
        <w:t> </w:t>
      </w:r>
      <w:r w:rsidRPr="009E23A6">
        <w:t>anorganických zlepšujících látek do zemědělských půd.</w:t>
      </w:r>
    </w:p>
    <w:p w14:paraId="68176E9D" w14:textId="77777777" w:rsidR="0057110D" w:rsidRPr="009E23A6" w:rsidRDefault="0057110D" w:rsidP="00F4761B">
      <w:r w:rsidRPr="009E23A6">
        <w:t xml:space="preserve">Rozvoj teoretických znalostí v oblasti půdoznaleckých specializací, jakými jsou výzkum půdní biodiverzity, výzkum nových agroenvironmentálních opatření, využití metod dálkového průzkumu Země, metod precizního zemědělství a dalších bude stěžejní pro rozvoj pokročilých aplikací. </w:t>
      </w:r>
    </w:p>
    <w:p w14:paraId="7720E26C" w14:textId="77777777" w:rsidR="0057110D" w:rsidRPr="009E23A6" w:rsidRDefault="0057110D" w:rsidP="00F4761B">
      <w:pPr>
        <w:pStyle w:val="Nadpis2"/>
      </w:pPr>
      <w:bookmarkStart w:id="58" w:name="_Toc112061713"/>
      <w:bookmarkStart w:id="59" w:name="_Toc112061819"/>
      <w:bookmarkStart w:id="60" w:name="_Toc115938910"/>
      <w:r w:rsidRPr="009E23A6">
        <w:t>Voda</w:t>
      </w:r>
      <w:bookmarkEnd w:id="58"/>
      <w:bookmarkEnd w:id="59"/>
      <w:bookmarkEnd w:id="60"/>
    </w:p>
    <w:p w14:paraId="439B326F" w14:textId="3BCA6AF6" w:rsidR="0057110D" w:rsidRPr="009E23A6" w:rsidRDefault="0057110D" w:rsidP="00F4761B">
      <w:pPr>
        <w:pStyle w:val="Standard"/>
        <w:spacing w:after="120" w:line="360" w:lineRule="auto"/>
        <w:jc w:val="both"/>
        <w:rPr>
          <w:rFonts w:ascii="Arial" w:eastAsia="Arial" w:hAnsi="Arial" w:cs="Arial"/>
          <w:kern w:val="0"/>
          <w:sz w:val="22"/>
          <w:szCs w:val="22"/>
          <w:lang w:eastAsia="cs-CZ" w:bidi="ar-SA"/>
        </w:rPr>
      </w:pPr>
      <w:r w:rsidRPr="009E23A6">
        <w:rPr>
          <w:rFonts w:ascii="Arial" w:eastAsia="Arial" w:hAnsi="Arial" w:cs="Arial"/>
          <w:kern w:val="0"/>
          <w:sz w:val="22"/>
          <w:szCs w:val="22"/>
          <w:lang w:eastAsia="cs-CZ" w:bidi="ar-SA"/>
        </w:rPr>
        <w:t xml:space="preserve">Cílem výzkumného směru je získání poznatků pro zlepšení životního prostředí a mitigace dopadu klimatických změn směřujícími do oblasti jak produkčních, tak mimoprodukčních funkcí krajiny. Prioritou výzkumu je dále získání poznatků pro zlepšení retenční schopnosti celé krajiny. Prioritami výzkumného směru je především zmírňování dopadu klimatických změn, které lze spatřovat ve zlepšení retence srážkové vody, podpoře využívání odpadních vod v zemědělství a rozvoji úsporných automatizovaných závlahových systémů </w:t>
      </w:r>
      <w:r w:rsidRPr="009E23A6">
        <w:rPr>
          <w:rFonts w:ascii="Arial" w:eastAsia="Arial" w:hAnsi="Arial" w:cs="Arial"/>
          <w:kern w:val="0"/>
          <w:sz w:val="22"/>
          <w:szCs w:val="22"/>
          <w:lang w:eastAsia="cs-CZ" w:bidi="ar-SA"/>
        </w:rPr>
        <w:br/>
        <w:t>a technologií. Zabezpečit dostatečné a udržitelné zdroje vody pro zachování a rozvoj zemědělské produkce. Zavedení efektivních technologií ve vodárenství a v nakládání s odpadními vodami (využití upravených kalů z čistíren odpadních vod). Další prioritou je</w:t>
      </w:r>
      <w:r w:rsidR="00B909AD" w:rsidRPr="009E23A6">
        <w:rPr>
          <w:rFonts w:ascii="Arial" w:eastAsia="Arial" w:hAnsi="Arial" w:cs="Arial"/>
          <w:kern w:val="0"/>
          <w:sz w:val="22"/>
          <w:szCs w:val="22"/>
          <w:lang w:eastAsia="cs-CZ" w:bidi="ar-SA"/>
        </w:rPr>
        <w:t> </w:t>
      </w:r>
      <w:r w:rsidRPr="009E23A6">
        <w:rPr>
          <w:rFonts w:ascii="Arial" w:eastAsia="Arial" w:hAnsi="Arial" w:cs="Arial"/>
          <w:kern w:val="0"/>
          <w:sz w:val="22"/>
          <w:szCs w:val="22"/>
          <w:lang w:eastAsia="cs-CZ" w:bidi="ar-SA"/>
        </w:rPr>
        <w:t>optimalizace a efektivní využívání vodních zdrojů, zahrnující důraznou minimalizaci vnosu specifických mikropolutantů do těchto vodních zdrojů</w:t>
      </w:r>
      <w:r w:rsidR="00301E49" w:rsidRPr="009E23A6">
        <w:rPr>
          <w:rFonts w:ascii="Arial" w:eastAsia="Arial" w:hAnsi="Arial" w:cs="Arial"/>
          <w:kern w:val="0"/>
          <w:sz w:val="22"/>
          <w:szCs w:val="22"/>
          <w:lang w:eastAsia="cs-CZ" w:bidi="ar-SA"/>
        </w:rPr>
        <w:t>, včetně zhodnocení vlivu různých zemědělských systémů (konvenční, integrované, ekologické)</w:t>
      </w:r>
      <w:r w:rsidRPr="009E23A6">
        <w:rPr>
          <w:rFonts w:ascii="Arial" w:eastAsia="Arial" w:hAnsi="Arial" w:cs="Arial"/>
          <w:kern w:val="0"/>
          <w:sz w:val="22"/>
          <w:szCs w:val="22"/>
          <w:lang w:eastAsia="cs-CZ" w:bidi="ar-SA"/>
        </w:rPr>
        <w:t>. Součástí této priority je</w:t>
      </w:r>
      <w:r w:rsidR="000C0368" w:rsidRPr="009E23A6">
        <w:rPr>
          <w:rFonts w:ascii="Arial" w:eastAsia="Arial" w:hAnsi="Arial" w:cs="Arial"/>
          <w:kern w:val="0"/>
          <w:sz w:val="22"/>
          <w:szCs w:val="22"/>
          <w:lang w:eastAsia="cs-CZ" w:bidi="ar-SA"/>
        </w:rPr>
        <w:t> </w:t>
      </w:r>
      <w:r w:rsidRPr="009E23A6">
        <w:rPr>
          <w:rFonts w:ascii="Arial" w:eastAsia="Arial" w:hAnsi="Arial" w:cs="Arial"/>
          <w:kern w:val="0"/>
          <w:sz w:val="22"/>
          <w:szCs w:val="22"/>
          <w:lang w:eastAsia="cs-CZ" w:bidi="ar-SA"/>
        </w:rPr>
        <w:t>zhodnotit a</w:t>
      </w:r>
      <w:r w:rsidR="005D05D0" w:rsidRPr="009E23A6">
        <w:rPr>
          <w:rFonts w:ascii="Arial" w:eastAsia="Arial" w:hAnsi="Arial" w:cs="Arial"/>
          <w:kern w:val="0"/>
          <w:sz w:val="22"/>
          <w:szCs w:val="22"/>
          <w:lang w:eastAsia="cs-CZ" w:bidi="ar-SA"/>
        </w:rPr>
        <w:t> </w:t>
      </w:r>
      <w:r w:rsidRPr="009E23A6">
        <w:rPr>
          <w:rFonts w:ascii="Arial" w:eastAsia="Arial" w:hAnsi="Arial" w:cs="Arial"/>
          <w:kern w:val="0"/>
          <w:sz w:val="22"/>
          <w:szCs w:val="22"/>
          <w:lang w:eastAsia="cs-CZ" w:bidi="ar-SA"/>
        </w:rPr>
        <w:t>využít potenciál vodních zdrojů horských oblastí pro energetické účely. Další</w:t>
      </w:r>
      <w:r w:rsidR="00B909AD" w:rsidRPr="009E23A6">
        <w:rPr>
          <w:rFonts w:ascii="Arial" w:eastAsia="Arial" w:hAnsi="Arial" w:cs="Arial"/>
          <w:kern w:val="0"/>
          <w:sz w:val="22"/>
          <w:szCs w:val="22"/>
          <w:lang w:eastAsia="cs-CZ" w:bidi="ar-SA"/>
        </w:rPr>
        <w:t> </w:t>
      </w:r>
      <w:r w:rsidRPr="009E23A6">
        <w:rPr>
          <w:rFonts w:ascii="Arial" w:eastAsia="Arial" w:hAnsi="Arial" w:cs="Arial"/>
          <w:kern w:val="0"/>
          <w:sz w:val="22"/>
          <w:szCs w:val="22"/>
          <w:lang w:eastAsia="cs-CZ" w:bidi="ar-SA"/>
        </w:rPr>
        <w:t>prioritou je získání poznatků pro minimalizace dopadu přívalových srážek a půdně erozních jevů, vycházejících z vyhodnocení účinnosti jednotlivých přírodě blízkých opatření, včetně ochranných vodních nádrží.</w:t>
      </w:r>
    </w:p>
    <w:p w14:paraId="33EAA710" w14:textId="77777777" w:rsidR="0057110D" w:rsidRPr="009E23A6" w:rsidRDefault="0057110D" w:rsidP="00F4761B">
      <w:pPr>
        <w:pStyle w:val="Nadpis2"/>
      </w:pPr>
      <w:bookmarkStart w:id="61" w:name="_Toc112061714"/>
      <w:bookmarkStart w:id="62" w:name="_Toc112061820"/>
      <w:bookmarkStart w:id="63" w:name="_Toc115938911"/>
      <w:r w:rsidRPr="009E23A6">
        <w:t>Biodiverzita</w:t>
      </w:r>
      <w:bookmarkEnd w:id="61"/>
      <w:bookmarkEnd w:id="62"/>
      <w:bookmarkEnd w:id="63"/>
    </w:p>
    <w:p w14:paraId="4C17E961" w14:textId="02347674" w:rsidR="0057110D" w:rsidRPr="009E23A6" w:rsidRDefault="0057110D" w:rsidP="00F4761B">
      <w:pPr>
        <w:rPr>
          <w:rFonts w:eastAsia="Times New Roman" w:cs="Arial"/>
          <w:szCs w:val="22"/>
          <w:lang w:eastAsia="en-US"/>
        </w:rPr>
      </w:pPr>
      <w:r w:rsidRPr="009E23A6">
        <w:rPr>
          <w:rFonts w:eastAsia="Times New Roman" w:cs="Arial"/>
          <w:szCs w:val="22"/>
          <w:lang w:eastAsia="en-US"/>
        </w:rPr>
        <w:t xml:space="preserve">Cílem výzkumného směru je získání poznatků pro ochranu a obnovu biodiverzity a pro podporu přirozených funkcí ekosystémů jako klíč k udržitelné zemědělské a lesnické </w:t>
      </w:r>
      <w:r w:rsidRPr="009E23A6">
        <w:rPr>
          <w:rFonts w:eastAsia="Times New Roman" w:cs="Arial"/>
          <w:szCs w:val="22"/>
          <w:lang w:eastAsia="en-US"/>
        </w:rPr>
        <w:lastRenderedPageBreak/>
        <w:t xml:space="preserve">produkci. Cílem je také zvýšení znalostí o vývoji, změnách, degradaci a procesech regenerace ekosystémů, které spoluurčují stabilitu krajiny, její pestrost, produktivitu a kvalitu života lidí, obyvatel i návštěvníků, stejně tak i její přírodní hodnoty. </w:t>
      </w:r>
      <w:r w:rsidR="00A13BB1" w:rsidRPr="009E23A6">
        <w:rPr>
          <w:rFonts w:eastAsia="Times New Roman" w:cs="Arial"/>
          <w:szCs w:val="22"/>
          <w:lang w:eastAsia="en-US"/>
        </w:rPr>
        <w:t>Prioritou výzkumu je získání poznatků o potenciálu a překážkách ochrany biodiverzity v celém řetězci výroby potravin, v rámci produkce přírodních surovin a vodního hospodářství (včetně zabezpečení zdrojů pitné vody a</w:t>
      </w:r>
      <w:r w:rsidR="00542C16" w:rsidRPr="009E23A6">
        <w:rPr>
          <w:rFonts w:eastAsia="Times New Roman" w:cs="Arial"/>
          <w:szCs w:val="22"/>
          <w:lang w:eastAsia="en-US"/>
        </w:rPr>
        <w:t> </w:t>
      </w:r>
      <w:r w:rsidR="00A13BB1" w:rsidRPr="009E23A6">
        <w:rPr>
          <w:rFonts w:eastAsia="Times New Roman" w:cs="Arial"/>
          <w:szCs w:val="22"/>
          <w:lang w:eastAsia="en-US"/>
        </w:rPr>
        <w:t>udržení vody v krajině).</w:t>
      </w:r>
      <w:r w:rsidRPr="009E23A6">
        <w:rPr>
          <w:rFonts w:eastAsia="Times New Roman" w:cs="Arial"/>
          <w:szCs w:val="22"/>
          <w:lang w:eastAsia="en-US"/>
        </w:rPr>
        <w:t xml:space="preserve"> Další prioritou je optimalizace a diverzifikace zemědělsky využívané krajiny, která povede k rozvoji biologické a strukturální diverzity při respektování produkční funkce zemědělství a lesnictví.</w:t>
      </w:r>
    </w:p>
    <w:p w14:paraId="4C60FC8A" w14:textId="77777777" w:rsidR="0057110D" w:rsidRPr="009E23A6" w:rsidRDefault="0057110D" w:rsidP="00F4761B">
      <w:pPr>
        <w:pStyle w:val="Nadpis2"/>
      </w:pPr>
      <w:bookmarkStart w:id="64" w:name="_Toc112061715"/>
      <w:bookmarkStart w:id="65" w:name="_Toc112061821"/>
      <w:bookmarkStart w:id="66" w:name="_Toc115938912"/>
      <w:r w:rsidRPr="009E23A6">
        <w:t>Lesnictví a navazující odvětví</w:t>
      </w:r>
      <w:bookmarkEnd w:id="64"/>
      <w:bookmarkEnd w:id="65"/>
      <w:bookmarkEnd w:id="66"/>
    </w:p>
    <w:p w14:paraId="3FC50CDB" w14:textId="77777777" w:rsidR="0057110D" w:rsidRPr="009E23A6" w:rsidRDefault="0057110D" w:rsidP="00F4761B">
      <w:r w:rsidRPr="009E23A6">
        <w:t>Cílem výzkumného směru Lesnictví a navazující odvětví je zajistit dostatečné podklady pro zajištění trvale udržitelného hospodaření v lesích a zachování plně funkčních lesních ekosystémů v kontextu klimatické změny a měnícího se paradigmatu ve společnosti, to vše jako součást obnovy všech krajinných funkcí. Interdisciplinární přesah je základní charakteristikou lesnického výzkumu, třebaže jej lze prioritně směřovat do biologicko-ekologického, technologicko-produkčního a ekonomicko-sociálního pilíře politik ČR i EU. Součástí výzkumného směru je i využití produkční funkce lesních porostů a její technologické a společensko-politické důsledky a aspekty, na druhé straně i myslivecké hospodaření a péče o volně žijící zvěř, živočichy obecně a kulturní role myslivosti ve společnosti.</w:t>
      </w:r>
    </w:p>
    <w:p w14:paraId="058AF56B" w14:textId="77777777" w:rsidR="0057110D" w:rsidRPr="009E23A6" w:rsidRDefault="0057110D" w:rsidP="00F4761B">
      <w:r w:rsidRPr="009E23A6">
        <w:t>Prioritami tohoto výzkumného směru tedy bude hodnocení dynamiky lesních ekosystémů a dopady na jejich potenciální trvale udržitelný management, dále zvýšení stability a zlepšení zdravotního stavu lesů a adaptační a mitigační opatření v souvislosti se změnou klimatu a společnosti. Prioritou bude rovněž progresivní technologie, bioekonomika a ekosystémové služby lesa a návazné obory a myslivecké hospodaření a péče o zvěř v krajině.</w:t>
      </w:r>
    </w:p>
    <w:p w14:paraId="3EF5C4C4" w14:textId="77777777" w:rsidR="0057110D" w:rsidRPr="009E23A6" w:rsidRDefault="0057110D" w:rsidP="00F4761B">
      <w:pPr>
        <w:pStyle w:val="Nadpis2"/>
      </w:pPr>
      <w:bookmarkStart w:id="67" w:name="_Toc112061716"/>
      <w:bookmarkStart w:id="68" w:name="_Toc112061822"/>
      <w:bookmarkStart w:id="69" w:name="_Toc115938913"/>
      <w:r w:rsidRPr="009E23A6">
        <w:t>Rostlinná produkce</w:t>
      </w:r>
      <w:bookmarkEnd w:id="67"/>
      <w:bookmarkEnd w:id="68"/>
      <w:bookmarkEnd w:id="69"/>
    </w:p>
    <w:p w14:paraId="758A6433" w14:textId="249BD05B" w:rsidR="0057110D" w:rsidRPr="009E23A6" w:rsidRDefault="0057110D" w:rsidP="00F4761B">
      <w:r w:rsidRPr="009E23A6">
        <w:t>Cílem výzkumného směru je přinést nové poznatky pro zdokonalení systémů pěstování zemědělských plodin i inovace technologií pěstování za účelem dlouhodobě udržitelné, ekonomicky efektivní produkce kvalitních a bezpečných potravin, surovin pro potraviny a krmiv pro hospodářská zvířata a surovin pro nepotravinářské využití produktů.</w:t>
      </w:r>
    </w:p>
    <w:p w14:paraId="5932DFED" w14:textId="77777777" w:rsidR="0057110D" w:rsidRPr="009E23A6" w:rsidRDefault="0057110D" w:rsidP="00F4761B">
      <w:r w:rsidRPr="009E23A6">
        <w:t>Výzkumný směr je zaměřen na zdokonalení udržitelných pěstitelských systémů v různých socioekonomických a přírodních podmínkách jako jsou konvenční, integrované, ekologické a další alternativní systémy hospodaření, zahrnující hydroponii, aeroponii a vertikální farmy.</w:t>
      </w:r>
    </w:p>
    <w:p w14:paraId="0FC57A6A" w14:textId="77777777" w:rsidR="0057110D" w:rsidRPr="009E23A6" w:rsidRDefault="0057110D" w:rsidP="00F4761B">
      <w:r w:rsidRPr="009E23A6">
        <w:t xml:space="preserve">Hlavními výzkumnými oblastmi budou inovace agrotechnických postupů pro pěstování rostlin při zvýšení diverzity pěstovaných plodin, zaměřené zejména na efektivní využití vody, </w:t>
      </w:r>
      <w:r w:rsidRPr="009E23A6">
        <w:lastRenderedPageBreak/>
        <w:t xml:space="preserve">optimalizaci používání hnojiv a pomocných látek při omezení ztrát živin a zaměřené na opatření směřující k ochraně půdy před degradačními procesy. Výzkum bude dále zaměřen na vypracování postupů vedoucích k sekvestraci uhlíku a zvýšení obsahu a kvality organické hmoty v půdě. Výzkumnou prioritou bude vývoj a zdokonalení postupů precizního zemědělství v podmínkách Zemědělství 4.0. s vyšším využitím robotizace a automatizace a při uplatňování principů cirkulární ekonomiky při zpracování a využití odpadů. </w:t>
      </w:r>
    </w:p>
    <w:p w14:paraId="25F5FCE4" w14:textId="67036689" w:rsidR="0057110D" w:rsidRPr="009E23A6" w:rsidRDefault="0057110D" w:rsidP="00F4761B">
      <w:r w:rsidRPr="009E23A6">
        <w:t>Další výzkumnou prioritou bude šlechtění a využití plodin a odrůd se zvýšenou tolerancí k abiotickým stresům a rezistentních či tolerantních ke škodlivým organismům</w:t>
      </w:r>
      <w:r w:rsidR="00301E49" w:rsidRPr="009E23A6">
        <w:t xml:space="preserve"> a šlechtění ekologických odrůd</w:t>
      </w:r>
      <w:r w:rsidRPr="009E23A6">
        <w:t>.</w:t>
      </w:r>
      <w:r w:rsidR="00301E49" w:rsidRPr="009E23A6">
        <w:t xml:space="preserve"> </w:t>
      </w:r>
      <w:r w:rsidRPr="009E23A6">
        <w:t>A dále šlechtění plodin s vyšší nutriční a jinou přidanou hodnotou pro</w:t>
      </w:r>
      <w:r w:rsidR="002F5F9C" w:rsidRPr="009E23A6">
        <w:t> </w:t>
      </w:r>
      <w:r w:rsidRPr="009E23A6">
        <w:t>výživu obyvatel i pro krmení hospodářských zvířat a šlechtění plodin pro lokální, ekologickou, nepotravinářskou i další speciální produkci. V centru zájmu je rovněž získání poznatků pro</w:t>
      </w:r>
      <w:r w:rsidR="000C0368" w:rsidRPr="009E23A6">
        <w:t> </w:t>
      </w:r>
      <w:r w:rsidRPr="009E23A6">
        <w:t>adaptaci rostlinné produkce na změnu klimatu a opatření ke zmírňování jejích dopadů</w:t>
      </w:r>
      <w:r w:rsidR="00F60A21" w:rsidRPr="009E23A6">
        <w:t xml:space="preserve">, </w:t>
      </w:r>
      <w:r w:rsidR="00F60A21" w:rsidRPr="009E23A6">
        <w:rPr>
          <w:rFonts w:cs="Arial"/>
          <w:color w:val="000000"/>
          <w:szCs w:val="22"/>
        </w:rPr>
        <w:t>včetně zvýšení druhové a vnitrodruhové diverzity plodin</w:t>
      </w:r>
      <w:r w:rsidRPr="009E23A6">
        <w:t>.</w:t>
      </w:r>
    </w:p>
    <w:p w14:paraId="68F37C22" w14:textId="62A7A217" w:rsidR="0057110D" w:rsidRPr="009E23A6" w:rsidRDefault="0057110D" w:rsidP="00F4761B">
      <w:r w:rsidRPr="009E23A6">
        <w:t xml:space="preserve">Součástí výzkumného směru bude rozvoj spolehlivých a rychlých metod detekce biologické, chemické a fyzikální kontaminace potravin a surovin rostlinného původu. Obdobně v oblasti krmiv bude výzkum zaměřen na zdokonalení technologií produkce kvalitních krmiv s vysokou nutriční hodnotou, bez výskytu rizikových kontaminantů. Další výzkum bude zaměřen na vývoj </w:t>
      </w:r>
      <w:r w:rsidR="007F793C" w:rsidRPr="00AD3FEC">
        <w:t>přírodě blízkých opatření</w:t>
      </w:r>
      <w:r w:rsidR="007F793C" w:rsidRPr="009E23A6">
        <w:t xml:space="preserve">, </w:t>
      </w:r>
      <w:r w:rsidRPr="009E23A6">
        <w:t xml:space="preserve">technologií skladování rostlinných produktů minimalizující ztráty a zachovávající vysokou nutriční hodnotu produktů. </w:t>
      </w:r>
    </w:p>
    <w:p w14:paraId="5FEE253A" w14:textId="6D10AB5F" w:rsidR="0057110D" w:rsidRPr="009E23A6" w:rsidRDefault="0057110D" w:rsidP="00F4761B">
      <w:r w:rsidRPr="009E23A6">
        <w:t xml:space="preserve">V oblasti nepotravinářská produkce bude výzkum zaměřen na vývoj technologií pěstování plodin a odrůd pro produkci a následné využití obnovitelných, recyklovatelných </w:t>
      </w:r>
      <w:r w:rsidRPr="009E23A6">
        <w:br/>
        <w:t>a odbouratelných biomateriálů a farmaceuticky využitelných látek. Dále bude výzkum zaměřen na vývoj a zdokonalení postupů získávání energie na zemědělské půdě (zejména agrovoltaika) a produkce biomasy pro energetické využití a pro konverzi biomasy. Oblastí zájmu bude také dokonalejší využití odpadů ze zemědělství</w:t>
      </w:r>
      <w:r w:rsidR="002F5F9C" w:rsidRPr="009E23A6">
        <w:t xml:space="preserve"> </w:t>
      </w:r>
      <w:r w:rsidRPr="009E23A6">
        <w:t>a potravinářského průmyslu jako</w:t>
      </w:r>
      <w:r w:rsidR="002F5F9C" w:rsidRPr="009E23A6">
        <w:t> </w:t>
      </w:r>
      <w:r w:rsidRPr="009E23A6">
        <w:t>vstupů a surovin pro nové technologie podle principů cirkulární ekonomiky.</w:t>
      </w:r>
    </w:p>
    <w:p w14:paraId="4E170C18" w14:textId="77777777" w:rsidR="0057110D" w:rsidRPr="009E23A6" w:rsidRDefault="0057110D" w:rsidP="00F4761B">
      <w:pPr>
        <w:pStyle w:val="Nadpis2"/>
      </w:pPr>
      <w:bookmarkStart w:id="70" w:name="_Toc112061717"/>
      <w:bookmarkStart w:id="71" w:name="_Toc112061823"/>
      <w:bookmarkStart w:id="72" w:name="_Toc115938914"/>
      <w:r w:rsidRPr="009E23A6">
        <w:t>Rostlinolékařství</w:t>
      </w:r>
      <w:bookmarkEnd w:id="70"/>
      <w:bookmarkEnd w:id="71"/>
      <w:bookmarkEnd w:id="72"/>
    </w:p>
    <w:p w14:paraId="6537CF61" w14:textId="77777777" w:rsidR="0057110D" w:rsidRPr="009E23A6" w:rsidRDefault="0057110D" w:rsidP="00F4761B">
      <w:pPr>
        <w:pStyle w:val="Standard"/>
        <w:spacing w:after="120" w:line="360" w:lineRule="auto"/>
        <w:jc w:val="both"/>
        <w:rPr>
          <w:rFonts w:ascii="Arial" w:eastAsia="Times New Roman" w:hAnsi="Arial" w:cs="Arial"/>
          <w:kern w:val="0"/>
          <w:sz w:val="22"/>
          <w:szCs w:val="22"/>
          <w:lang w:eastAsia="cs-CZ" w:bidi="ar-SA"/>
        </w:rPr>
      </w:pPr>
      <w:r w:rsidRPr="009E23A6">
        <w:rPr>
          <w:rFonts w:ascii="Arial" w:eastAsia="Times New Roman" w:hAnsi="Arial" w:cs="Arial"/>
          <w:kern w:val="0"/>
          <w:sz w:val="22"/>
          <w:szCs w:val="22"/>
          <w:lang w:eastAsia="cs-CZ" w:bidi="ar-SA"/>
        </w:rPr>
        <w:t>Cílem výzkumného směru je získat nové poznatky ke zdokonalení systému integrované ochrany rostlin a udržitelnému používání prostředků na ochranu rostlin za účelem omezení škod způsobených škodlivými organismy při omezení negativních dopadů prostředků ochrany na životní prostředí a zdraví hospodářských zvířat a lidí. V centru zájmu je rovněž zvýšení účinnosti prevence zavlékání a šíření karanténních či invazních škodlivých organismů rostlin.</w:t>
      </w:r>
    </w:p>
    <w:p w14:paraId="291BB433" w14:textId="574ECAA7" w:rsidR="0057110D" w:rsidRPr="009E23A6" w:rsidRDefault="0057110D" w:rsidP="00F4761B">
      <w:pPr>
        <w:pStyle w:val="Standard"/>
        <w:spacing w:after="120" w:line="360" w:lineRule="auto"/>
        <w:jc w:val="both"/>
        <w:rPr>
          <w:rFonts w:ascii="Arial" w:eastAsia="Times New Roman" w:hAnsi="Arial" w:cs="Arial"/>
          <w:kern w:val="0"/>
          <w:sz w:val="22"/>
          <w:szCs w:val="22"/>
          <w:lang w:eastAsia="cs-CZ" w:bidi="ar-SA"/>
        </w:rPr>
      </w:pPr>
      <w:r w:rsidRPr="009E23A6">
        <w:rPr>
          <w:rFonts w:ascii="Arial" w:eastAsia="Times New Roman" w:hAnsi="Arial" w:cs="Arial"/>
          <w:kern w:val="0"/>
          <w:sz w:val="22"/>
          <w:szCs w:val="22"/>
          <w:lang w:eastAsia="cs-CZ" w:bidi="ar-SA"/>
        </w:rPr>
        <w:t xml:space="preserve">Výzkumný směr je zaměřen na vývoj a zdokonalování metod a prostředků ochrany pro omezování výskytu a škodlivosti patogenních organismů v zemědělských systémech </w:t>
      </w:r>
      <w:r w:rsidRPr="009E23A6">
        <w:rPr>
          <w:rFonts w:ascii="Arial" w:eastAsia="Times New Roman" w:hAnsi="Arial" w:cs="Arial"/>
          <w:kern w:val="0"/>
          <w:sz w:val="22"/>
          <w:szCs w:val="22"/>
          <w:lang w:eastAsia="cs-CZ" w:bidi="ar-SA"/>
        </w:rPr>
        <w:lastRenderedPageBreak/>
        <w:t xml:space="preserve">včetně ekologického zemědělství, v oblasti lesního hospodářství a skladovaných zemědělských zásob a komodit. V oblasti řízení </w:t>
      </w:r>
      <w:r w:rsidR="00CC10BD" w:rsidRPr="009E23A6">
        <w:rPr>
          <w:rFonts w:ascii="Arial" w:eastAsia="Times New Roman" w:hAnsi="Arial" w:cs="Arial"/>
          <w:kern w:val="0"/>
          <w:sz w:val="22"/>
          <w:szCs w:val="22"/>
          <w:lang w:eastAsia="cs-CZ" w:bidi="ar-SA"/>
        </w:rPr>
        <w:t xml:space="preserve">integrované </w:t>
      </w:r>
      <w:r w:rsidRPr="009E23A6">
        <w:rPr>
          <w:rFonts w:ascii="Arial" w:eastAsia="Times New Roman" w:hAnsi="Arial" w:cs="Arial"/>
          <w:kern w:val="0"/>
          <w:sz w:val="22"/>
          <w:szCs w:val="22"/>
          <w:lang w:eastAsia="cs-CZ" w:bidi="ar-SA"/>
        </w:rPr>
        <w:t>ochrany rostlin budou hlavními výzkumnými oblastmi vývoj biologických</w:t>
      </w:r>
      <w:r w:rsidR="0043629F" w:rsidRPr="009E23A6">
        <w:rPr>
          <w:rFonts w:ascii="Arial" w:eastAsia="Times New Roman" w:hAnsi="Arial" w:cs="Arial"/>
          <w:kern w:val="0"/>
          <w:sz w:val="22"/>
          <w:szCs w:val="22"/>
          <w:lang w:eastAsia="cs-CZ" w:bidi="ar-SA"/>
        </w:rPr>
        <w:t xml:space="preserve"> </w:t>
      </w:r>
      <w:r w:rsidRPr="009E23A6">
        <w:rPr>
          <w:rFonts w:ascii="Arial" w:eastAsia="Times New Roman" w:hAnsi="Arial" w:cs="Arial"/>
          <w:kern w:val="0"/>
          <w:sz w:val="22"/>
          <w:szCs w:val="22"/>
          <w:lang w:eastAsia="cs-CZ" w:bidi="ar-SA"/>
        </w:rPr>
        <w:t>přípravků,</w:t>
      </w:r>
      <w:r w:rsidR="00CC10BD" w:rsidRPr="009E23A6">
        <w:rPr>
          <w:rFonts w:ascii="Arial" w:eastAsia="Times New Roman" w:hAnsi="Arial" w:cs="Arial"/>
          <w:kern w:val="0"/>
          <w:sz w:val="22"/>
          <w:szCs w:val="22"/>
          <w:lang w:eastAsia="cs-CZ" w:bidi="ar-SA"/>
        </w:rPr>
        <w:t xml:space="preserve"> hodnocení účinnosti přípravků na ochranu rostlin</w:t>
      </w:r>
      <w:r w:rsidR="0043629F" w:rsidRPr="009E23A6">
        <w:rPr>
          <w:rFonts w:ascii="Arial" w:eastAsia="Times New Roman" w:hAnsi="Arial" w:cs="Arial"/>
          <w:kern w:val="0"/>
          <w:sz w:val="22"/>
          <w:szCs w:val="22"/>
          <w:lang w:eastAsia="cs-CZ" w:bidi="ar-SA"/>
        </w:rPr>
        <w:t xml:space="preserve">, </w:t>
      </w:r>
      <w:r w:rsidRPr="009E23A6">
        <w:rPr>
          <w:rFonts w:ascii="Arial" w:eastAsia="Times New Roman" w:hAnsi="Arial" w:cs="Arial"/>
          <w:kern w:val="0"/>
          <w:sz w:val="22"/>
          <w:szCs w:val="22"/>
          <w:lang w:eastAsia="cs-CZ" w:bidi="ar-SA"/>
        </w:rPr>
        <w:t>metody diagnostiky a monitoringu škodlivých organismů a jejich rezistence k pesticidům.</w:t>
      </w:r>
    </w:p>
    <w:p w14:paraId="26DCDAF3" w14:textId="0894EB69" w:rsidR="0057110D" w:rsidRPr="009E23A6" w:rsidRDefault="0057110D" w:rsidP="00F4761B">
      <w:pPr>
        <w:pStyle w:val="Standard"/>
        <w:spacing w:after="120" w:line="360" w:lineRule="auto"/>
        <w:jc w:val="both"/>
        <w:rPr>
          <w:rFonts w:ascii="Arial" w:eastAsia="Times New Roman" w:hAnsi="Arial" w:cs="Arial"/>
          <w:kern w:val="0"/>
          <w:sz w:val="22"/>
          <w:szCs w:val="22"/>
          <w:lang w:eastAsia="cs-CZ" w:bidi="ar-SA"/>
        </w:rPr>
      </w:pPr>
      <w:r w:rsidRPr="009E23A6">
        <w:rPr>
          <w:rFonts w:ascii="Arial" w:eastAsia="Times New Roman" w:hAnsi="Arial" w:cs="Arial"/>
          <w:kern w:val="0"/>
          <w:sz w:val="22"/>
          <w:szCs w:val="22"/>
          <w:lang w:eastAsia="cs-CZ" w:bidi="ar-SA"/>
        </w:rPr>
        <w:t>Výzkumnou prioritou bude vývoj, inovace a hodnocení účinnosti biologických a dalších nechemických přípravků a metod ochrany. Další výzkumnou prioritou bude oblast využití odolnosti rostlin vůči škodlivým činitelům, stanovení mechanismů odolnosti rostlin a hodnocení účinnosti a rezistentních odrůd ke stresům získaných metodami editace genů. Součástí priority je posuzování přínosů a rizik produktů nových genových technologií.</w:t>
      </w:r>
    </w:p>
    <w:p w14:paraId="01C86EA1" w14:textId="77777777" w:rsidR="0057110D" w:rsidRPr="009E23A6" w:rsidRDefault="0057110D" w:rsidP="00F4761B">
      <w:pPr>
        <w:pStyle w:val="Nadpis2"/>
      </w:pPr>
      <w:bookmarkStart w:id="73" w:name="_Toc112061718"/>
      <w:bookmarkStart w:id="74" w:name="_Toc112061824"/>
      <w:bookmarkStart w:id="75" w:name="_Toc115938915"/>
      <w:r w:rsidRPr="009E23A6">
        <w:t>Živočišná produkce</w:t>
      </w:r>
      <w:bookmarkEnd w:id="73"/>
      <w:bookmarkEnd w:id="74"/>
      <w:bookmarkEnd w:id="75"/>
    </w:p>
    <w:p w14:paraId="0148BB82" w14:textId="77777777" w:rsidR="0057110D" w:rsidRPr="009E23A6" w:rsidRDefault="0057110D" w:rsidP="00F4761B">
      <w:pPr>
        <w:pStyle w:val="Standard"/>
        <w:spacing w:after="120" w:line="360" w:lineRule="auto"/>
        <w:jc w:val="both"/>
        <w:rPr>
          <w:rFonts w:ascii="Arial" w:eastAsiaTheme="minorHAnsi" w:hAnsi="Arial" w:cs="Arial"/>
          <w:sz w:val="22"/>
          <w:szCs w:val="22"/>
        </w:rPr>
      </w:pPr>
      <w:r w:rsidRPr="009E23A6">
        <w:rPr>
          <w:rFonts w:ascii="Arial" w:eastAsia="Times New Roman" w:hAnsi="Arial" w:cs="Arial"/>
          <w:sz w:val="22"/>
          <w:szCs w:val="22"/>
          <w:lang w:eastAsia="en-US"/>
        </w:rPr>
        <w:t>Cílem výzkumného směru jsou inovace ve všech oblastech živočišné výroby přispívající k bezpečné a zdravé výživě lidí při respektování ekologické a ekonomické udržitelnosti produkčních</w:t>
      </w:r>
      <w:r w:rsidRPr="009E23A6">
        <w:rPr>
          <w:rFonts w:ascii="Arial" w:eastAsiaTheme="minorHAnsi" w:hAnsi="Arial" w:cs="Arial"/>
          <w:sz w:val="22"/>
          <w:szCs w:val="22"/>
        </w:rPr>
        <w:t xml:space="preserve"> systémů a odpovídajícího zajištění welfare chovaných hospodářských zvířat.</w:t>
      </w:r>
    </w:p>
    <w:p w14:paraId="5E4E135D" w14:textId="43E093C9" w:rsidR="0057110D" w:rsidRPr="009E23A6" w:rsidRDefault="0057110D" w:rsidP="00F4761B">
      <w:pPr>
        <w:pStyle w:val="Standard"/>
        <w:spacing w:after="120" w:line="360" w:lineRule="auto"/>
        <w:jc w:val="both"/>
        <w:rPr>
          <w:rFonts w:ascii="Arial" w:hAnsi="Arial" w:cs="Arial"/>
          <w:sz w:val="22"/>
        </w:rPr>
      </w:pPr>
      <w:r w:rsidRPr="009E23A6">
        <w:rPr>
          <w:rFonts w:ascii="Arial" w:eastAsiaTheme="minorHAnsi" w:hAnsi="Arial" w:cs="Arial"/>
          <w:sz w:val="22"/>
          <w:szCs w:val="22"/>
        </w:rPr>
        <w:t xml:space="preserve">Výzkumný směr se zabývá </w:t>
      </w:r>
      <w:r w:rsidRPr="009E23A6">
        <w:rPr>
          <w:rFonts w:ascii="Arial" w:hAnsi="Arial" w:cs="Arial"/>
          <w:sz w:val="22"/>
          <w:szCs w:val="22"/>
        </w:rPr>
        <w:t>identifikací a hodnocením produkčních systémů z hlediska efektivity výroby,</w:t>
      </w:r>
      <w:r w:rsidR="00C3332D" w:rsidRPr="009E23A6">
        <w:rPr>
          <w:rFonts w:ascii="Arial" w:hAnsi="Arial" w:cs="Arial"/>
          <w:sz w:val="22"/>
          <w:szCs w:val="22"/>
        </w:rPr>
        <w:t xml:space="preserve"> vlivu diverzifikovaných zemědělských systémů na</w:t>
      </w:r>
      <w:r w:rsidR="0043629F" w:rsidRPr="009E23A6">
        <w:rPr>
          <w:rFonts w:ascii="Arial" w:hAnsi="Arial" w:cs="Arial"/>
          <w:sz w:val="22"/>
          <w:szCs w:val="22"/>
        </w:rPr>
        <w:t xml:space="preserve"> zdraví zvířat,</w:t>
      </w:r>
      <w:r w:rsidRPr="009E23A6">
        <w:rPr>
          <w:rFonts w:ascii="Arial" w:hAnsi="Arial" w:cs="Arial"/>
          <w:sz w:val="22"/>
          <w:szCs w:val="22"/>
        </w:rPr>
        <w:t xml:space="preserve"> optimalizace nutriční hodnoty a organoleptických vlastností potravin živočišného původu a omezování dopadů živočišné produkce na životní prostředí. Je</w:t>
      </w:r>
      <w:r w:rsidR="000C0368" w:rsidRPr="009E23A6">
        <w:rPr>
          <w:rFonts w:ascii="Arial" w:hAnsi="Arial" w:cs="Arial"/>
          <w:sz w:val="22"/>
          <w:szCs w:val="22"/>
        </w:rPr>
        <w:t> </w:t>
      </w:r>
      <w:r w:rsidRPr="009E23A6">
        <w:rPr>
          <w:rFonts w:ascii="Arial" w:hAnsi="Arial" w:cs="Arial"/>
          <w:sz w:val="22"/>
          <w:szCs w:val="22"/>
        </w:rPr>
        <w:t xml:space="preserve">nutné </w:t>
      </w:r>
      <w:r w:rsidRPr="009E23A6">
        <w:rPr>
          <w:rFonts w:ascii="Arial" w:hAnsi="Arial" w:cs="Arial"/>
          <w:sz w:val="22"/>
        </w:rPr>
        <w:t>zajistit rovnováhu mezi optimální užitkovostí a zdravím zvířete včetně jeho přirozených potřeb s využitím integrovaných informací z oblastí genetiky, výživy, etologie a</w:t>
      </w:r>
      <w:r w:rsidR="000C0368" w:rsidRPr="009E23A6">
        <w:rPr>
          <w:rFonts w:ascii="Arial" w:hAnsi="Arial" w:cs="Arial"/>
          <w:sz w:val="22"/>
        </w:rPr>
        <w:t> </w:t>
      </w:r>
      <w:r w:rsidRPr="009E23A6">
        <w:rPr>
          <w:rFonts w:ascii="Arial" w:hAnsi="Arial" w:cs="Arial"/>
          <w:sz w:val="22"/>
        </w:rPr>
        <w:t>fyziologie, které</w:t>
      </w:r>
      <w:r w:rsidR="00F8712A" w:rsidRPr="009E23A6">
        <w:rPr>
          <w:rFonts w:ascii="Arial" w:hAnsi="Arial" w:cs="Arial"/>
          <w:sz w:val="22"/>
        </w:rPr>
        <w:t> </w:t>
      </w:r>
      <w:r w:rsidRPr="009E23A6">
        <w:rPr>
          <w:rFonts w:ascii="Arial" w:hAnsi="Arial" w:cs="Arial"/>
          <w:sz w:val="22"/>
        </w:rPr>
        <w:t>povedou k vývoji nových nástrojů managementu a technologií pro</w:t>
      </w:r>
      <w:r w:rsidR="000C0368" w:rsidRPr="009E23A6">
        <w:rPr>
          <w:rFonts w:ascii="Arial" w:hAnsi="Arial" w:cs="Arial"/>
          <w:sz w:val="22"/>
        </w:rPr>
        <w:t> </w:t>
      </w:r>
      <w:r w:rsidRPr="009E23A6">
        <w:rPr>
          <w:rFonts w:ascii="Arial" w:hAnsi="Arial" w:cs="Arial"/>
          <w:sz w:val="22"/>
        </w:rPr>
        <w:t>hospodářská zvířata.</w:t>
      </w:r>
    </w:p>
    <w:p w14:paraId="7449BCE7" w14:textId="5D596D0D" w:rsidR="0057110D" w:rsidRPr="009E23A6" w:rsidRDefault="0057110D" w:rsidP="00F4761B">
      <w:pPr>
        <w:pStyle w:val="Standard"/>
        <w:spacing w:after="120" w:line="360" w:lineRule="auto"/>
        <w:jc w:val="both"/>
        <w:rPr>
          <w:rFonts w:ascii="Arial" w:hAnsi="Arial" w:cs="Arial"/>
          <w:sz w:val="22"/>
        </w:rPr>
      </w:pPr>
      <w:r w:rsidRPr="009E23A6">
        <w:rPr>
          <w:rFonts w:ascii="Arial" w:hAnsi="Arial" w:cs="Arial"/>
          <w:sz w:val="22"/>
        </w:rPr>
        <w:t>Důraz je dále kladen na vývoj inovativních řešení vedoucích k efektivnímu využití zejména domácích zdrojů krmiv, hledání alternativních zdrojů bílkovin a energie ve výživě hospodářských zvířat. Výzkumný směr zahrnuje i výzkum vlivu chovu hospodářských zvířat na životní prostředí včetně měření a omezování emisí amoniaku a metanu.</w:t>
      </w:r>
      <w:r w:rsidR="005F05CB" w:rsidRPr="009E23A6">
        <w:rPr>
          <w:rFonts w:ascii="Arial" w:hAnsi="Arial" w:cs="Arial"/>
          <w:sz w:val="22"/>
        </w:rPr>
        <w:t xml:space="preserve"> </w:t>
      </w:r>
      <w:r w:rsidR="005F05CB" w:rsidRPr="009E23A6">
        <w:rPr>
          <w:rFonts w:ascii="Arial" w:eastAsia="Times New Roman" w:hAnsi="Arial" w:cs="Arial"/>
          <w:kern w:val="0"/>
          <w:sz w:val="22"/>
          <w:szCs w:val="22"/>
          <w:lang w:eastAsia="cs-CZ" w:bidi="ar-SA"/>
        </w:rPr>
        <w:t>Ve výzkumu bude kladen důraz na využívání moderních technologií a senzorů umožňujících individuální sledování hospodářských zvířat v reálném čase.</w:t>
      </w:r>
      <w:r w:rsidRPr="009E23A6">
        <w:rPr>
          <w:rFonts w:ascii="Arial" w:hAnsi="Arial" w:cs="Arial"/>
          <w:sz w:val="22"/>
        </w:rPr>
        <w:t xml:space="preserve"> Oblast šlechtění zvířat se s využitím nástrojů genomiky </w:t>
      </w:r>
      <w:r w:rsidR="005F05CB" w:rsidRPr="009E23A6">
        <w:rPr>
          <w:rFonts w:ascii="Arial" w:eastAsia="Times New Roman" w:hAnsi="Arial" w:cs="Arial"/>
          <w:bCs/>
          <w:kern w:val="0"/>
          <w:sz w:val="22"/>
          <w:szCs w:val="22"/>
          <w:lang w:eastAsia="cs-CZ" w:bidi="ar-SA"/>
        </w:rPr>
        <w:t xml:space="preserve">a stále se rozvíjejícím metodám získávání fenotypových informací </w:t>
      </w:r>
      <w:r w:rsidRPr="009E23A6">
        <w:rPr>
          <w:rFonts w:ascii="Arial" w:hAnsi="Arial" w:cs="Arial"/>
          <w:sz w:val="22"/>
        </w:rPr>
        <w:t>zaměřuje na odolnost a přizpůsobivost hospodářských zvířat vzhledem k měnícím se podmínkám klimatu, změnám ve výživě nebo produkční zátěži.</w:t>
      </w:r>
      <w:r w:rsidR="00F01DE3" w:rsidRPr="009E23A6">
        <w:rPr>
          <w:rFonts w:ascii="Arial" w:hAnsi="Arial" w:cs="Arial"/>
          <w:sz w:val="22"/>
        </w:rPr>
        <w:t xml:space="preserve"> </w:t>
      </w:r>
      <w:r w:rsidR="005F05CB" w:rsidRPr="009E23A6">
        <w:rPr>
          <w:rFonts w:ascii="Arial" w:eastAsia="Times New Roman" w:hAnsi="Arial" w:cs="Arial"/>
          <w:bCs/>
          <w:kern w:val="0"/>
          <w:sz w:val="22"/>
          <w:szCs w:val="22"/>
          <w:lang w:eastAsia="cs-CZ" w:bidi="ar-SA"/>
        </w:rPr>
        <w:t>Cílem šlechtění je rovněž hledat možnosti snižování emisí skleníkových plynů zejména u dojeného skotu a zlepšit konverzi krmiv.</w:t>
      </w:r>
      <w:r w:rsidR="005F05CB" w:rsidRPr="009E23A6">
        <w:rPr>
          <w:rFonts w:ascii="Arial" w:hAnsi="Arial" w:cs="Arial"/>
          <w:sz w:val="22"/>
        </w:rPr>
        <w:t xml:space="preserve"> </w:t>
      </w:r>
      <w:r w:rsidR="00F01DE3" w:rsidRPr="009E23A6">
        <w:rPr>
          <w:rFonts w:ascii="Arial" w:hAnsi="Arial" w:cs="Arial"/>
          <w:sz w:val="22"/>
        </w:rPr>
        <w:t>Součástí tématu je i šlechtění hospodářských zvířat pro podmínky ekologických chovů.</w:t>
      </w:r>
      <w:r w:rsidRPr="009E23A6">
        <w:rPr>
          <w:rFonts w:ascii="Arial" w:hAnsi="Arial" w:cs="Arial"/>
          <w:sz w:val="22"/>
        </w:rPr>
        <w:t xml:space="preserve"> </w:t>
      </w:r>
    </w:p>
    <w:p w14:paraId="4BE0ED1E" w14:textId="77777777" w:rsidR="0057110D" w:rsidRPr="009E23A6" w:rsidRDefault="0057110D" w:rsidP="00F4761B">
      <w:pPr>
        <w:pStyle w:val="Nadpis2"/>
      </w:pPr>
      <w:bookmarkStart w:id="76" w:name="_Toc112061719"/>
      <w:bookmarkStart w:id="77" w:name="_Toc112061825"/>
      <w:bookmarkStart w:id="78" w:name="_Toc115938916"/>
      <w:r w:rsidRPr="009E23A6">
        <w:lastRenderedPageBreak/>
        <w:t>Veterinární medicína</w:t>
      </w:r>
      <w:bookmarkEnd w:id="76"/>
      <w:bookmarkEnd w:id="77"/>
      <w:bookmarkEnd w:id="78"/>
    </w:p>
    <w:p w14:paraId="0EF573D7" w14:textId="73582065" w:rsidR="0057110D" w:rsidRPr="009E23A6" w:rsidRDefault="0057110D" w:rsidP="00F4761B">
      <w:pPr>
        <w:pStyle w:val="Standard"/>
        <w:spacing w:after="120" w:line="360" w:lineRule="auto"/>
        <w:jc w:val="both"/>
        <w:rPr>
          <w:rFonts w:ascii="Arial" w:eastAsia="Times New Roman" w:hAnsi="Arial" w:cs="Arial"/>
          <w:kern w:val="0"/>
          <w:sz w:val="22"/>
          <w:szCs w:val="22"/>
          <w:lang w:eastAsia="en-US" w:bidi="ar-SA"/>
        </w:rPr>
      </w:pPr>
      <w:r w:rsidRPr="009E23A6">
        <w:rPr>
          <w:rFonts w:ascii="Arial" w:eastAsia="Times New Roman" w:hAnsi="Arial" w:cs="Arial"/>
          <w:kern w:val="0"/>
          <w:sz w:val="22"/>
          <w:szCs w:val="22"/>
          <w:lang w:eastAsia="en-US" w:bidi="ar-SA"/>
        </w:rPr>
        <w:t>Cílem výzkumného směru je získat poznatky pro diagnostiku a prevenci produkčních chorob, zejména infekčního původu. Z pohledu léčby je třeba získat poznatky a nové přístupy vedoucí ke snížení spotřeby antimikrobik v živočišné výrobě. Prioritou výzkumu je dále vývoj v oblasti biotechnologických postupů ve výrobě a testování produktů pro aktivní a pasivní imunizaci, vývoj a validaci diagnostických metod a hledání alternativ k používání antibiotik.</w:t>
      </w:r>
      <w:r w:rsidR="005F05CB" w:rsidRPr="009E23A6">
        <w:rPr>
          <w:rFonts w:ascii="Arial" w:eastAsia="Times New Roman" w:hAnsi="Arial" w:cs="Arial"/>
          <w:kern w:val="0"/>
          <w:sz w:val="22"/>
          <w:szCs w:val="22"/>
          <w:lang w:eastAsia="en-US" w:bidi="ar-SA"/>
        </w:rPr>
        <w:t xml:space="preserve"> </w:t>
      </w:r>
      <w:r w:rsidR="00A90947" w:rsidRPr="009E23A6">
        <w:rPr>
          <w:rFonts w:ascii="Arial" w:eastAsia="Times New Roman" w:hAnsi="Arial" w:cs="Arial"/>
          <w:kern w:val="0"/>
          <w:sz w:val="22"/>
          <w:szCs w:val="22"/>
          <w:lang w:eastAsia="en-US" w:bidi="ar-SA"/>
        </w:rPr>
        <w:t>Rovněž</w:t>
      </w:r>
      <w:r w:rsidR="005F05CB" w:rsidRPr="009E23A6">
        <w:rPr>
          <w:rFonts w:ascii="Arial" w:eastAsia="Times New Roman" w:hAnsi="Arial" w:cs="Arial"/>
          <w:kern w:val="0"/>
          <w:sz w:val="22"/>
          <w:szCs w:val="22"/>
          <w:lang w:eastAsia="en-US" w:bidi="ar-SA"/>
        </w:rPr>
        <w:t xml:space="preserve"> </w:t>
      </w:r>
      <w:r w:rsidR="00A90947" w:rsidRPr="009E23A6">
        <w:rPr>
          <w:rFonts w:ascii="Arial" w:hAnsi="Arial" w:cs="Arial"/>
          <w:color w:val="000000"/>
          <w:sz w:val="22"/>
          <w:szCs w:val="22"/>
        </w:rPr>
        <w:t>podpor</w:t>
      </w:r>
      <w:r w:rsidR="008E7E93" w:rsidRPr="009E23A6">
        <w:rPr>
          <w:rFonts w:ascii="Arial" w:hAnsi="Arial" w:cs="Arial"/>
          <w:color w:val="000000"/>
          <w:sz w:val="22"/>
          <w:szCs w:val="22"/>
        </w:rPr>
        <w:t>a</w:t>
      </w:r>
      <w:r w:rsidR="00A90947" w:rsidRPr="009E23A6">
        <w:rPr>
          <w:rFonts w:ascii="Arial" w:hAnsi="Arial" w:cs="Arial"/>
          <w:color w:val="000000"/>
          <w:sz w:val="22"/>
          <w:szCs w:val="22"/>
        </w:rPr>
        <w:t xml:space="preserve"> šlechtění na rezistenci k onemocněním, sběr dat o onemocnění a hledání způsobů, jak tato data kombinovat a zpracovávat ve vztahu k možné predikci onemocnění, selekci na odolnost vůči onemocněním atd. I tyto přístupy mohou pomoci ke snížení spotřeby antibiotik.</w:t>
      </w:r>
    </w:p>
    <w:p w14:paraId="7969ADB5" w14:textId="77777777" w:rsidR="0057110D" w:rsidRPr="009E23A6" w:rsidRDefault="0057110D" w:rsidP="00F4761B">
      <w:pPr>
        <w:pStyle w:val="Standard"/>
        <w:spacing w:after="120" w:line="360" w:lineRule="auto"/>
        <w:jc w:val="both"/>
        <w:rPr>
          <w:rFonts w:ascii="Arial" w:eastAsia="Times New Roman" w:hAnsi="Arial" w:cs="Arial"/>
          <w:kern w:val="0"/>
          <w:sz w:val="22"/>
          <w:szCs w:val="22"/>
          <w:lang w:eastAsia="en-US" w:bidi="ar-SA"/>
        </w:rPr>
      </w:pPr>
      <w:r w:rsidRPr="009E23A6">
        <w:rPr>
          <w:rFonts w:ascii="Arial" w:eastAsia="Times New Roman" w:hAnsi="Arial" w:cs="Arial"/>
          <w:kern w:val="0"/>
          <w:sz w:val="22"/>
          <w:szCs w:val="22"/>
          <w:lang w:eastAsia="en-US" w:bidi="ar-SA"/>
        </w:rPr>
        <w:t>Dále je výzkumný směr zaměřen na intenzifikaci produkce s cílem snížit potenciální negativní dopady chovu zvířat. Dalším směrem výzkumu je získání poznatků pro zavádění biotechnologických principů v reprodukčních postupech a technikách a pro změny v produkci krmiv pro hospodářská zvířata – využití alternativních zdrojů proteinů, použití nutričních enzymů nebo využití krmných přídavků směřujících k cílenému ovlivnění střevní mikrobioty.</w:t>
      </w:r>
    </w:p>
    <w:p w14:paraId="6639F834" w14:textId="77777777" w:rsidR="0057110D" w:rsidRPr="009E23A6" w:rsidRDefault="0057110D" w:rsidP="00F4761B">
      <w:pPr>
        <w:pStyle w:val="Nadpis2"/>
      </w:pPr>
      <w:bookmarkStart w:id="79" w:name="_Toc112061720"/>
      <w:bookmarkStart w:id="80" w:name="_Toc112061826"/>
      <w:bookmarkStart w:id="81" w:name="_Toc115938917"/>
      <w:r w:rsidRPr="009E23A6">
        <w:t>Produkce potravin</w:t>
      </w:r>
      <w:bookmarkEnd w:id="79"/>
      <w:bookmarkEnd w:id="80"/>
      <w:bookmarkEnd w:id="81"/>
    </w:p>
    <w:p w14:paraId="58F3E20B" w14:textId="77777777" w:rsidR="0057110D" w:rsidRPr="009E23A6" w:rsidRDefault="0057110D" w:rsidP="00F4761B">
      <w:r w:rsidRPr="009E23A6">
        <w:t xml:space="preserve">Cílem výzkumného směru je výzkum a vývoj nových technologií výroby kvalitních potravin respektujících současné poznatky o výživě a odpovídajících novému životnímu stylu (orientace na biopotraviny, snadná manipulace, vhodnost a kvalita balení, zvýšení trvanlivosti, časová úspora, připravenost ke konzumaci). Kladen bude důraz na využívání moderních technologických postupů, surovin a vedlejších produktů při výrobě potravin, které zvýší konkurenční výhody a přinesou omezení negativních vlivů na životní prostředí a zajistí minimalizaci odpadů z potravin a jejich případné další využívání. </w:t>
      </w:r>
    </w:p>
    <w:p w14:paraId="1F33A334" w14:textId="33FD72A2" w:rsidR="0057110D" w:rsidRPr="009E23A6" w:rsidRDefault="0057110D" w:rsidP="00F4761B">
      <w:pPr>
        <w:rPr>
          <w:rFonts w:cs="Arial"/>
          <w:szCs w:val="22"/>
        </w:rPr>
      </w:pPr>
      <w:r w:rsidRPr="009E23A6">
        <w:t>Dále je výzkumný směr zaměřen na vývoj potravin pro výživu skupin populace se specifickými nároky např. různé věkové kategorie, pracovní zařazení, zdravotní stav a potravin k prevenci civilizačních chorob. Nedílnou součástí výzkumného směru je výzkum detekčních metod (fyzikální, chemické, biologické a mikrobiologické) pro zajištění bezpečných potravin a</w:t>
      </w:r>
      <w:r w:rsidR="00F8712A" w:rsidRPr="009E23A6">
        <w:t> </w:t>
      </w:r>
      <w:r w:rsidRPr="009E23A6">
        <w:t>potravinářských surovin</w:t>
      </w:r>
      <w:r w:rsidR="00F01DE3" w:rsidRPr="009E23A6">
        <w:t>, včetně výzkumu metod autenticity</w:t>
      </w:r>
      <w:r w:rsidRPr="009E23A6">
        <w:t>.</w:t>
      </w:r>
    </w:p>
    <w:p w14:paraId="1B08C840" w14:textId="77777777" w:rsidR="0057110D" w:rsidRPr="009E23A6" w:rsidRDefault="0057110D" w:rsidP="00F4761B">
      <w:pPr>
        <w:pStyle w:val="Nadpis2"/>
      </w:pPr>
      <w:bookmarkStart w:id="82" w:name="_Toc112061721"/>
      <w:bookmarkStart w:id="83" w:name="_Toc112061827"/>
      <w:bookmarkStart w:id="84" w:name="_Toc115938918"/>
      <w:r w:rsidRPr="009E23A6">
        <w:t>Zemědělská technika</w:t>
      </w:r>
      <w:bookmarkEnd w:id="82"/>
      <w:bookmarkEnd w:id="83"/>
      <w:bookmarkEnd w:id="84"/>
    </w:p>
    <w:p w14:paraId="3AF7083B" w14:textId="77777777" w:rsidR="0057110D" w:rsidRPr="009E23A6" w:rsidRDefault="0057110D" w:rsidP="00F4761B">
      <w:r w:rsidRPr="009E23A6">
        <w:t xml:space="preserve">Cílem výzkumného směru je získání poznatků pro vyšší využití potenciálu moderní zemědělské techniky pro potřeby udržitelné zemědělské produkce s ohledem na minimalizaci vlivu zemědělské techniky a technologií na životní prostředí. Poznatky z výzkumu podpoří zavádění technologií Smart zemědělství, udržitelných energií, podporu eliminace dopadů </w:t>
      </w:r>
      <w:r w:rsidRPr="009E23A6">
        <w:lastRenderedPageBreak/>
        <w:t>využití zemědělské techniky na životní prostředí včetně ochrany půdy, podporu dalšího zavádění smart technologií v živočišné výrobě a zvyšování kvality zemědělských produktů včetně jejich posklizňových úprav a skladování.</w:t>
      </w:r>
    </w:p>
    <w:p w14:paraId="32039620" w14:textId="77777777" w:rsidR="0057110D" w:rsidRPr="009E23A6" w:rsidRDefault="0057110D" w:rsidP="00F4761B">
      <w:pPr>
        <w:pStyle w:val="Nadpis2"/>
      </w:pPr>
      <w:bookmarkStart w:id="85" w:name="_Toc112061722"/>
      <w:bookmarkStart w:id="86" w:name="_Toc112061828"/>
      <w:bookmarkStart w:id="87" w:name="_Toc115938919"/>
      <w:r w:rsidRPr="009E23A6">
        <w:t>Lesnická a zemědělská ekonomika a politika</w:t>
      </w:r>
      <w:bookmarkEnd w:id="85"/>
      <w:bookmarkEnd w:id="86"/>
      <w:bookmarkEnd w:id="87"/>
    </w:p>
    <w:p w14:paraId="44D5D57C" w14:textId="5454805C" w:rsidR="00EE0DDC" w:rsidRPr="009E23A6" w:rsidRDefault="0057110D" w:rsidP="00F4761B">
      <w:r w:rsidRPr="009E23A6">
        <w:t>Cílem ekonomického výzkumu v agrárním sektoru (česká aplikovaná bioekonomie) je získání poznatků pro řešení ekonomických, sociálních a institucionálních podmínek a jejich dopadů, všech dopadů zásadních změn v oblasti technické a technologické v rámci konceptu Smart</w:t>
      </w:r>
      <w:r w:rsidR="00071E95" w:rsidRPr="009E23A6">
        <w:t> </w:t>
      </w:r>
      <w:r w:rsidRPr="009E23A6">
        <w:t>zemědělství, do ekonomiky agrárního sektoru v jejím širším pojetí bioekonomiky. To</w:t>
      </w:r>
      <w:r w:rsidR="00071E95" w:rsidRPr="009E23A6">
        <w:t> </w:t>
      </w:r>
      <w:r w:rsidRPr="009E23A6">
        <w:t>bude doprovázeno podstatně širším propojením ekonomického výzkumu zejména v oblasti politiky s ostatními výzkumnými směry, s prosazováním principů multioborového řešení výzkumných problémů a otázek.</w:t>
      </w:r>
      <w:r w:rsidR="00F8712A" w:rsidRPr="009E23A6">
        <w:t xml:space="preserve"> </w:t>
      </w:r>
    </w:p>
    <w:p w14:paraId="4EA32988" w14:textId="304AE8E8" w:rsidR="0057110D" w:rsidRPr="009E23A6" w:rsidRDefault="0057110D" w:rsidP="00F4761B">
      <w:r w:rsidRPr="009E23A6">
        <w:t>Do priorit tohoto výzkumného směru patří výzkumné oblasti, zahrnující ekonomické, environmentální, sociální a strukturální dopady institucionálních opatření a</w:t>
      </w:r>
      <w:r w:rsidR="00F8712A" w:rsidRPr="009E23A6">
        <w:t> </w:t>
      </w:r>
      <w:r w:rsidRPr="009E23A6">
        <w:t xml:space="preserve">zemědělských politik, rovněž nové technologie a cirkulární ekonomika v rámci bioekonomiky. Dále posílení konkurenceschopnosti lesnicko-dřevařského sektoru v podmínkách probíhající klimatické změny. </w:t>
      </w:r>
    </w:p>
    <w:p w14:paraId="647D336D" w14:textId="77777777" w:rsidR="0057110D" w:rsidRPr="009E23A6" w:rsidRDefault="0057110D" w:rsidP="00F4761B">
      <w:pPr>
        <w:rPr>
          <w:rFonts w:ascii="Calibri" w:eastAsia="Times New Roman" w:hAnsi="Calibri" w:cs="Calibri"/>
          <w:szCs w:val="22"/>
        </w:rPr>
      </w:pPr>
      <w:r w:rsidRPr="009E23A6">
        <w:t>Další prioritou je sledování a podpora agrárního trhu a rozvoj informační základny, analytických metod a přístupů pro zlepšení managementu v agrárním sektoru.</w:t>
      </w:r>
      <w:bookmarkStart w:id="88" w:name="_3rdcrjn" w:colFirst="0" w:colLast="0"/>
      <w:bookmarkStart w:id="89" w:name="_gjdgxs" w:colFirst="0" w:colLast="0"/>
      <w:bookmarkEnd w:id="88"/>
      <w:bookmarkEnd w:id="89"/>
    </w:p>
    <w:p w14:paraId="322AC174" w14:textId="77777777" w:rsidR="0057110D" w:rsidRPr="009E23A6" w:rsidRDefault="0057110D" w:rsidP="00F4761B">
      <w:pPr>
        <w:pStyle w:val="Nadpis1"/>
        <w:spacing w:line="360" w:lineRule="auto"/>
      </w:pPr>
      <w:bookmarkStart w:id="90" w:name="_lnxbz9" w:colFirst="0" w:colLast="0"/>
      <w:bookmarkStart w:id="91" w:name="_35nkun2" w:colFirst="0" w:colLast="0"/>
      <w:bookmarkStart w:id="92" w:name="_2xxej9rtc1cv" w:colFirst="0" w:colLast="0"/>
      <w:bookmarkStart w:id="93" w:name="_Ref98402524"/>
      <w:bookmarkStart w:id="94" w:name="_Toc112061723"/>
      <w:bookmarkStart w:id="95" w:name="_Ref115428803"/>
      <w:bookmarkStart w:id="96" w:name="_Toc115938920"/>
      <w:bookmarkEnd w:id="90"/>
      <w:bookmarkEnd w:id="91"/>
      <w:bookmarkEnd w:id="92"/>
      <w:r w:rsidRPr="009E23A6">
        <w:t xml:space="preserve">Očekávané výsledky </w:t>
      </w:r>
      <w:bookmarkEnd w:id="93"/>
      <w:r w:rsidRPr="009E23A6">
        <w:t>Programu</w:t>
      </w:r>
      <w:bookmarkEnd w:id="94"/>
      <w:bookmarkEnd w:id="95"/>
      <w:bookmarkEnd w:id="96"/>
    </w:p>
    <w:p w14:paraId="2D4C455A" w14:textId="77777777" w:rsidR="0057110D" w:rsidRPr="009E23A6" w:rsidRDefault="0057110D" w:rsidP="00F4761B">
      <w:r w:rsidRPr="009E23A6">
        <w:t>V Programu budou podporovány zejména ty projekty, u nichž se předpokládá dosažení výstupů aplikovaného výzkumu, které budou naplňovat cíl Programu a budou přímo uplatnitelné v zemědělské praxi, dále také výsledky publikační. Vzhledem k rozdílnému charakteru a časové náročnosti řešení projektů v jednotlivých podprogramech se budou lišit také hlavní typy očekávaných výsledků, které budou definovány dle platné Metodiky hodnocení výzkumných organizací a hodnocení programů účelové podpory výzkumu, vývoje a inovací schválené usnesením vlády dne 8. února 2017 č. 107 a Rejstříku informací o výsledcích (RIV) v době vyhlašování příslušné veřejné soutěže.</w:t>
      </w:r>
    </w:p>
    <w:p w14:paraId="5E09CF83" w14:textId="01051E5A" w:rsidR="00DC4A05" w:rsidRPr="009E23A6" w:rsidRDefault="0057110D" w:rsidP="007445CE">
      <w:pPr>
        <w:pStyle w:val="Default"/>
        <w:spacing w:after="120" w:line="360" w:lineRule="auto"/>
        <w:jc w:val="both"/>
      </w:pPr>
      <w:r w:rsidRPr="009E23A6">
        <w:rPr>
          <w:sz w:val="22"/>
          <w:szCs w:val="22"/>
        </w:rPr>
        <w:t>V tomto Programu mohou být podporovány pouze projekty, které předpokládají dosažení alespoň jednoho z následujících druhů výsledků (kategorizace dle rejstříku informací o výsledcích).</w:t>
      </w:r>
    </w:p>
    <w:p w14:paraId="32AC5998" w14:textId="7EF6D301" w:rsidR="0057110D" w:rsidRPr="009E23A6" w:rsidRDefault="0057110D" w:rsidP="00F4761B">
      <w:r w:rsidRPr="009E23A6">
        <w:t>Výsledky podporované Programem:</w:t>
      </w:r>
    </w:p>
    <w:p w14:paraId="18F5FB61" w14:textId="77777777" w:rsidR="0057110D" w:rsidRPr="009E23A6" w:rsidRDefault="0057110D" w:rsidP="00F4761B">
      <w:pPr>
        <w:pStyle w:val="Default"/>
        <w:spacing w:after="55" w:line="360" w:lineRule="auto"/>
        <w:rPr>
          <w:b/>
          <w:sz w:val="22"/>
          <w:szCs w:val="22"/>
          <w:u w:val="single"/>
        </w:rPr>
      </w:pPr>
      <w:r w:rsidRPr="009E23A6">
        <w:rPr>
          <w:b/>
          <w:sz w:val="22"/>
          <w:szCs w:val="22"/>
          <w:u w:val="single"/>
        </w:rPr>
        <w:t>Výsledky preferované pro podprogram I.:</w:t>
      </w:r>
    </w:p>
    <w:p w14:paraId="2FB985F1" w14:textId="77777777" w:rsidR="0057110D" w:rsidRPr="009E23A6" w:rsidRDefault="0057110D" w:rsidP="00F4761B">
      <w:pPr>
        <w:pStyle w:val="Odstavecseseznamem"/>
        <w:numPr>
          <w:ilvl w:val="0"/>
          <w:numId w:val="18"/>
        </w:numPr>
      </w:pPr>
      <w:r w:rsidRPr="009E23A6">
        <w:lastRenderedPageBreak/>
        <w:t xml:space="preserve">P – patent </w:t>
      </w:r>
    </w:p>
    <w:p w14:paraId="7B542FE3" w14:textId="77777777" w:rsidR="0057110D" w:rsidRPr="009E23A6" w:rsidRDefault="0057110D" w:rsidP="00F4761B">
      <w:pPr>
        <w:pStyle w:val="Odstavecseseznamem"/>
        <w:numPr>
          <w:ilvl w:val="0"/>
          <w:numId w:val="17"/>
        </w:numPr>
      </w:pPr>
      <w:r w:rsidRPr="009E23A6">
        <w:rPr>
          <w:szCs w:val="22"/>
        </w:rPr>
        <w:t>G</w:t>
      </w:r>
      <w:r w:rsidRPr="009E23A6">
        <w:rPr>
          <w:szCs w:val="22"/>
          <w:vertAlign w:val="subscript"/>
        </w:rPr>
        <w:t>prot</w:t>
      </w:r>
      <w:r w:rsidRPr="009E23A6">
        <w:rPr>
          <w:szCs w:val="22"/>
        </w:rPr>
        <w:t>, G</w:t>
      </w:r>
      <w:r w:rsidRPr="009E23A6">
        <w:rPr>
          <w:szCs w:val="22"/>
          <w:vertAlign w:val="subscript"/>
        </w:rPr>
        <w:t>funk</w:t>
      </w:r>
      <w:r w:rsidRPr="009E23A6">
        <w:rPr>
          <w:szCs w:val="22"/>
        </w:rPr>
        <w:t xml:space="preserve"> – prototyp, funkční vzorek </w:t>
      </w:r>
    </w:p>
    <w:p w14:paraId="67BE004A" w14:textId="77777777" w:rsidR="0057110D" w:rsidRPr="009E23A6" w:rsidRDefault="0057110D" w:rsidP="00F4761B">
      <w:pPr>
        <w:pStyle w:val="Odstavecseseznamem"/>
        <w:numPr>
          <w:ilvl w:val="0"/>
          <w:numId w:val="17"/>
        </w:numPr>
      </w:pPr>
      <w:r w:rsidRPr="009E23A6">
        <w:rPr>
          <w:szCs w:val="22"/>
        </w:rPr>
        <w:t xml:space="preserve">F – průmyslový a užitný vzor </w:t>
      </w:r>
    </w:p>
    <w:p w14:paraId="7F1DF537" w14:textId="77777777" w:rsidR="0057110D" w:rsidRPr="009E23A6" w:rsidRDefault="0057110D" w:rsidP="00F4761B">
      <w:pPr>
        <w:pStyle w:val="Odstavecseseznamem"/>
        <w:numPr>
          <w:ilvl w:val="0"/>
          <w:numId w:val="17"/>
        </w:numPr>
      </w:pPr>
      <w:r w:rsidRPr="009E23A6">
        <w:rPr>
          <w:szCs w:val="22"/>
        </w:rPr>
        <w:t xml:space="preserve">R – software </w:t>
      </w:r>
    </w:p>
    <w:p w14:paraId="3B55331F" w14:textId="77777777" w:rsidR="0057110D" w:rsidRPr="009E23A6" w:rsidRDefault="0057110D" w:rsidP="00F4761B">
      <w:pPr>
        <w:pStyle w:val="Odstavecseseznamem"/>
        <w:numPr>
          <w:ilvl w:val="0"/>
          <w:numId w:val="17"/>
        </w:numPr>
      </w:pPr>
      <w:r w:rsidRPr="009E23A6">
        <w:t>N</w:t>
      </w:r>
      <w:r w:rsidRPr="009E23A6">
        <w:rPr>
          <w:sz w:val="14"/>
          <w:szCs w:val="14"/>
        </w:rPr>
        <w:t>metS</w:t>
      </w:r>
      <w:r w:rsidRPr="009E23A6">
        <w:t>, N</w:t>
      </w:r>
      <w:r w:rsidRPr="009E23A6">
        <w:rPr>
          <w:sz w:val="14"/>
          <w:szCs w:val="14"/>
        </w:rPr>
        <w:t>metC</w:t>
      </w:r>
      <w:r w:rsidRPr="009E23A6">
        <w:t>, N</w:t>
      </w:r>
      <w:r w:rsidRPr="009E23A6">
        <w:rPr>
          <w:sz w:val="14"/>
          <w:szCs w:val="14"/>
        </w:rPr>
        <w:t xml:space="preserve">metA </w:t>
      </w:r>
      <w:r w:rsidRPr="009E23A6">
        <w:t xml:space="preserve">– metodika </w:t>
      </w:r>
    </w:p>
    <w:p w14:paraId="4E96F4B8" w14:textId="77777777" w:rsidR="0057110D" w:rsidRPr="009E23A6" w:rsidRDefault="0057110D" w:rsidP="00F4761B">
      <w:pPr>
        <w:pStyle w:val="Odstavecseseznamem"/>
        <w:numPr>
          <w:ilvl w:val="0"/>
          <w:numId w:val="17"/>
        </w:numPr>
      </w:pPr>
      <w:r w:rsidRPr="009E23A6">
        <w:t>N</w:t>
      </w:r>
      <w:r w:rsidRPr="009E23A6">
        <w:rPr>
          <w:sz w:val="14"/>
          <w:szCs w:val="14"/>
        </w:rPr>
        <w:t xml:space="preserve">map </w:t>
      </w:r>
      <w:r w:rsidRPr="009E23A6">
        <w:t xml:space="preserve">– specializovaná mapa s odborným obsahem </w:t>
      </w:r>
    </w:p>
    <w:p w14:paraId="10370320" w14:textId="77777777" w:rsidR="0057110D" w:rsidRPr="009E23A6" w:rsidRDefault="0057110D" w:rsidP="00F4761B">
      <w:pPr>
        <w:pStyle w:val="Odstavecseseznamem"/>
        <w:numPr>
          <w:ilvl w:val="0"/>
          <w:numId w:val="17"/>
        </w:numPr>
      </w:pPr>
      <w:r w:rsidRPr="009E23A6">
        <w:rPr>
          <w:szCs w:val="22"/>
        </w:rPr>
        <w:t>Z</w:t>
      </w:r>
      <w:r w:rsidRPr="009E23A6">
        <w:rPr>
          <w:sz w:val="14"/>
          <w:szCs w:val="14"/>
        </w:rPr>
        <w:t xml:space="preserve"> </w:t>
      </w:r>
      <w:r w:rsidRPr="009E23A6">
        <w:rPr>
          <w:szCs w:val="22"/>
        </w:rPr>
        <w:t>– poloprovoz, ověřená technologie, odrůda, plemeno</w:t>
      </w:r>
    </w:p>
    <w:p w14:paraId="297F92A8" w14:textId="77777777" w:rsidR="0057110D" w:rsidRPr="009E23A6" w:rsidRDefault="0057110D" w:rsidP="00F4761B">
      <w:pPr>
        <w:pStyle w:val="Odstavecseseznamem"/>
        <w:numPr>
          <w:ilvl w:val="0"/>
          <w:numId w:val="17"/>
        </w:numPr>
      </w:pPr>
      <w:r w:rsidRPr="009E23A6">
        <w:rPr>
          <w:szCs w:val="22"/>
        </w:rPr>
        <w:t xml:space="preserve">S – specializovaná veřejná databáze </w:t>
      </w:r>
    </w:p>
    <w:p w14:paraId="1E29FB12" w14:textId="77777777" w:rsidR="0057110D" w:rsidRPr="009E23A6" w:rsidRDefault="0057110D" w:rsidP="00F4761B">
      <w:pPr>
        <w:pStyle w:val="Odstavecseseznamem"/>
        <w:numPr>
          <w:ilvl w:val="0"/>
          <w:numId w:val="17"/>
        </w:numPr>
      </w:pPr>
      <w:r w:rsidRPr="009E23A6">
        <w:t>J</w:t>
      </w:r>
      <w:r w:rsidRPr="009E23A6">
        <w:rPr>
          <w:vertAlign w:val="subscript"/>
        </w:rPr>
        <w:t>imp</w:t>
      </w:r>
      <w:r w:rsidRPr="009E23A6">
        <w:t>, J</w:t>
      </w:r>
      <w:r w:rsidRPr="009E23A6">
        <w:rPr>
          <w:vertAlign w:val="subscript"/>
        </w:rPr>
        <w:t>SC</w:t>
      </w:r>
      <w:r w:rsidRPr="009E23A6">
        <w:t>, J</w:t>
      </w:r>
      <w:r w:rsidRPr="009E23A6">
        <w:rPr>
          <w:vertAlign w:val="subscript"/>
        </w:rPr>
        <w:t>ost</w:t>
      </w:r>
      <w:r w:rsidRPr="009E23A6">
        <w:t xml:space="preserve"> – recenzovaný odborný článek</w:t>
      </w:r>
    </w:p>
    <w:p w14:paraId="4B919251" w14:textId="77777777" w:rsidR="0057110D" w:rsidRPr="009E23A6" w:rsidRDefault="0057110D" w:rsidP="00F4761B">
      <w:pPr>
        <w:pStyle w:val="Odstavecseseznamem"/>
        <w:numPr>
          <w:ilvl w:val="0"/>
          <w:numId w:val="17"/>
        </w:numPr>
      </w:pPr>
      <w:r w:rsidRPr="009E23A6">
        <w:t>H</w:t>
      </w:r>
      <w:r w:rsidRPr="009E23A6">
        <w:rPr>
          <w:vertAlign w:val="subscript"/>
        </w:rPr>
        <w:t>neleg</w:t>
      </w:r>
      <w:r w:rsidRPr="009E23A6">
        <w:t xml:space="preserve"> – výsledky promítnuté do směrnic a předpisů nelegislativní povahy závazných v rámci kompetence MZe </w:t>
      </w:r>
    </w:p>
    <w:p w14:paraId="2AA710C8" w14:textId="77777777" w:rsidR="0057110D" w:rsidRPr="009E23A6" w:rsidRDefault="0057110D" w:rsidP="00F4761B">
      <w:pPr>
        <w:pStyle w:val="Odstavecseseznamem"/>
        <w:numPr>
          <w:ilvl w:val="0"/>
          <w:numId w:val="17"/>
        </w:numPr>
        <w:rPr>
          <w:szCs w:val="22"/>
        </w:rPr>
      </w:pPr>
      <w:r w:rsidRPr="009E23A6">
        <w:rPr>
          <w:szCs w:val="22"/>
        </w:rPr>
        <w:t>H</w:t>
      </w:r>
      <w:r w:rsidRPr="009E23A6">
        <w:rPr>
          <w:szCs w:val="22"/>
          <w:vertAlign w:val="subscript"/>
        </w:rPr>
        <w:t>leg</w:t>
      </w:r>
      <w:r w:rsidRPr="009E23A6">
        <w:rPr>
          <w:szCs w:val="22"/>
        </w:rPr>
        <w:t xml:space="preserve"> – výsledky promítnuté do právních předpisů a norem </w:t>
      </w:r>
    </w:p>
    <w:p w14:paraId="663B9CF3" w14:textId="77777777" w:rsidR="0057110D" w:rsidRPr="009E23A6" w:rsidRDefault="0057110D" w:rsidP="00F4761B">
      <w:pPr>
        <w:pStyle w:val="Odstavecseseznamem"/>
        <w:numPr>
          <w:ilvl w:val="0"/>
          <w:numId w:val="17"/>
        </w:numPr>
      </w:pPr>
      <w:r w:rsidRPr="009E23A6">
        <w:t>H</w:t>
      </w:r>
      <w:r w:rsidRPr="009E23A6">
        <w:rPr>
          <w:vertAlign w:val="subscript"/>
        </w:rPr>
        <w:t xml:space="preserve">konc </w:t>
      </w:r>
      <w:r w:rsidRPr="009E23A6">
        <w:t xml:space="preserve">– výsledky promítnuté do schválených strategických a koncepčních dokumentů orgánů státní správy  </w:t>
      </w:r>
    </w:p>
    <w:p w14:paraId="1800FD62" w14:textId="77777777" w:rsidR="0057110D" w:rsidRPr="009E23A6" w:rsidRDefault="0057110D" w:rsidP="00F4761B">
      <w:pPr>
        <w:pStyle w:val="Odstavecseseznamem"/>
        <w:numPr>
          <w:ilvl w:val="0"/>
          <w:numId w:val="17"/>
        </w:numPr>
      </w:pPr>
      <w:r w:rsidRPr="009E23A6">
        <w:rPr>
          <w:szCs w:val="22"/>
        </w:rPr>
        <w:t xml:space="preserve">B – odborná kniha </w:t>
      </w:r>
    </w:p>
    <w:p w14:paraId="790549AD" w14:textId="77777777" w:rsidR="0057110D" w:rsidRPr="009E23A6" w:rsidRDefault="0057110D" w:rsidP="00F4761B">
      <w:pPr>
        <w:pStyle w:val="Odstavecseseznamem"/>
        <w:numPr>
          <w:ilvl w:val="0"/>
          <w:numId w:val="17"/>
        </w:numPr>
      </w:pPr>
      <w:r w:rsidRPr="009E23A6">
        <w:rPr>
          <w:szCs w:val="22"/>
        </w:rPr>
        <w:t xml:space="preserve">C – kapitola v odborné knize </w:t>
      </w:r>
    </w:p>
    <w:p w14:paraId="5AE87113" w14:textId="77777777" w:rsidR="0057110D" w:rsidRPr="009E23A6" w:rsidRDefault="0057110D" w:rsidP="00F4761B">
      <w:pPr>
        <w:pStyle w:val="Odstavecseseznamem"/>
        <w:numPr>
          <w:ilvl w:val="0"/>
          <w:numId w:val="17"/>
        </w:numPr>
      </w:pPr>
      <w:r w:rsidRPr="009E23A6">
        <w:rPr>
          <w:szCs w:val="22"/>
        </w:rPr>
        <w:t>W – uspořádání workshopu</w:t>
      </w:r>
    </w:p>
    <w:p w14:paraId="2246D03A" w14:textId="77777777" w:rsidR="0057110D" w:rsidRPr="009E23A6" w:rsidRDefault="0057110D" w:rsidP="00F4761B">
      <w:pPr>
        <w:pStyle w:val="Odstavecseseznamem"/>
        <w:numPr>
          <w:ilvl w:val="0"/>
          <w:numId w:val="17"/>
        </w:numPr>
      </w:pPr>
      <w:r w:rsidRPr="009E23A6">
        <w:rPr>
          <w:szCs w:val="22"/>
        </w:rPr>
        <w:t xml:space="preserve">M – uspořádání konference </w:t>
      </w:r>
    </w:p>
    <w:p w14:paraId="11AF113F" w14:textId="77777777" w:rsidR="0057110D" w:rsidRPr="009E23A6" w:rsidRDefault="0057110D" w:rsidP="00F4761B">
      <w:pPr>
        <w:pStyle w:val="Odstavecseseznamem"/>
        <w:numPr>
          <w:ilvl w:val="0"/>
          <w:numId w:val="17"/>
        </w:numPr>
      </w:pPr>
      <w:r w:rsidRPr="009E23A6">
        <w:t>O – ostatní výsledky</w:t>
      </w:r>
    </w:p>
    <w:p w14:paraId="04355F01" w14:textId="77777777" w:rsidR="0057110D" w:rsidRPr="009E23A6" w:rsidRDefault="0057110D" w:rsidP="00F4761B">
      <w:r w:rsidRPr="009E23A6">
        <w:rPr>
          <w:szCs w:val="22"/>
        </w:rPr>
        <w:t>Konkrétní požadavky na dosažené výsledky budou stanoveny v zadávací dokumentaci jednotlivých veřejných soutěží Programu.</w:t>
      </w:r>
    </w:p>
    <w:p w14:paraId="0E8A56EC" w14:textId="77777777" w:rsidR="0057110D" w:rsidRPr="009E23A6" w:rsidRDefault="0057110D" w:rsidP="00F4761B">
      <w:r w:rsidRPr="009E23A6">
        <w:t xml:space="preserve">V podprogramu I. bude také hodnocen plán šíření výsledků, přiměřených osvětových aktivit a popularizace získaných výsledků. Významným cílem </w:t>
      </w:r>
      <w:r w:rsidRPr="009E23A6">
        <w:rPr>
          <w:i/>
        </w:rPr>
        <w:t>Strategie resortu zemědělství do roku 2030</w:t>
      </w:r>
      <w:r w:rsidRPr="009E23A6">
        <w:t xml:space="preserve"> je vyšší informovanost a zapojení odborné i laické veřejnosti. Dle</w:t>
      </w:r>
      <w:r w:rsidRPr="009E23A6">
        <w:rPr>
          <w:i/>
        </w:rPr>
        <w:t xml:space="preserve"> Národních priorit orientovaného výzkumu, experimentálního vývoje a inovací do roku 2030</w:t>
      </w:r>
      <w:r w:rsidRPr="009E23A6">
        <w:t xml:space="preserve"> je třeba </w:t>
      </w:r>
      <w:r w:rsidRPr="009E23A6">
        <w:br/>
        <w:t>v podporovaných projektech položit důraz na šíření jejich výsledků, včetně popularizace.</w:t>
      </w:r>
    </w:p>
    <w:p w14:paraId="56B07F52" w14:textId="07D9C8FE" w:rsidR="0057110D" w:rsidRPr="009E23A6" w:rsidRDefault="0057110D" w:rsidP="00B47867">
      <w:pPr>
        <w:spacing w:before="0" w:after="0"/>
        <w:jc w:val="left"/>
        <w:rPr>
          <w:rFonts w:eastAsia="Times New Roman" w:cs="Arial"/>
          <w:b/>
          <w:color w:val="000000"/>
          <w:szCs w:val="22"/>
          <w:u w:val="single"/>
        </w:rPr>
      </w:pPr>
      <w:r w:rsidRPr="009E23A6">
        <w:rPr>
          <w:b/>
          <w:szCs w:val="22"/>
          <w:u w:val="single"/>
        </w:rPr>
        <w:t xml:space="preserve">Výsledky preferované pro podprogram II: </w:t>
      </w:r>
    </w:p>
    <w:p w14:paraId="4C1143EE" w14:textId="77777777" w:rsidR="0057110D" w:rsidRPr="009E23A6" w:rsidRDefault="0057110D" w:rsidP="00F4761B">
      <w:pPr>
        <w:pStyle w:val="Odstavecseseznamem"/>
        <w:numPr>
          <w:ilvl w:val="0"/>
          <w:numId w:val="17"/>
        </w:numPr>
      </w:pPr>
      <w:r w:rsidRPr="009E23A6">
        <w:t>H</w:t>
      </w:r>
      <w:r w:rsidRPr="009E23A6">
        <w:rPr>
          <w:vertAlign w:val="subscript"/>
        </w:rPr>
        <w:t>neleg</w:t>
      </w:r>
      <w:r w:rsidRPr="009E23A6">
        <w:t xml:space="preserve"> – výsledky promítnuté do směrnic a předpisů nelegislativní povahy závazných v rámci kompetence MZe </w:t>
      </w:r>
    </w:p>
    <w:p w14:paraId="4D67E4D1" w14:textId="77777777" w:rsidR="0057110D" w:rsidRPr="009E23A6" w:rsidRDefault="0057110D" w:rsidP="00F4761B">
      <w:pPr>
        <w:pStyle w:val="Odstavecseseznamem"/>
        <w:numPr>
          <w:ilvl w:val="0"/>
          <w:numId w:val="17"/>
        </w:numPr>
        <w:rPr>
          <w:szCs w:val="22"/>
        </w:rPr>
      </w:pPr>
      <w:r w:rsidRPr="009E23A6">
        <w:rPr>
          <w:szCs w:val="22"/>
        </w:rPr>
        <w:t>H</w:t>
      </w:r>
      <w:r w:rsidRPr="009E23A6">
        <w:rPr>
          <w:szCs w:val="22"/>
          <w:vertAlign w:val="subscript"/>
        </w:rPr>
        <w:t>leg</w:t>
      </w:r>
      <w:r w:rsidRPr="009E23A6">
        <w:rPr>
          <w:szCs w:val="22"/>
        </w:rPr>
        <w:t xml:space="preserve"> – výsledky promítnuté do právních předpisů a norem </w:t>
      </w:r>
    </w:p>
    <w:p w14:paraId="25C1FA39" w14:textId="77777777" w:rsidR="0057110D" w:rsidRPr="009E23A6" w:rsidRDefault="0057110D" w:rsidP="00F4761B">
      <w:pPr>
        <w:pStyle w:val="Odstavecseseznamem"/>
        <w:numPr>
          <w:ilvl w:val="0"/>
          <w:numId w:val="17"/>
        </w:numPr>
        <w:rPr>
          <w:szCs w:val="22"/>
        </w:rPr>
      </w:pPr>
      <w:r w:rsidRPr="009E23A6">
        <w:rPr>
          <w:szCs w:val="22"/>
        </w:rPr>
        <w:t>H</w:t>
      </w:r>
      <w:r w:rsidRPr="009E23A6">
        <w:rPr>
          <w:szCs w:val="22"/>
          <w:vertAlign w:val="subscript"/>
        </w:rPr>
        <w:t>konc</w:t>
      </w:r>
      <w:r w:rsidRPr="009E23A6">
        <w:rPr>
          <w:szCs w:val="22"/>
        </w:rPr>
        <w:t xml:space="preserve"> – výsledky promítnuté do schválených strategických a koncepčních dokumentů orgánů státní správy </w:t>
      </w:r>
    </w:p>
    <w:p w14:paraId="1DA91D73" w14:textId="77777777" w:rsidR="0057110D" w:rsidRPr="009E23A6" w:rsidRDefault="0057110D" w:rsidP="00F4761B">
      <w:pPr>
        <w:pStyle w:val="Odstavecseseznamem"/>
        <w:numPr>
          <w:ilvl w:val="0"/>
          <w:numId w:val="19"/>
        </w:numPr>
      </w:pPr>
      <w:r w:rsidRPr="009E23A6">
        <w:t>J</w:t>
      </w:r>
      <w:r w:rsidRPr="009E23A6">
        <w:rPr>
          <w:vertAlign w:val="subscript"/>
        </w:rPr>
        <w:t>imp</w:t>
      </w:r>
      <w:r w:rsidRPr="009E23A6">
        <w:t>, J</w:t>
      </w:r>
      <w:r w:rsidRPr="009E23A6">
        <w:rPr>
          <w:vertAlign w:val="subscript"/>
        </w:rPr>
        <w:t>SC</w:t>
      </w:r>
      <w:r w:rsidRPr="009E23A6">
        <w:t>, J</w:t>
      </w:r>
      <w:r w:rsidRPr="009E23A6">
        <w:rPr>
          <w:vertAlign w:val="subscript"/>
        </w:rPr>
        <w:t>ost</w:t>
      </w:r>
      <w:r w:rsidRPr="009E23A6">
        <w:t xml:space="preserve"> – recenzovaný odborný článek</w:t>
      </w:r>
    </w:p>
    <w:p w14:paraId="7BDB75DA" w14:textId="77777777" w:rsidR="0057110D" w:rsidRPr="009E23A6" w:rsidRDefault="0057110D" w:rsidP="00F4761B">
      <w:pPr>
        <w:pStyle w:val="Odstavecseseznamem"/>
        <w:numPr>
          <w:ilvl w:val="0"/>
          <w:numId w:val="17"/>
        </w:numPr>
      </w:pPr>
      <w:r w:rsidRPr="009E23A6">
        <w:t>G</w:t>
      </w:r>
      <w:r w:rsidRPr="009E23A6">
        <w:rPr>
          <w:vertAlign w:val="subscript"/>
        </w:rPr>
        <w:t>prot</w:t>
      </w:r>
      <w:r w:rsidRPr="009E23A6">
        <w:t>, G</w:t>
      </w:r>
      <w:r w:rsidRPr="009E23A6">
        <w:rPr>
          <w:vertAlign w:val="subscript"/>
        </w:rPr>
        <w:t>funk</w:t>
      </w:r>
      <w:r w:rsidRPr="009E23A6">
        <w:t xml:space="preserve"> – prototyp, funkční vzorek</w:t>
      </w:r>
    </w:p>
    <w:p w14:paraId="2D452B6D" w14:textId="77777777" w:rsidR="0057110D" w:rsidRPr="009E23A6" w:rsidRDefault="0057110D" w:rsidP="00F4761B">
      <w:pPr>
        <w:pStyle w:val="Odstavecseseznamem"/>
        <w:numPr>
          <w:ilvl w:val="0"/>
          <w:numId w:val="17"/>
        </w:numPr>
      </w:pPr>
      <w:r w:rsidRPr="009E23A6">
        <w:t>P – patent</w:t>
      </w:r>
    </w:p>
    <w:p w14:paraId="519FB88F" w14:textId="77777777" w:rsidR="0057110D" w:rsidRPr="009E23A6" w:rsidRDefault="0057110D" w:rsidP="00F4761B">
      <w:pPr>
        <w:pStyle w:val="Odstavecseseznamem"/>
        <w:numPr>
          <w:ilvl w:val="0"/>
          <w:numId w:val="17"/>
        </w:numPr>
      </w:pPr>
      <w:r w:rsidRPr="009E23A6">
        <w:rPr>
          <w:szCs w:val="22"/>
        </w:rPr>
        <w:lastRenderedPageBreak/>
        <w:t>Z</w:t>
      </w:r>
      <w:r w:rsidRPr="009E23A6">
        <w:rPr>
          <w:sz w:val="14"/>
          <w:szCs w:val="14"/>
        </w:rPr>
        <w:t xml:space="preserve"> </w:t>
      </w:r>
      <w:r w:rsidRPr="009E23A6">
        <w:rPr>
          <w:szCs w:val="22"/>
        </w:rPr>
        <w:t>– poloprovoz, ověřená technologie, odrůda, plemeno</w:t>
      </w:r>
    </w:p>
    <w:p w14:paraId="7778161F" w14:textId="77777777" w:rsidR="0057110D" w:rsidRPr="009E23A6" w:rsidRDefault="0057110D" w:rsidP="00F4761B">
      <w:pPr>
        <w:pStyle w:val="Odstavecseseznamem"/>
        <w:numPr>
          <w:ilvl w:val="0"/>
          <w:numId w:val="17"/>
        </w:numPr>
      </w:pPr>
      <w:r w:rsidRPr="009E23A6">
        <w:rPr>
          <w:szCs w:val="22"/>
        </w:rPr>
        <w:t xml:space="preserve">F – průmyslový a užitný vzor </w:t>
      </w:r>
    </w:p>
    <w:p w14:paraId="54F58ABD" w14:textId="77777777" w:rsidR="0057110D" w:rsidRPr="009E23A6" w:rsidRDefault="0057110D" w:rsidP="00F4761B">
      <w:pPr>
        <w:pStyle w:val="Odstavecseseznamem"/>
        <w:numPr>
          <w:ilvl w:val="0"/>
          <w:numId w:val="17"/>
        </w:numPr>
      </w:pPr>
      <w:r w:rsidRPr="009E23A6">
        <w:rPr>
          <w:szCs w:val="22"/>
        </w:rPr>
        <w:t xml:space="preserve">R – software </w:t>
      </w:r>
    </w:p>
    <w:p w14:paraId="6AD848A7" w14:textId="77777777" w:rsidR="0057110D" w:rsidRPr="009E23A6" w:rsidRDefault="0057110D" w:rsidP="00F4761B">
      <w:pPr>
        <w:pStyle w:val="Odstavecseseznamem"/>
        <w:numPr>
          <w:ilvl w:val="0"/>
          <w:numId w:val="17"/>
        </w:numPr>
      </w:pPr>
      <w:r w:rsidRPr="009E23A6">
        <w:rPr>
          <w:szCs w:val="22"/>
        </w:rPr>
        <w:t xml:space="preserve">S – specializovaná veřejná databáze </w:t>
      </w:r>
    </w:p>
    <w:p w14:paraId="06682043" w14:textId="77777777" w:rsidR="0057110D" w:rsidRPr="009E23A6" w:rsidRDefault="0057110D" w:rsidP="00F4761B">
      <w:pPr>
        <w:pStyle w:val="Odstavecseseznamem"/>
        <w:numPr>
          <w:ilvl w:val="0"/>
          <w:numId w:val="17"/>
        </w:numPr>
      </w:pPr>
      <w:r w:rsidRPr="009E23A6">
        <w:t>N</w:t>
      </w:r>
      <w:r w:rsidRPr="009E23A6">
        <w:rPr>
          <w:sz w:val="14"/>
          <w:szCs w:val="14"/>
        </w:rPr>
        <w:t xml:space="preserve">map </w:t>
      </w:r>
      <w:r w:rsidRPr="009E23A6">
        <w:t xml:space="preserve">– specializovaná mapa s odborným obsahem </w:t>
      </w:r>
    </w:p>
    <w:p w14:paraId="63AA6BE6" w14:textId="77777777" w:rsidR="0057110D" w:rsidRPr="009E23A6" w:rsidRDefault="0057110D" w:rsidP="00F4761B">
      <w:pPr>
        <w:pStyle w:val="Odstavecseseznamem"/>
        <w:numPr>
          <w:ilvl w:val="0"/>
          <w:numId w:val="17"/>
        </w:numPr>
      </w:pPr>
      <w:r w:rsidRPr="009E23A6">
        <w:t>N</w:t>
      </w:r>
      <w:r w:rsidRPr="009E23A6">
        <w:rPr>
          <w:sz w:val="14"/>
          <w:szCs w:val="14"/>
        </w:rPr>
        <w:t>metS</w:t>
      </w:r>
      <w:r w:rsidRPr="009E23A6">
        <w:t>, N</w:t>
      </w:r>
      <w:r w:rsidRPr="009E23A6">
        <w:rPr>
          <w:sz w:val="14"/>
          <w:szCs w:val="14"/>
        </w:rPr>
        <w:t>metC</w:t>
      </w:r>
      <w:r w:rsidRPr="009E23A6">
        <w:t>, N</w:t>
      </w:r>
      <w:r w:rsidRPr="009E23A6">
        <w:rPr>
          <w:sz w:val="14"/>
          <w:szCs w:val="14"/>
        </w:rPr>
        <w:t xml:space="preserve">metA </w:t>
      </w:r>
      <w:r w:rsidRPr="009E23A6">
        <w:t xml:space="preserve">– metodika </w:t>
      </w:r>
    </w:p>
    <w:p w14:paraId="1BFA5449" w14:textId="77777777" w:rsidR="0057110D" w:rsidRPr="009E23A6" w:rsidRDefault="0057110D" w:rsidP="00F4761B">
      <w:pPr>
        <w:pStyle w:val="Odstavecseseznamem"/>
        <w:numPr>
          <w:ilvl w:val="0"/>
          <w:numId w:val="17"/>
        </w:numPr>
      </w:pPr>
      <w:r w:rsidRPr="009E23A6">
        <w:t xml:space="preserve">O – ostatní výsledky </w:t>
      </w:r>
    </w:p>
    <w:p w14:paraId="6D80466A" w14:textId="77777777" w:rsidR="0057110D" w:rsidRPr="009E23A6" w:rsidRDefault="0057110D" w:rsidP="00F4761B">
      <w:pPr>
        <w:pStyle w:val="Odstavecseseznamem"/>
        <w:numPr>
          <w:ilvl w:val="0"/>
          <w:numId w:val="17"/>
        </w:numPr>
      </w:pPr>
      <w:r w:rsidRPr="009E23A6">
        <w:t>W – uspořádání worshopu</w:t>
      </w:r>
    </w:p>
    <w:p w14:paraId="6D1A3ECD" w14:textId="77777777" w:rsidR="0057110D" w:rsidRPr="009E23A6" w:rsidRDefault="0057110D" w:rsidP="00F4761B">
      <w:pPr>
        <w:pStyle w:val="Odstavecseseznamem"/>
        <w:numPr>
          <w:ilvl w:val="0"/>
          <w:numId w:val="17"/>
        </w:numPr>
      </w:pPr>
      <w:r w:rsidRPr="009E23A6">
        <w:t>M – uspořádání konference</w:t>
      </w:r>
    </w:p>
    <w:p w14:paraId="22E826B3" w14:textId="77777777" w:rsidR="0057110D" w:rsidRPr="009E23A6" w:rsidRDefault="0057110D" w:rsidP="00F4761B">
      <w:r w:rsidRPr="009E23A6">
        <w:t>Konkrétní požadavky na dosažené výsledky budou stanoveny v zadávací dokumentaci jednotlivých veřejných soutěží Programu.</w:t>
      </w:r>
    </w:p>
    <w:p w14:paraId="3F216DFB" w14:textId="77777777" w:rsidR="0057110D" w:rsidRPr="009E23A6" w:rsidRDefault="0057110D" w:rsidP="00F4761B">
      <w:pPr>
        <w:rPr>
          <w:color w:val="000000"/>
        </w:rPr>
      </w:pPr>
      <w:r w:rsidRPr="009E23A6">
        <w:t xml:space="preserve">V Programu se u každého projektu nejpozději před ukončením řešení bude vyžadovat uzavření minimálně jedné smlouvy o využití výsledků mezi příjemcem podpory a uživatelem výsledků (v případě podprogramu II stačí potvrzení o využití výsledku) </w:t>
      </w:r>
      <w:r w:rsidRPr="009E23A6">
        <w:rPr>
          <w:color w:val="000000" w:themeColor="text1"/>
        </w:rPr>
        <w:t>jako prokázání potřebnosti řešení projektu a očekávaných přínosů výsledků do praxe.</w:t>
      </w:r>
    </w:p>
    <w:p w14:paraId="0084FE92" w14:textId="77777777" w:rsidR="0057110D" w:rsidRPr="009E23A6" w:rsidRDefault="0057110D" w:rsidP="00F4761B">
      <w:r w:rsidRPr="009E23A6">
        <w:t>Očekávané výsledky řešení projektu budou hodnoceny především podle využitelnosti v praxi.</w:t>
      </w:r>
    </w:p>
    <w:p w14:paraId="0926C5FD" w14:textId="77777777" w:rsidR="0057110D" w:rsidRPr="009E23A6" w:rsidRDefault="0057110D" w:rsidP="00F4761B">
      <w:r w:rsidRPr="009E23A6">
        <w:t>Jako doprovodné k výsledkům preferovaným v obou podprogramech budou vítány také další výsledky aplikovaného výzkumu.</w:t>
      </w:r>
    </w:p>
    <w:p w14:paraId="2F862F10" w14:textId="77777777" w:rsidR="0057110D" w:rsidRPr="009E23A6" w:rsidRDefault="0057110D" w:rsidP="00F4761B">
      <w:pPr>
        <w:pStyle w:val="Nadpis1"/>
        <w:spacing w:line="360" w:lineRule="auto"/>
        <w:rPr>
          <w:szCs w:val="32"/>
        </w:rPr>
      </w:pPr>
      <w:r w:rsidRPr="009E23A6">
        <w:rPr>
          <w:szCs w:val="32"/>
        </w:rPr>
        <w:t xml:space="preserve"> </w:t>
      </w:r>
      <w:bookmarkStart w:id="97" w:name="_Toc112061724"/>
      <w:bookmarkStart w:id="98" w:name="_Ref115346892"/>
      <w:bookmarkStart w:id="99" w:name="_Toc115938921"/>
      <w:r w:rsidRPr="009E23A6">
        <w:rPr>
          <w:szCs w:val="32"/>
        </w:rPr>
        <w:t>Způsob a kritéria hodnocení návrhů projektu</w:t>
      </w:r>
      <w:bookmarkEnd w:id="97"/>
      <w:bookmarkEnd w:id="98"/>
      <w:bookmarkEnd w:id="99"/>
    </w:p>
    <w:p w14:paraId="49C847F9" w14:textId="77777777" w:rsidR="0057110D" w:rsidRPr="009E23A6" w:rsidRDefault="0057110D" w:rsidP="00F4761B">
      <w:r w:rsidRPr="009E23A6">
        <w:t>Způsob výběru projektů ve veřejné soutěži v podprogramech je upraven v § 21 zákona č. 130/2002 Sb.</w:t>
      </w:r>
    </w:p>
    <w:p w14:paraId="237E04C5" w14:textId="308170A0" w:rsidR="0057110D" w:rsidRPr="009E23A6" w:rsidRDefault="0057110D" w:rsidP="00F4761B">
      <w:r w:rsidRPr="009E23A6">
        <w:t xml:space="preserve">Poskytovatel jmenuje podle § 21 odst. 1 a 2 zákona č. 130/2002 Sb., </w:t>
      </w:r>
      <w:r w:rsidRPr="009E23A6">
        <w:rPr>
          <w:i/>
        </w:rPr>
        <w:t xml:space="preserve">komisi pro přijímání návrhů projektů </w:t>
      </w:r>
      <w:r w:rsidRPr="009E23A6">
        <w:t xml:space="preserve">(dále </w:t>
      </w:r>
      <w:r w:rsidR="007A376D" w:rsidRPr="009E23A6">
        <w:t>také</w:t>
      </w:r>
      <w:r w:rsidRPr="009E23A6">
        <w:t xml:space="preserve"> „KPNP“), jejímiž členy jsou zaměstnanci MZe. KPNP vyhodnotí splnění podmínek pro přijetí návrhů projektů do veřejné soutěže podle § 17 odst. 5; poté zpracuje protokol obsahující zejména seznam doručených návrhů projektů, údaje o doručení v soutěžní lhůtě, údaje o úplnosti návrhů projektů a o návrzích projektů nevyhovujících těmto podmínkám s uvedením důvodů pro jejich vyřazení, i údaje o návrzích doručených po uplynutí soutěžní lhůty, včetně doby jejich doručení. Činnost KPNP, způsob jmenování členů, pravidla jednání a způsob nakládání s údaji v návrzích projektů upravuje Statut a jednací řád KPNP. </w:t>
      </w:r>
    </w:p>
    <w:p w14:paraId="3489CB8A" w14:textId="32AC1225" w:rsidR="0057110D" w:rsidRPr="009E23A6" w:rsidRDefault="0057110D" w:rsidP="00F4761B">
      <w:r w:rsidRPr="009E23A6">
        <w:rPr>
          <w:i/>
        </w:rPr>
        <w:t>Odborný poradní orgán</w:t>
      </w:r>
      <w:r w:rsidRPr="009E23A6">
        <w:t xml:space="preserve"> (dále </w:t>
      </w:r>
      <w:r w:rsidR="007A376D" w:rsidRPr="009E23A6">
        <w:t>také</w:t>
      </w:r>
      <w:r w:rsidRPr="009E23A6">
        <w:t xml:space="preserve"> „OPO“) ustavený podle § 21 odst. 4 zákona č. 130/2002 Sb., jehož členy jsou přední odborníci v dané vědní oblasti, provede následně odborné </w:t>
      </w:r>
      <w:r w:rsidRPr="009E23A6">
        <w:lastRenderedPageBreak/>
        <w:t xml:space="preserve">hodnocení všech návrhů projektů, které vyhověly podmínkám veřejné soutěže vyhlášených v zadávací dokumentaci. Protokoly a návrh výsledného pořadí návrhů projektů předkládá OPO poskytovateli. Jako podklad pro odborné hodnocení tímto orgánem poskytovatel zajistí minimálně 2 nezávislé posudky oponentů. Poskytovatel ustanovuje OPO k hodnocení návrhů projektů pro oba podprogramy. OPO má svůj Statut a jednací řád, který upravuje jeho činnost, způsob jmenování členů, pravidla jednání a způsob nakládání s údaji v návrzích projektů. Statut a jednací řád je spolu se seznamem členů OPO zveřejněn na webových stránkách MZe.  Poskytovatel si vyžádá písemné čestné prohlášení všech členů OPO a KPNP o tom, že nejsou ve střetu zájmů. Pokud zjistí, že ke střetu zájmů došlo, přijme k jeho odstranění opatření k nápravě. </w:t>
      </w:r>
    </w:p>
    <w:p w14:paraId="25523C09" w14:textId="2D5232E2" w:rsidR="0057110D" w:rsidRPr="009E23A6" w:rsidRDefault="0057110D" w:rsidP="00F4761B">
      <w:r w:rsidRPr="009E23A6">
        <w:t>O výběru návrhů projektů k podpoře rozhodne v hodnotící lhůtě poskytovatel. Poskytovatel může rozhodnout i v rozporu s doporučením OPO, a sice za podmínek uvedených v</w:t>
      </w:r>
      <w:r w:rsidR="00DD5CD1" w:rsidRPr="009E23A6">
        <w:t> </w:t>
      </w:r>
      <w:r w:rsidRPr="009E23A6">
        <w:t>§</w:t>
      </w:r>
      <w:r w:rsidR="00DD5CD1" w:rsidRPr="009E23A6">
        <w:t> </w:t>
      </w:r>
      <w:r w:rsidRPr="009E23A6">
        <w:t>21</w:t>
      </w:r>
      <w:r w:rsidR="00DD5CD1" w:rsidRPr="009E23A6">
        <w:t> </w:t>
      </w:r>
      <w:r w:rsidRPr="009E23A6">
        <w:t>odst.</w:t>
      </w:r>
      <w:r w:rsidR="00DD5CD1" w:rsidRPr="009E23A6">
        <w:t> </w:t>
      </w:r>
      <w:r w:rsidRPr="009E23A6">
        <w:t xml:space="preserve">7 zákona č. 130/2002 Sb. </w:t>
      </w:r>
    </w:p>
    <w:p w14:paraId="5ED5E302" w14:textId="77777777" w:rsidR="0057110D" w:rsidRPr="009E23A6" w:rsidRDefault="0057110D" w:rsidP="00F4761B">
      <w:r w:rsidRPr="009E23A6">
        <w:t xml:space="preserve"> Předpokládaná použitá kritéria pro výběr projektů jsou: </w:t>
      </w:r>
    </w:p>
    <w:p w14:paraId="4E72B757" w14:textId="77777777" w:rsidR="0057110D" w:rsidRPr="009E23A6" w:rsidRDefault="0057110D" w:rsidP="00F4761B">
      <w:pPr>
        <w:pStyle w:val="Odstavecseseznamem"/>
        <w:numPr>
          <w:ilvl w:val="0"/>
          <w:numId w:val="4"/>
        </w:numPr>
      </w:pPr>
      <w:r w:rsidRPr="009E23A6">
        <w:t>splnění podmínek veřejné soutěže,</w:t>
      </w:r>
    </w:p>
    <w:p w14:paraId="21F068DD" w14:textId="77777777" w:rsidR="0057110D" w:rsidRPr="009E23A6" w:rsidRDefault="0057110D" w:rsidP="00F4761B">
      <w:pPr>
        <w:pStyle w:val="Odstavecseseznamem"/>
        <w:numPr>
          <w:ilvl w:val="0"/>
          <w:numId w:val="4"/>
        </w:numPr>
      </w:pPr>
      <w:r w:rsidRPr="009E23A6">
        <w:t>potřebnost projektu,</w:t>
      </w:r>
    </w:p>
    <w:p w14:paraId="1EF39B1D" w14:textId="77777777" w:rsidR="0057110D" w:rsidRPr="009E23A6" w:rsidRDefault="0057110D" w:rsidP="00F4761B">
      <w:pPr>
        <w:pStyle w:val="Odstavecseseznamem"/>
        <w:numPr>
          <w:ilvl w:val="0"/>
          <w:numId w:val="4"/>
        </w:numPr>
      </w:pPr>
      <w:r w:rsidRPr="009E23A6">
        <w:t>novost, proveditelnost a postup realizace projektu,</w:t>
      </w:r>
    </w:p>
    <w:p w14:paraId="50241666" w14:textId="77777777" w:rsidR="0052248B" w:rsidRPr="009E23A6" w:rsidRDefault="0057110D" w:rsidP="00F4761B">
      <w:pPr>
        <w:pStyle w:val="Odstavecseseznamem"/>
        <w:numPr>
          <w:ilvl w:val="0"/>
          <w:numId w:val="4"/>
        </w:numPr>
      </w:pPr>
      <w:r w:rsidRPr="009E23A6">
        <w:t>očekávané výsledky (včetně jejich využitelnosti) a dopady projektu</w:t>
      </w:r>
      <w:r w:rsidR="0052248B" w:rsidRPr="009E23A6">
        <w:t>,</w:t>
      </w:r>
    </w:p>
    <w:p w14:paraId="02925D30" w14:textId="016A16ED" w:rsidR="0057110D" w:rsidRPr="00AD3FEC" w:rsidRDefault="0052248B" w:rsidP="003069EE">
      <w:pPr>
        <w:pStyle w:val="Odstavecseseznamem"/>
        <w:numPr>
          <w:ilvl w:val="0"/>
          <w:numId w:val="4"/>
        </w:numPr>
      </w:pPr>
      <w:r w:rsidRPr="00AD3FEC">
        <w:t>celospolečenský přínos</w:t>
      </w:r>
      <w:r w:rsidR="003E1989" w:rsidRPr="00AD3FEC">
        <w:t>.</w:t>
      </w:r>
    </w:p>
    <w:p w14:paraId="440DB003" w14:textId="77777777" w:rsidR="0057110D" w:rsidRPr="009E23A6" w:rsidRDefault="0057110D" w:rsidP="00F4761B">
      <w:r w:rsidRPr="009E23A6">
        <w:t>Podrobnější informace o podmínkách konkrétní veřejné soutěže a dalších náležitostech, včetně hodnoticího procesu, stanoví zadávací dokumentace k příslušné veřejné soutěži.</w:t>
      </w:r>
    </w:p>
    <w:p w14:paraId="5C26380F" w14:textId="77777777" w:rsidR="0057110D" w:rsidRPr="009E23A6" w:rsidRDefault="0057110D" w:rsidP="00F4761B">
      <w:r w:rsidRPr="009E23A6">
        <w:t>Při hodnocení návrhů projektů se poskytovatel zaměří na nastavení efektivního a hospodárného hodnotícího procesu. Součástí hodnocení návrhu projektu bude rovněž vyhodnocení případných duplicit s jinými projekty aplikovaného výzkumu a inovací.</w:t>
      </w:r>
    </w:p>
    <w:p w14:paraId="4141878B" w14:textId="77777777" w:rsidR="0057110D" w:rsidRPr="009E23A6" w:rsidRDefault="0057110D" w:rsidP="00F4761B">
      <w:r w:rsidRPr="009E23A6">
        <w:t>Veřejné soutěže budou nastaveny a realizovány tak, aby nedocházelo k překryvům s ostatními programy na podporu výzkumu, vývoje a inovací, financovanými z veřejných zdrojů. Poskytovatel bude v průběhu realizace Programu zohledňovat nové metody a poznatky, které mohou postupně vstupovat do systému podpory VaVaI.</w:t>
      </w:r>
    </w:p>
    <w:p w14:paraId="09F9AF26" w14:textId="77777777" w:rsidR="0057110D" w:rsidRPr="009E23A6" w:rsidRDefault="0057110D" w:rsidP="00F4761B">
      <w:pPr>
        <w:pStyle w:val="Nadpis1"/>
        <w:spacing w:line="360" w:lineRule="auto"/>
        <w:rPr>
          <w:szCs w:val="32"/>
        </w:rPr>
      </w:pPr>
      <w:r w:rsidRPr="009E23A6">
        <w:t xml:space="preserve"> </w:t>
      </w:r>
      <w:bookmarkStart w:id="100" w:name="_Toc112061725"/>
      <w:bookmarkStart w:id="101" w:name="_Toc115938922"/>
      <w:r w:rsidRPr="009E23A6">
        <w:rPr>
          <w:szCs w:val="32"/>
        </w:rPr>
        <w:t>Monitoring a evaluace</w:t>
      </w:r>
      <w:bookmarkEnd w:id="100"/>
      <w:bookmarkEnd w:id="101"/>
    </w:p>
    <w:p w14:paraId="4AC0FB81" w14:textId="77777777" w:rsidR="0057110D" w:rsidRPr="009E23A6" w:rsidRDefault="0057110D" w:rsidP="00F4761B">
      <w:pPr>
        <w:pStyle w:val="Nadpis2"/>
        <w:rPr>
          <w:szCs w:val="28"/>
        </w:rPr>
      </w:pPr>
      <w:bookmarkStart w:id="102" w:name="_Toc112061726"/>
      <w:bookmarkStart w:id="103" w:name="_Toc115938923"/>
      <w:r w:rsidRPr="009E23A6">
        <w:rPr>
          <w:szCs w:val="28"/>
        </w:rPr>
        <w:t>Úroveň projektu</w:t>
      </w:r>
      <w:bookmarkEnd w:id="102"/>
      <w:bookmarkEnd w:id="103"/>
    </w:p>
    <w:p w14:paraId="687D4E44" w14:textId="77777777" w:rsidR="0057110D" w:rsidRPr="009E23A6" w:rsidRDefault="0057110D" w:rsidP="00F4761B">
      <w:r w:rsidRPr="009E23A6">
        <w:t xml:space="preserve">Řešení projektu, jemuž byla přiznána účelová podpora ze státního rozpočtu, je monitorováno prostřednictvím průběžných zpráv a zprávy závěrečné, vypracované příjemcem podle pokynů </w:t>
      </w:r>
      <w:r w:rsidRPr="009E23A6">
        <w:lastRenderedPageBreak/>
        <w:t>poskytovatele a které plní roli kontroly plnění cílů projektu podle § 13 odst. 1 zákona č. 130/2002 Sb. Přílohou průběžné a závěrečné zprávy jsou výstupy oponentního řízení (oponentní posudky). Pokyny poskytovatele k vypracování obou typů zpráv jsou zveřejněny na webových stránkách poskytovatele a pravidelně aktualizovány.</w:t>
      </w:r>
    </w:p>
    <w:p w14:paraId="2A306EB5" w14:textId="77777777" w:rsidR="0057110D" w:rsidRPr="009E23A6" w:rsidRDefault="0057110D" w:rsidP="00F4761B">
      <w:r w:rsidRPr="009E23A6">
        <w:t>Poskytovatel zároveň provádí finanční kontrolu podle § 13 odst. 3 zákona č. 130/2002 Sb. a souvisejících právních předpisů.</w:t>
      </w:r>
    </w:p>
    <w:p w14:paraId="1F13CDBA" w14:textId="77777777" w:rsidR="0057110D" w:rsidRPr="009E23A6" w:rsidRDefault="0057110D" w:rsidP="00F4761B">
      <w:pPr>
        <w:pStyle w:val="Nadpis2"/>
        <w:rPr>
          <w:szCs w:val="28"/>
        </w:rPr>
      </w:pPr>
      <w:bookmarkStart w:id="104" w:name="_Toc112061727"/>
      <w:bookmarkStart w:id="105" w:name="_Toc115938924"/>
      <w:r w:rsidRPr="009E23A6">
        <w:rPr>
          <w:szCs w:val="28"/>
        </w:rPr>
        <w:t>Úroveň Programu</w:t>
      </w:r>
      <w:bookmarkEnd w:id="104"/>
      <w:bookmarkEnd w:id="105"/>
    </w:p>
    <w:p w14:paraId="5CB0C7CB" w14:textId="590D4151" w:rsidR="007A6786" w:rsidRPr="009E23A6" w:rsidRDefault="0057110D" w:rsidP="00F4761B">
      <w:r w:rsidRPr="009E23A6">
        <w:t>Program definuje následující nástroje monitoringu/evaluace Programu:</w:t>
      </w:r>
    </w:p>
    <w:p w14:paraId="6C8F9E4F" w14:textId="200A5B2F" w:rsidR="007A6786" w:rsidRPr="00AD3FEC" w:rsidRDefault="007A6786" w:rsidP="007445CE">
      <w:pPr>
        <w:pStyle w:val="Nadpis3"/>
      </w:pPr>
      <w:bookmarkStart w:id="106" w:name="_Toc115938925"/>
      <w:r w:rsidRPr="00AD3FEC">
        <w:t>Ex</w:t>
      </w:r>
      <w:r w:rsidR="001175E5" w:rsidRPr="00AD3FEC">
        <w:t>-</w:t>
      </w:r>
      <w:r w:rsidRPr="00AD3FEC">
        <w:t>ante evaluace</w:t>
      </w:r>
      <w:bookmarkEnd w:id="106"/>
    </w:p>
    <w:p w14:paraId="4B84D0FA" w14:textId="4858D08C" w:rsidR="007A6786" w:rsidRPr="009E23A6" w:rsidRDefault="00BC6F33" w:rsidP="00F4761B">
      <w:r w:rsidRPr="00AD3FEC">
        <w:t xml:space="preserve">Externí subjekt za součinnosti poskytovatele </w:t>
      </w:r>
      <w:r w:rsidR="00E834C9" w:rsidRPr="00AD3FEC">
        <w:t>provedl hodnocení (Ex</w:t>
      </w:r>
      <w:r w:rsidR="001175E5" w:rsidRPr="00AD3FEC">
        <w:t>-</w:t>
      </w:r>
      <w:r w:rsidR="00E834C9" w:rsidRPr="00AD3FEC">
        <w:t>ante)</w:t>
      </w:r>
      <w:r w:rsidR="007D5B6F" w:rsidRPr="00AD3FEC">
        <w:t xml:space="preserve"> východisek (základních principů Programů, jeho zaměření a cíle</w:t>
      </w:r>
      <w:r w:rsidR="00E44674" w:rsidRPr="00AD3FEC">
        <w:t>) a zhodnocení</w:t>
      </w:r>
      <w:r w:rsidR="00E834C9" w:rsidRPr="00AD3FEC">
        <w:t xml:space="preserve"> </w:t>
      </w:r>
      <w:r w:rsidR="00E44674" w:rsidRPr="00AD3FEC">
        <w:t xml:space="preserve">intervenční logiky </w:t>
      </w:r>
      <w:r w:rsidR="00E834C9" w:rsidRPr="00AD3FEC">
        <w:t xml:space="preserve">připravovaného návrhu </w:t>
      </w:r>
      <w:r w:rsidR="005D4572" w:rsidRPr="00AD3FEC">
        <w:t>Programu</w:t>
      </w:r>
      <w:r w:rsidR="00E42633" w:rsidRPr="00AD3FEC">
        <w:t>.</w:t>
      </w:r>
      <w:r w:rsidR="005D4572" w:rsidRPr="00AD3FEC">
        <w:t xml:space="preserve"> Nejprve </w:t>
      </w:r>
      <w:r w:rsidR="00E44674" w:rsidRPr="00AD3FEC">
        <w:t xml:space="preserve">byl </w:t>
      </w:r>
      <w:r w:rsidR="005D4572" w:rsidRPr="00AD3FEC">
        <w:t>proved</w:t>
      </w:r>
      <w:r w:rsidR="00E44674" w:rsidRPr="00AD3FEC">
        <w:t>en</w:t>
      </w:r>
      <w:r w:rsidR="005D4572" w:rsidRPr="00AD3FEC">
        <w:t xml:space="preserve"> desk research na základě klíčových dokumentů, který byl následně doplněn o řízené </w:t>
      </w:r>
      <w:r w:rsidR="007D5B6F" w:rsidRPr="00AD3FEC">
        <w:t>rozhovory s řídícími pracovníky odpovědnými za přípravu a implementaci Programu a</w:t>
      </w:r>
      <w:r w:rsidR="00E44674" w:rsidRPr="00AD3FEC">
        <w:t xml:space="preserve"> dále</w:t>
      </w:r>
      <w:r w:rsidR="007D5B6F" w:rsidRPr="00AD3FEC">
        <w:t xml:space="preserve"> zapracování vzešlých připomínek a doporučení.</w:t>
      </w:r>
    </w:p>
    <w:p w14:paraId="44556131" w14:textId="1A7E6BCC" w:rsidR="007A6786" w:rsidRPr="009E23A6" w:rsidRDefault="0057110D" w:rsidP="00F4761B">
      <w:pPr>
        <w:pStyle w:val="Nadpis3"/>
      </w:pPr>
      <w:bookmarkStart w:id="107" w:name="_Toc112061728"/>
      <w:bookmarkStart w:id="108" w:name="_Toc112061834"/>
      <w:bookmarkStart w:id="109" w:name="_Toc115938926"/>
      <w:r w:rsidRPr="009E23A6">
        <w:t>Monitoring</w:t>
      </w:r>
      <w:bookmarkEnd w:id="107"/>
      <w:bookmarkEnd w:id="108"/>
      <w:bookmarkEnd w:id="109"/>
      <w:r w:rsidRPr="009E23A6">
        <w:t xml:space="preserve"> </w:t>
      </w:r>
    </w:p>
    <w:p w14:paraId="0BCBFA94" w14:textId="2B58AD53" w:rsidR="007A6786" w:rsidRPr="009E23A6" w:rsidRDefault="0057110D" w:rsidP="00F4761B">
      <w:r w:rsidRPr="009E23A6">
        <w:t>Poskytovatel ročně provádí průběžný věcný a finanční monitoring plánovaných aktivit v Programu a příspěvku k naplňování kvantitativních indikátorů v daném období. Monitoring je</w:t>
      </w:r>
      <w:r w:rsidR="00740FCB" w:rsidRPr="009E23A6">
        <w:t> </w:t>
      </w:r>
      <w:r w:rsidRPr="009E23A6">
        <w:t>nástrojem poskytovatele ke sledování především klíčových kvantitativních vlastností aktivit Programu v dílčích obdobích. Sumarizuje příspěvek dílčího období k indikátorům plnění cílů Programu.</w:t>
      </w:r>
    </w:p>
    <w:p w14:paraId="5004CF01" w14:textId="77777777" w:rsidR="0057110D" w:rsidRPr="009E23A6" w:rsidRDefault="0057110D" w:rsidP="00F4761B">
      <w:pPr>
        <w:pStyle w:val="Nadpis3"/>
      </w:pPr>
      <w:bookmarkStart w:id="110" w:name="_Toc112061729"/>
      <w:bookmarkStart w:id="111" w:name="_Toc112061835"/>
      <w:bookmarkStart w:id="112" w:name="_Toc115938927"/>
      <w:r w:rsidRPr="009E23A6">
        <w:t>Interim evaluace</w:t>
      </w:r>
      <w:bookmarkEnd w:id="110"/>
      <w:bookmarkEnd w:id="111"/>
      <w:bookmarkEnd w:id="112"/>
      <w:r w:rsidRPr="009E23A6">
        <w:t xml:space="preserve"> </w:t>
      </w:r>
    </w:p>
    <w:p w14:paraId="63864303" w14:textId="4FA3A1C0" w:rsidR="0057110D" w:rsidRPr="009E23A6" w:rsidRDefault="0057110D" w:rsidP="00F4761B">
      <w:r w:rsidRPr="009E23A6">
        <w:t>Poskytovatel, příp. ve spolupráci s externím subjektem (v polovině doby trvání Programu</w:t>
      </w:r>
      <w:r w:rsidR="009F7DF4" w:rsidRPr="009E23A6">
        <w:t xml:space="preserve">, </w:t>
      </w:r>
      <w:r w:rsidR="00BC6F33" w:rsidRPr="009E23A6">
        <w:t>tj.</w:t>
      </w:r>
      <w:r w:rsidR="00DC4A05" w:rsidRPr="009E23A6">
        <w:t> </w:t>
      </w:r>
      <w:r w:rsidR="00BC6F33" w:rsidRPr="009E23A6">
        <w:t>v roce 2026</w:t>
      </w:r>
      <w:r w:rsidRPr="009E23A6">
        <w:t>; dále</w:t>
      </w:r>
      <w:r w:rsidR="00370998" w:rsidRPr="009E23A6">
        <w:t> </w:t>
      </w:r>
      <w:r w:rsidRPr="009E23A6">
        <w:t>v případě potřeby) provádí syntézu poznatků provedeného monitoringu, zjišťuje stav naplňování cílů Programu, soulad implementace Programu s jeho intervenční logikou a provádí oponenturu zjištěného stavu a doporučení k úpravám Programu.</w:t>
      </w:r>
    </w:p>
    <w:p w14:paraId="30C5A847" w14:textId="27A025C8" w:rsidR="0057110D" w:rsidRPr="009E23A6" w:rsidRDefault="0057110D" w:rsidP="00F4761B">
      <w:pPr>
        <w:pStyle w:val="Nadpis3"/>
      </w:pPr>
      <w:bookmarkStart w:id="113" w:name="_Toc112061730"/>
      <w:bookmarkStart w:id="114" w:name="_Toc112061836"/>
      <w:bookmarkStart w:id="115" w:name="_Toc115938928"/>
      <w:r w:rsidRPr="009E23A6">
        <w:t>Ex</w:t>
      </w:r>
      <w:r w:rsidR="001175E5" w:rsidRPr="009E23A6">
        <w:t>-</w:t>
      </w:r>
      <w:r w:rsidRPr="009E23A6">
        <w:t>post evaluace</w:t>
      </w:r>
      <w:bookmarkEnd w:id="113"/>
      <w:bookmarkEnd w:id="114"/>
      <w:bookmarkEnd w:id="115"/>
      <w:r w:rsidRPr="009E23A6">
        <w:t xml:space="preserve"> </w:t>
      </w:r>
    </w:p>
    <w:p w14:paraId="29D56BA2" w14:textId="228420C2" w:rsidR="0057110D" w:rsidRPr="009E23A6" w:rsidRDefault="0057110D" w:rsidP="00F4761B">
      <w:r w:rsidRPr="009E23A6">
        <w:t>Externí subjekt za součinnosti poskytovatele (Ex</w:t>
      </w:r>
      <w:r w:rsidR="001175E5" w:rsidRPr="009E23A6">
        <w:t>-</w:t>
      </w:r>
      <w:r w:rsidRPr="009E23A6">
        <w:t>post) provádí syntézu a analýzu všech realizovaných aktivit a výsledků a dopadů Programu. Dále provádí vyhodnocení naplnění cílů Programu a východisek k navazujícím programům.</w:t>
      </w:r>
      <w:r w:rsidR="00913FF3" w:rsidRPr="009E23A6">
        <w:t xml:space="preserve"> Ex</w:t>
      </w:r>
      <w:r w:rsidR="001175E5" w:rsidRPr="009E23A6">
        <w:t>-</w:t>
      </w:r>
      <w:r w:rsidR="00913FF3" w:rsidRPr="009E23A6">
        <w:t>post evaluace realiz</w:t>
      </w:r>
      <w:r w:rsidR="001A6EEF" w:rsidRPr="009E23A6">
        <w:t>a</w:t>
      </w:r>
      <w:r w:rsidR="00913FF3" w:rsidRPr="009E23A6">
        <w:t>ce a plnění cílů Progra</w:t>
      </w:r>
      <w:r w:rsidR="0060736F" w:rsidRPr="009E23A6">
        <w:t>mu bude provedena v roce 203</w:t>
      </w:r>
      <w:r w:rsidR="00DC4A05" w:rsidRPr="009E23A6">
        <w:t>3</w:t>
      </w:r>
      <w:r w:rsidR="0060736F" w:rsidRPr="009E23A6">
        <w:t>.</w:t>
      </w:r>
    </w:p>
    <w:p w14:paraId="7B8EF665" w14:textId="0B3A29C7" w:rsidR="0057110D" w:rsidRPr="009E23A6" w:rsidRDefault="0057110D" w:rsidP="00F4761B">
      <w:r w:rsidRPr="009E23A6">
        <w:lastRenderedPageBreak/>
        <w:t>Interim evaluace a Ex</w:t>
      </w:r>
      <w:r w:rsidR="001175E5" w:rsidRPr="009E23A6">
        <w:t>-</w:t>
      </w:r>
      <w:r w:rsidRPr="009E23A6">
        <w:t>post evaluace jsou mechanismy, které sumarizaci dat za příslušné období doplňují o vyhodnocení plnění kvalitativních indikátorů efektu intervence a o konfrontaci se všemi danými náležitostmi Programu, především s jeho cíli a intervenční logikou.</w:t>
      </w:r>
    </w:p>
    <w:p w14:paraId="368F8B03" w14:textId="77777777" w:rsidR="0057110D" w:rsidRPr="009E23A6" w:rsidRDefault="0057110D" w:rsidP="00F4761B">
      <w:r w:rsidRPr="009E23A6">
        <w:t>Poskytovatel využije dat monitoringu k řízení Programu a doporučení vzešlá z Interim evaluací, pak také k nezbytným úpravám v zájmu maximalizace přínosů a naplnění cílů Programu.</w:t>
      </w:r>
    </w:p>
    <w:p w14:paraId="3BD4B18E" w14:textId="679A14F3" w:rsidR="0057110D" w:rsidRPr="009E23A6" w:rsidRDefault="0057110D" w:rsidP="00F4761B">
      <w:r w:rsidRPr="009E23A6">
        <w:t>Datovou základnou pro všechny představené nástroje hodnocení Programu bude IS VaVaI (všechny moduly), příslušné databáze jednotlivých druhů očekávaných forem výsledků (Web of Science aj.), interní databáze a archivy poskytovatele, eventuálně vhodně zvolené metody sběru nových dat (dotazníková šetření v různých skupinách zainteresovaných respondentů apod.).</w:t>
      </w:r>
    </w:p>
    <w:p w14:paraId="51E66BE5" w14:textId="20C31BAE" w:rsidR="00E42633" w:rsidRPr="00AD3FEC" w:rsidRDefault="00E42633" w:rsidP="00F4761B">
      <w:pPr>
        <w:pStyle w:val="Nadpis3"/>
      </w:pPr>
      <w:bookmarkStart w:id="116" w:name="_Toc115938929"/>
      <w:r w:rsidRPr="00AD3FEC">
        <w:t xml:space="preserve">Očekávané </w:t>
      </w:r>
      <w:r w:rsidR="00622941" w:rsidRPr="00AD3FEC">
        <w:t xml:space="preserve">přínosy a </w:t>
      </w:r>
      <w:r w:rsidRPr="00AD3FEC">
        <w:t>dopady</w:t>
      </w:r>
      <w:bookmarkEnd w:id="116"/>
    </w:p>
    <w:p w14:paraId="0FC61BB7" w14:textId="0EAB3ABF" w:rsidR="00E42633" w:rsidRPr="00AD3FEC" w:rsidRDefault="00E42633" w:rsidP="00F4761B">
      <w:r w:rsidRPr="00AD3FEC">
        <w:t>Hodnocení dopadů Programu se bude zabývat odhalením přínosů a dopadů Programu a všech jeho intervencí v období implementace, tzn. v rozsahu 3-5 let od ukončení Programu. Smyslem bude odhalit očekávané i neplánované přínosy a dopady u podpořených subjektů i v ekonomice jako celku. Vzhledem k charakteru a velikosti Programu lze předpokládat užití širokého spektra aplikovaných metod a analýz včetně ekonometrických přístupů.</w:t>
      </w:r>
    </w:p>
    <w:p w14:paraId="7475CB5C" w14:textId="47460B99" w:rsidR="0031373D" w:rsidRPr="00AD3FEC" w:rsidRDefault="0031373D" w:rsidP="00AF4D16">
      <w:pPr>
        <w:pStyle w:val="Nadpis4"/>
        <w:numPr>
          <w:ilvl w:val="0"/>
          <w:numId w:val="24"/>
        </w:numPr>
      </w:pPr>
      <w:r w:rsidRPr="00AD3FEC">
        <w:t>Využití výsledků Programu</w:t>
      </w:r>
    </w:p>
    <w:p w14:paraId="660784CD" w14:textId="0DB665C3" w:rsidR="0031373D" w:rsidRPr="00AD3FEC" w:rsidRDefault="0031373D" w:rsidP="00F4761B">
      <w:r w:rsidRPr="00AD3FEC">
        <w:t xml:space="preserve">Výsledky, dosažené v průběhu programu budou mít pozitivní společenské dopady. Jedná se zejména o inovativní postupy přímo aplikovatelné v praxi. </w:t>
      </w:r>
      <w:r w:rsidR="007F793C" w:rsidRPr="00AD3FEC">
        <w:t xml:space="preserve">Program podpoří rozvoj podniků efektivním transferem a realizací nových výzkumných poznatků, které povedou k posílení jejich konkurenceschopnosti </w:t>
      </w:r>
      <w:r w:rsidRPr="00AD3FEC">
        <w:t>a efektivity výroby. Cílem je produkce s vyšší přidanou hodnotou a nižšími negativními dopady. Velký důraz je kladen na nové perspektivní oblasti jako jsou nanotechnologie, biotechnologie, práce s velkými daty, strojové učení, robotizace, dálkový průzkum země, internet věcí, moderní způsoby řízení apod.</w:t>
      </w:r>
    </w:p>
    <w:p w14:paraId="497E9A64" w14:textId="2604D494" w:rsidR="0031373D" w:rsidRPr="00AD3FEC" w:rsidRDefault="0031373D" w:rsidP="00AF4D16">
      <w:pPr>
        <w:pStyle w:val="Nadpis4"/>
        <w:numPr>
          <w:ilvl w:val="0"/>
          <w:numId w:val="24"/>
        </w:numPr>
      </w:pPr>
      <w:r w:rsidRPr="00AD3FEC">
        <w:t>Ekonomická analýza</w:t>
      </w:r>
    </w:p>
    <w:p w14:paraId="184B6F88" w14:textId="486C3533" w:rsidR="00E122A9" w:rsidRPr="00AD3FEC" w:rsidRDefault="0031373D" w:rsidP="00AF4D16">
      <w:r w:rsidRPr="00AD3FEC">
        <w:t xml:space="preserve">Hlavními příjemci jsou výzkumné organizace. Podniky jsou v roli dalšího účastníka. Sledování konkrétních ekonomických dopadů není z tohoto důvodu v rámci Programu prováděno. </w:t>
      </w:r>
      <w:r w:rsidR="00E122A9" w:rsidRPr="00AD3FEC">
        <w:br w:type="page"/>
      </w:r>
    </w:p>
    <w:p w14:paraId="2ABBEC63" w14:textId="4D1A1D6F" w:rsidR="0031373D" w:rsidRPr="00AD3FEC" w:rsidRDefault="0031373D" w:rsidP="00AF4D16">
      <w:pPr>
        <w:pStyle w:val="Nadpis4"/>
        <w:numPr>
          <w:ilvl w:val="0"/>
          <w:numId w:val="24"/>
        </w:numPr>
      </w:pPr>
      <w:r w:rsidRPr="00AD3FEC">
        <w:lastRenderedPageBreak/>
        <w:t>Dopady programu na příjemce</w:t>
      </w:r>
    </w:p>
    <w:p w14:paraId="06685182" w14:textId="2C174CE0" w:rsidR="0031373D" w:rsidRPr="00AD3FEC" w:rsidRDefault="0031373D" w:rsidP="00F4761B">
      <w:r w:rsidRPr="00AD3FEC">
        <w:t>Příjemci Programu jsou výzkumné organizace. Cílem tohoto programu je rozšíření a</w:t>
      </w:r>
      <w:r w:rsidR="00E122A9" w:rsidRPr="00AD3FEC">
        <w:t> </w:t>
      </w:r>
      <w:r w:rsidRPr="00AD3FEC">
        <w:t>prohloubení vazeb mezi výzkumnými organizacemi a podniky. Formou této spolupráce je provádění výzkumu s následnou aplikací výsledků v praxi, poradenství, školení a publikační činnost.  Program usiluje o vznik nových vazeb mezi výzkumnými organizacemi a podniky, rozšíření portfolia výzkumných činností i objemu přenesených informací. V konečném důsledku těchto činností dojde ke zvýšení počtu zavedených inovací do praxe s reálnými ekonomickými dopady.</w:t>
      </w:r>
    </w:p>
    <w:p w14:paraId="6B0B9CE6" w14:textId="5535A519" w:rsidR="0031373D" w:rsidRPr="00AD3FEC" w:rsidRDefault="0031373D" w:rsidP="00AF4D16">
      <w:pPr>
        <w:pStyle w:val="Nadpis4"/>
        <w:numPr>
          <w:ilvl w:val="0"/>
          <w:numId w:val="24"/>
        </w:numPr>
      </w:pPr>
      <w:r w:rsidRPr="00AD3FEC">
        <w:t>Širší celospolečenské dopady</w:t>
      </w:r>
    </w:p>
    <w:p w14:paraId="378F17FE" w14:textId="77777777" w:rsidR="0031373D" w:rsidRPr="00AD3FEC" w:rsidRDefault="0031373D" w:rsidP="00F4761B">
      <w:r w:rsidRPr="00AD3FEC">
        <w:t xml:space="preserve">Program reaguje svým nastavením a cíli na aktuální celospolečenská témata: </w:t>
      </w:r>
    </w:p>
    <w:p w14:paraId="07984F9B" w14:textId="0EFE7953" w:rsidR="0031373D" w:rsidRPr="00AD3FEC" w:rsidRDefault="0031373D" w:rsidP="00AF4D16">
      <w:pPr>
        <w:pStyle w:val="Odstavecseseznamem"/>
        <w:numPr>
          <w:ilvl w:val="0"/>
          <w:numId w:val="25"/>
        </w:numPr>
      </w:pPr>
      <w:r w:rsidRPr="00AD3FEC">
        <w:rPr>
          <w:i/>
          <w:iCs/>
        </w:rPr>
        <w:t>Ochrana přírodních zdrojů a životního prostředí</w:t>
      </w:r>
      <w:r w:rsidRPr="00AD3FEC">
        <w:t>: Zodpovědnější využívání půdy a vody, snaha o biologickou rozmanitost, řešení dopadů klimatických změn, snižování emisí skleníkových plynů a využívání obnovitelných zdrojů.</w:t>
      </w:r>
    </w:p>
    <w:p w14:paraId="7932A919" w14:textId="64E74BA3" w:rsidR="0031373D" w:rsidRPr="00AD3FEC" w:rsidRDefault="0031373D" w:rsidP="00AF4D16">
      <w:pPr>
        <w:pStyle w:val="Odstavecseseznamem"/>
        <w:numPr>
          <w:ilvl w:val="0"/>
          <w:numId w:val="25"/>
        </w:numPr>
      </w:pPr>
      <w:r w:rsidRPr="00AD3FEC">
        <w:rPr>
          <w:i/>
          <w:iCs/>
        </w:rPr>
        <w:t>Technologický pokrok</w:t>
      </w:r>
      <w:r w:rsidRPr="00AD3FEC">
        <w:t>: Podpora digitalizace na všech úrovních podnikání a výkonu veřejné správy. Inovace v oblasti informačních systémů, výměny dat, řízení, plánování, komunikace a vykazování. Práce s prostorovými daty, využití robotizace a automatizace. Jedná se o oblast precizního zemědělství a smart zemědělství.</w:t>
      </w:r>
    </w:p>
    <w:p w14:paraId="278E2257" w14:textId="2FAACA15" w:rsidR="0031373D" w:rsidRPr="00AD3FEC" w:rsidRDefault="0031373D" w:rsidP="00AF4D16">
      <w:pPr>
        <w:pStyle w:val="Odstavecseseznamem"/>
        <w:numPr>
          <w:ilvl w:val="0"/>
          <w:numId w:val="25"/>
        </w:numPr>
      </w:pPr>
      <w:r w:rsidRPr="00AD3FEC">
        <w:rPr>
          <w:i/>
          <w:iCs/>
        </w:rPr>
        <w:t>Zdravé potraviny:</w:t>
      </w:r>
      <w:r w:rsidRPr="00AD3FEC">
        <w:t xml:space="preserve"> Zajištění bezpečných a nutričně plnohodnotných potravin v</w:t>
      </w:r>
      <w:r w:rsidR="00E122A9" w:rsidRPr="00AD3FEC">
        <w:t> </w:t>
      </w:r>
      <w:r w:rsidRPr="00AD3FEC">
        <w:t>dostatečném množství s podporou lokální produkce a boj proti plýtvání.</w:t>
      </w:r>
    </w:p>
    <w:p w14:paraId="12C819A2" w14:textId="1CF321F9" w:rsidR="0031373D" w:rsidRPr="00AD3FEC" w:rsidRDefault="0031373D" w:rsidP="00AF4D16">
      <w:pPr>
        <w:pStyle w:val="Odstavecseseznamem"/>
        <w:numPr>
          <w:ilvl w:val="0"/>
          <w:numId w:val="25"/>
        </w:numPr>
      </w:pPr>
      <w:r w:rsidRPr="00AD3FEC">
        <w:rPr>
          <w:i/>
          <w:iCs/>
        </w:rPr>
        <w:t>Ekonomický výkon</w:t>
      </w:r>
      <w:r w:rsidR="00D47792" w:rsidRPr="00AD3FEC">
        <w:rPr>
          <w:i/>
          <w:iCs/>
        </w:rPr>
        <w:t>, konkurenceschopnost</w:t>
      </w:r>
      <w:r w:rsidRPr="00AD3FEC">
        <w:rPr>
          <w:i/>
          <w:iCs/>
        </w:rPr>
        <w:t xml:space="preserve"> a stabilita</w:t>
      </w:r>
      <w:r w:rsidRPr="00AD3FEC">
        <w:t xml:space="preserve">: Zajištění trvale udržitelné produkce surovin za dostupné ceny v systému, který klade důraz na producenty i odběratele.    </w:t>
      </w:r>
    </w:p>
    <w:p w14:paraId="59F97CEA" w14:textId="56CFCDEE" w:rsidR="0031373D" w:rsidRPr="00AD3FEC" w:rsidRDefault="0031373D" w:rsidP="00AF4D16">
      <w:pPr>
        <w:pStyle w:val="Odstavecseseznamem"/>
        <w:numPr>
          <w:ilvl w:val="0"/>
          <w:numId w:val="25"/>
        </w:numPr>
      </w:pPr>
      <w:r w:rsidRPr="00AD3FEC">
        <w:rPr>
          <w:i/>
          <w:iCs/>
        </w:rPr>
        <w:t>Člověk a krajina</w:t>
      </w:r>
      <w:r w:rsidRPr="00AD3FEC">
        <w:t>: Nové postupy pro lesní hospodářství, mitigace dopadů klimatických změn, řešení invazních živočichů a rostlin, podpora environmentální a sociální funkce krajiny, krajinné plánování, sociální aspekty zemědělské činnosti apod.</w:t>
      </w:r>
    </w:p>
    <w:p w14:paraId="69AC68A7" w14:textId="77777777" w:rsidR="0057110D" w:rsidRPr="009E23A6" w:rsidRDefault="0057110D" w:rsidP="00F4761B">
      <w:pPr>
        <w:pStyle w:val="Nadpis1"/>
        <w:spacing w:line="360" w:lineRule="auto"/>
      </w:pPr>
      <w:bookmarkStart w:id="117" w:name="_Toc112061731"/>
      <w:bookmarkStart w:id="118" w:name="_Toc115938930"/>
      <w:r w:rsidRPr="009E23A6">
        <w:t>Kritéria splnění cílů Programu</w:t>
      </w:r>
      <w:bookmarkEnd w:id="117"/>
      <w:bookmarkEnd w:id="118"/>
    </w:p>
    <w:p w14:paraId="1637C73B" w14:textId="1E044385" w:rsidR="0057110D" w:rsidRPr="009E23A6" w:rsidRDefault="0057110D" w:rsidP="00F4761B">
      <w:r w:rsidRPr="009E23A6">
        <w:t xml:space="preserve">Na základě cílů Programu (kap. </w:t>
      </w:r>
      <w:r w:rsidR="00FD0EC7" w:rsidRPr="009E23A6">
        <w:t>2</w:t>
      </w:r>
      <w:r w:rsidRPr="009E23A6">
        <w:t>.</w:t>
      </w:r>
      <w:r w:rsidR="00FD0EC7" w:rsidRPr="009E23A6">
        <w:t>5</w:t>
      </w:r>
      <w:r w:rsidRPr="009E23A6">
        <w:t>) a Interim hodnocení Programu a dalších podkladů byla vytvořena indikátorová soustava Programu sloužící k potřebám monitoringu i Interim a Ex</w:t>
      </w:r>
      <w:r w:rsidR="001175E5" w:rsidRPr="009E23A6">
        <w:t>-</w:t>
      </w:r>
      <w:r w:rsidRPr="009E23A6">
        <w:t>post evaluace Programu. Byla navržena základní sada indikátorů plnění cílů (Tab. č. 7) s vazbou na jednotlivé přínosy a jimiž bude monitorován průběh Programu, jeho výkonnost a úspěšnost.</w:t>
      </w:r>
    </w:p>
    <w:p w14:paraId="74E2DFDF" w14:textId="23F409EF" w:rsidR="0057110D" w:rsidRPr="009E23A6" w:rsidRDefault="0057110D" w:rsidP="00F4761B">
      <w:r w:rsidRPr="009E23A6">
        <w:t>Dosažení cílů Programu bude vyhodnocováno v souladu s Metodikou hodnocení</w:t>
      </w:r>
      <w:r w:rsidRPr="009E23A6">
        <w:rPr>
          <w:i/>
        </w:rPr>
        <w:t xml:space="preserve"> </w:t>
      </w:r>
      <w:r w:rsidRPr="009E23A6">
        <w:t xml:space="preserve">výzkumných organizací a hodnocení programů účelové podpory výzkumu, vývoje a inovací, platnou v době hodnocení Programu na základě souboru indikátorů určených pro monitorování průběhu </w:t>
      </w:r>
      <w:r w:rsidRPr="009E23A6">
        <w:lastRenderedPageBreak/>
        <w:t>plnění Programu a hodnocení jeho celkové výkonnosti a úspěšnosti, případně dalšími podmínkami.</w:t>
      </w:r>
    </w:p>
    <w:p w14:paraId="23388F79" w14:textId="64100E7F" w:rsidR="002E5776" w:rsidRPr="00AD3FEC" w:rsidRDefault="00C83BA6" w:rsidP="00514B5A">
      <w:pPr>
        <w:pStyle w:val="Nadpis1"/>
      </w:pPr>
      <w:bookmarkStart w:id="119" w:name="_Ref115348780"/>
      <w:bookmarkStart w:id="120" w:name="_Toc115938931"/>
      <w:r w:rsidRPr="00AD3FEC">
        <w:t>Analýza rizik</w:t>
      </w:r>
      <w:bookmarkEnd w:id="119"/>
      <w:bookmarkEnd w:id="120"/>
      <w:r w:rsidRPr="00AD3FEC">
        <w:t xml:space="preserve"> </w:t>
      </w:r>
    </w:p>
    <w:p w14:paraId="4BE4D2EC" w14:textId="77777777" w:rsidR="002E5776" w:rsidRPr="00AD3FEC" w:rsidRDefault="002E5776" w:rsidP="00514B5A">
      <w:pPr>
        <w:rPr>
          <w:rFonts w:eastAsia="Times New Roman" w:cs="Arial"/>
          <w:color w:val="000000"/>
        </w:rPr>
      </w:pPr>
      <w:r w:rsidRPr="00AD3FEC">
        <w:rPr>
          <w:rFonts w:eastAsia="Times New Roman" w:cs="Arial"/>
          <w:color w:val="000000"/>
        </w:rPr>
        <w:t>Během realizace Programu může dojít k situacím, které ohrozí plnění stanovených cílů. Na základě předchozích zkušeností poskytovatele rozdělujeme předpokládaná rizika do těchto kategorií:</w:t>
      </w:r>
    </w:p>
    <w:p w14:paraId="247C89E4" w14:textId="252424A0" w:rsidR="002E5776" w:rsidRPr="00AD3FEC" w:rsidRDefault="002E5776" w:rsidP="004126CA">
      <w:pPr>
        <w:rPr>
          <w:rFonts w:ascii="Times New Roman" w:eastAsia="Times New Roman" w:hAnsi="Times New Roman"/>
          <w:b/>
          <w:bCs/>
          <w:sz w:val="24"/>
        </w:rPr>
      </w:pPr>
      <w:r w:rsidRPr="00AD3FEC">
        <w:rPr>
          <w:b/>
          <w:bCs/>
        </w:rPr>
        <w:t>Ekonomická rizika příjemců podpory</w:t>
      </w:r>
    </w:p>
    <w:p w14:paraId="4374BA28" w14:textId="5BA5C672" w:rsidR="002E5776" w:rsidRPr="00AD3FEC" w:rsidRDefault="002E5776" w:rsidP="002E5776">
      <w:r w:rsidRPr="00AD3FEC">
        <w:t>Riziko neschopnost zajištění činnosti ze strany výzkumných organizací, podniků a nebo jiných spolupracujících subjektů, včetně neschopnosti vyplácet mzdu zaměstnancům, úpadku, insolvence nebo exekuce.</w:t>
      </w:r>
    </w:p>
    <w:p w14:paraId="25B99EAC" w14:textId="4B30E569" w:rsidR="002E5776" w:rsidRPr="00AD3FEC" w:rsidRDefault="002E5776" w:rsidP="002E5776">
      <w:r w:rsidRPr="00AD3FEC">
        <w:t>Pravděpodobnost je nízká a týká se zejména podniků. Dopad je nízký až zanedbatelný, ohrožen je vždy pouze jediný konkrétní projekt a poskytovatel má zkušenost s řešením takové situace.</w:t>
      </w:r>
    </w:p>
    <w:p w14:paraId="38A7307D" w14:textId="12AFFC69" w:rsidR="002E5776" w:rsidRPr="00AD3FEC" w:rsidRDefault="002E5776" w:rsidP="002E5776">
      <w:pPr>
        <w:rPr>
          <w:rFonts w:ascii="Times New Roman" w:hAnsi="Times New Roman"/>
          <w:sz w:val="24"/>
        </w:rPr>
      </w:pPr>
      <w:r w:rsidRPr="00AD3FEC">
        <w:t>S nízkou mírou pravděpodobnosti může nastat i scénář, ve kterém bude v důsledku nestability ekonomického systému (např. vyšší míry inflace, zhoršení podmínek v bankovním sektoru, problémů spojených se státním rozpočtem, daňovou politikou…) tato situace vyvolána u většího počtu subjektů současně. Taková situace je málo pravděpodobná, výzkumné organizace se pohybují díky institucionální podpoře ve stabilním ekonomickém prostředí.</w:t>
      </w:r>
    </w:p>
    <w:p w14:paraId="5DA78DD6" w14:textId="1CCB21DB" w:rsidR="002E5776" w:rsidRPr="00AD3FEC" w:rsidRDefault="002E5776" w:rsidP="002E5776">
      <w:r w:rsidRPr="00AD3FEC">
        <w:t>Jako preventivní opatření budeme sledovat vývoj hlavních ekonomických indikátorů, které mohou mít dopad na příjemce a podle toho reagovat případným nastavením limitů soutěže. Je také nutné udržovat kvalitní komunikaci mezi poskytovatelem, příjemcem a dalšími účastníky projektů a včas reagovat na vznikající potíže s financováním výzkumu. Nezbytným zdrojem informací jsou také ekonomické analýzy o situaci na finančních, pracovních a ostatních trzích. Dalším zdrojem pro včasné odhalení vznikajícího rizika je proces sestavování státního rozpočtu ohledně institucionální podpory výzkumných organizací a obecně politika financování výzkumu, vývoje a inovací. </w:t>
      </w:r>
    </w:p>
    <w:p w14:paraId="7FF938F6" w14:textId="77777777" w:rsidR="002E5776" w:rsidRPr="00AD3FEC" w:rsidRDefault="002E5776" w:rsidP="002E5776">
      <w:r w:rsidRPr="00AD3FEC">
        <w:t>V případě těchto událostí je nezbytné postupovat tak, aby nebyl výzkum znehodnocen a finanční prostředky nebyly vynaloženy neefektivně. Pokud již příjemce není schopen zajistit pokračování výzkumné činnosti až k dosažení cílů projektu, nemohou mu býti poskytnuty další prostředky. V takové situaci bude hledán způsob, jakým dokončit výzkum, například úpravou očekávaných výsledků. Další možností je nalezení alternativního subjektu, který bude schopen navázat na nedokončený výzkum. V těchto případech je nezbytné dodržovat veškeré právní předpisy.</w:t>
      </w:r>
    </w:p>
    <w:p w14:paraId="170B2217" w14:textId="77777777" w:rsidR="002E5776" w:rsidRPr="00AD3FEC" w:rsidRDefault="002E5776" w:rsidP="004126CA">
      <w:pPr>
        <w:rPr>
          <w:b/>
          <w:bCs/>
        </w:rPr>
      </w:pPr>
      <w:r w:rsidRPr="00AD3FEC">
        <w:rPr>
          <w:b/>
          <w:bCs/>
        </w:rPr>
        <w:lastRenderedPageBreak/>
        <w:t>Rizika poskytovatele</w:t>
      </w:r>
    </w:p>
    <w:p w14:paraId="069BBACF" w14:textId="52C70930" w:rsidR="002E5776" w:rsidRPr="00AD3FEC" w:rsidRDefault="002E5776" w:rsidP="002E5776">
      <w:r w:rsidRPr="00AD3FEC">
        <w:t>Trvalé ohrožení funkce a kapacity poskytovatele podpory v oblastech administrace veřejných soutěží, podpory projektů a kontrolních činností. Může být způsobeno snižováním rozpočtu, případně limitu pracovníků věcně příslušného odboru MZe. Dopad může být na kvalitu pracovníků, kvalitu a množství externích odborníků (oponentů) a technické zabezpečení programu a soutěží (informační systémy). </w:t>
      </w:r>
    </w:p>
    <w:p w14:paraId="663A5D28" w14:textId="321A7779" w:rsidR="002E5776" w:rsidRPr="00AD3FEC" w:rsidRDefault="002E5776" w:rsidP="002E5776">
      <w:pPr>
        <w:rPr>
          <w:rFonts w:ascii="Times New Roman" w:hAnsi="Times New Roman"/>
          <w:sz w:val="24"/>
        </w:rPr>
      </w:pPr>
      <w:r w:rsidRPr="00AD3FEC">
        <w:t>Preventivním opatřením pro zmírnění těchto rizik je personální politika věcně příslušného odboru MZe. Je nezbytné udržovat počty a odbornou kvalifikaci pracovníků. Budeme snižovat administrativní náročnost tak, aby zaměstnanci byli motivováni k odborné práci s uchazeči a příjemci podpory. Kapacity a odbornost bude udržována s ohledem na počet projektů, objem podpory a nutnost realizovat požadované činnosti v čase. </w:t>
      </w:r>
    </w:p>
    <w:p w14:paraId="6814A8DC" w14:textId="77777777" w:rsidR="002E5776" w:rsidRPr="00AD3FEC" w:rsidRDefault="002E5776" w:rsidP="002E5776">
      <w:pPr>
        <w:rPr>
          <w:rFonts w:ascii="Times New Roman" w:hAnsi="Times New Roman"/>
          <w:sz w:val="24"/>
        </w:rPr>
      </w:pPr>
      <w:r w:rsidRPr="00AD3FEC">
        <w:t>Další oblastí preventivních opatřeních je spolupráce s ostatními poskytovateli. Výměna a sdílení, postupů, informací a technologií může pomoci k vyšší kvalitě činností poskytovatele a snižováním nákladů na tuto činnost.  Budeme rozvíjet odborné vazby na další resorty v oblasti výzkumu. Budeme pokračovat ve spolupráci s Technologickou agenturou ČR, která vyvíjí a provozuje informační systém ISTA pro administraci veřejných soutěží v oblasti výzkumu, vývoje a inovací. Tato spolupráce je nezbytná pro průběh Programu a naplňování jeho cílů. </w:t>
      </w:r>
    </w:p>
    <w:p w14:paraId="7B9EFE3F" w14:textId="77777777" w:rsidR="002E5776" w:rsidRPr="00AD3FEC" w:rsidRDefault="002E5776" w:rsidP="004126CA">
      <w:pPr>
        <w:rPr>
          <w:b/>
          <w:bCs/>
        </w:rPr>
      </w:pPr>
      <w:r w:rsidRPr="00AD3FEC">
        <w:rPr>
          <w:b/>
          <w:bCs/>
        </w:rPr>
        <w:t>Riziko změny legislativy</w:t>
      </w:r>
    </w:p>
    <w:p w14:paraId="3BC2EECF" w14:textId="13BAD378" w:rsidR="002E5776" w:rsidRPr="00AD3FEC" w:rsidRDefault="002E5776" w:rsidP="002E5776">
      <w:r w:rsidRPr="00AD3FEC">
        <w:t>Legislativní změny vychází ze změny společenské nebo politické situace. Je nezbytné, aby v jejich důsledku nedošlo k narušení průběhu realizace projektů a ohrožení plnění cílů Programu. </w:t>
      </w:r>
    </w:p>
    <w:p w14:paraId="62C1AA7D" w14:textId="72DE2A42" w:rsidR="002E5776" w:rsidRPr="00AD3FEC" w:rsidRDefault="002E5776" w:rsidP="00D55C79">
      <w:r w:rsidRPr="00AD3FEC">
        <w:t>Jako preventivní opatření budeme nadále aktivně sledovat vývoj pravidel, zapojovat se do tvorby a připomínkování předpisů, které mají dopad na výzkum. S tím se pojí důležitost odborné kvalifikace a spolupráce, jak bylo popsáno výše. </w:t>
      </w:r>
    </w:p>
    <w:p w14:paraId="3AB65A2C" w14:textId="77777777" w:rsidR="002E5776" w:rsidRPr="00AD3FEC" w:rsidRDefault="002E5776" w:rsidP="004126CA">
      <w:pPr>
        <w:rPr>
          <w:b/>
          <w:bCs/>
        </w:rPr>
      </w:pPr>
      <w:r w:rsidRPr="00AD3FEC">
        <w:rPr>
          <w:b/>
          <w:bCs/>
        </w:rPr>
        <w:t>Riziko změny výzkumných priorit</w:t>
      </w:r>
    </w:p>
    <w:p w14:paraId="32E36FDC" w14:textId="6B4246F5" w:rsidR="002E5776" w:rsidRPr="00AD3FEC" w:rsidRDefault="002E5776" w:rsidP="00514B5A">
      <w:pPr>
        <w:rPr>
          <w:rFonts w:eastAsia="Times New Roman" w:cs="Arial"/>
        </w:rPr>
      </w:pPr>
      <w:r w:rsidRPr="00AD3FEC">
        <w:rPr>
          <w:rFonts w:eastAsia="Times New Roman" w:cs="Arial"/>
        </w:rPr>
        <w:t>Program reaguje na aktuální výzvy a potřeby v oblasti zemědělského výzkumu. V tomto ohledu hrozí, že tyto priority budou změněny v průběhu Programu.</w:t>
      </w:r>
    </w:p>
    <w:p w14:paraId="76CD24D6" w14:textId="31CB9B88" w:rsidR="002E5776" w:rsidRPr="00AD3FEC" w:rsidRDefault="002E5776" w:rsidP="00514B5A">
      <w:pPr>
        <w:rPr>
          <w:rFonts w:eastAsia="Times New Roman" w:cs="Arial"/>
        </w:rPr>
      </w:pPr>
      <w:r w:rsidRPr="00AD3FEC">
        <w:rPr>
          <w:rFonts w:eastAsia="Times New Roman" w:cs="Arial"/>
        </w:rPr>
        <w:t>Je vysoce pravděpodobné, že takové zpřesňování zemědělské politiky nastane.   Tato situace je běžná a v konečném důsledku přínosná. Program je koncipován tak, že každoročně vyhlašované veřejné soutěže mohou reagovat na dílčí změny výzkumných potřeb.</w:t>
      </w:r>
    </w:p>
    <w:p w14:paraId="370B28B8" w14:textId="77777777" w:rsidR="002E5776" w:rsidRPr="00AD3FEC" w:rsidRDefault="002E5776" w:rsidP="00514B5A">
      <w:pPr>
        <w:rPr>
          <w:rFonts w:ascii="Times New Roman" w:eastAsia="Times New Roman" w:hAnsi="Times New Roman"/>
          <w:sz w:val="24"/>
        </w:rPr>
      </w:pPr>
      <w:r w:rsidRPr="00AD3FEC">
        <w:rPr>
          <w:rFonts w:eastAsia="Times New Roman" w:cs="Arial"/>
        </w:rPr>
        <w:t>Preventivním opatřením je v této oblasti je informování a spolupráce s dalšími útvary uvnitř MZe, které mají vliv na formování a směřování politik a priorit výzkumu, spolupráce s externími subjekty, které pomáhají formulovat politiku výzkumu (profesní komory a svazy).</w:t>
      </w:r>
      <w:r w:rsidRPr="00AD3FEC">
        <w:rPr>
          <w:rFonts w:ascii="Times New Roman" w:eastAsia="Times New Roman" w:hAnsi="Times New Roman"/>
          <w:sz w:val="24"/>
        </w:rPr>
        <w:br/>
      </w:r>
    </w:p>
    <w:p w14:paraId="4225E1CD" w14:textId="77777777" w:rsidR="002E5776" w:rsidRPr="00AD3FEC" w:rsidRDefault="002E5776" w:rsidP="004126CA">
      <w:pPr>
        <w:rPr>
          <w:b/>
          <w:bCs/>
        </w:rPr>
      </w:pPr>
      <w:r w:rsidRPr="00AD3FEC">
        <w:rPr>
          <w:b/>
          <w:bCs/>
        </w:rPr>
        <w:lastRenderedPageBreak/>
        <w:t>Riziko překryvu témat a financování</w:t>
      </w:r>
    </w:p>
    <w:p w14:paraId="3787A0D4" w14:textId="5A2879AD" w:rsidR="002E5776" w:rsidRPr="00AD3FEC" w:rsidRDefault="002E5776" w:rsidP="002E5776">
      <w:r w:rsidRPr="00AD3FEC">
        <w:t>Vzhledem k zaměření Programu je pravděpodobné, že potenciální překryvy v tématech výzkumu budou s programem Prostředí pro život MŽP. </w:t>
      </w:r>
    </w:p>
    <w:p w14:paraId="35CF7995" w14:textId="61D3FA3B" w:rsidR="002E5776" w:rsidRPr="00AD3FEC" w:rsidRDefault="002E5776" w:rsidP="00514B5A">
      <w:pPr>
        <w:rPr>
          <w:rFonts w:ascii="Times New Roman" w:hAnsi="Times New Roman"/>
          <w:sz w:val="24"/>
        </w:rPr>
      </w:pPr>
      <w:r w:rsidRPr="00AD3FEC">
        <w:t>Preventivní a logické opatření je posílení spolupráce s ostatními resorty a zejména MŽP, při formulaci a plánování výzev, výzkumných potřeb a hodnocení navržených a realizovaných projektů.</w:t>
      </w:r>
    </w:p>
    <w:p w14:paraId="73782297" w14:textId="77777777" w:rsidR="002E5776" w:rsidRPr="00AD3FEC" w:rsidRDefault="002E5776" w:rsidP="004126CA">
      <w:pPr>
        <w:rPr>
          <w:b/>
          <w:bCs/>
        </w:rPr>
      </w:pPr>
      <w:r w:rsidRPr="00AD3FEC">
        <w:rPr>
          <w:b/>
          <w:bCs/>
        </w:rPr>
        <w:t>Riziko zneužití informací a kybernetických hrozeb</w:t>
      </w:r>
    </w:p>
    <w:p w14:paraId="78A10836" w14:textId="03121F44" w:rsidR="002E5776" w:rsidRPr="00AD3FEC" w:rsidRDefault="002E5776" w:rsidP="00514B5A">
      <w:pPr>
        <w:spacing w:after="0"/>
      </w:pPr>
      <w:r w:rsidRPr="00AD3FEC">
        <w:t>Riziko zahrnuje veškeré možné způsoby úniku dat, zneužití informací, poškození nebo blokování systémů, podvrhnutí podvodných informací, kódů a zneužití identit.</w:t>
      </w:r>
    </w:p>
    <w:p w14:paraId="239CD837" w14:textId="41FC7765" w:rsidR="002E5776" w:rsidRPr="00AD3FEC" w:rsidRDefault="002E5776" w:rsidP="00514B5A">
      <w:pPr>
        <w:spacing w:after="0"/>
      </w:pPr>
      <w:r w:rsidRPr="00AD3FEC">
        <w:t>V této oblasti věcně příslušný odbor výzkumu zcela podléhá jednotné bezpečnostní politice MZe a veřejné správy obecně. Na žádné úrovni ani v žádné situaci nevznikají v souvislosti s tvorbou a administrací Programu nové bezpečnostní politiky, role, infrastruktura nebo potřeba neobvyklého nebo nebezpečného nakládání s daty.</w:t>
      </w:r>
    </w:p>
    <w:p w14:paraId="34E8D129" w14:textId="50081BC3" w:rsidR="002E5776" w:rsidRPr="009E23A6" w:rsidRDefault="002E5776" w:rsidP="00D55C79">
      <w:pPr>
        <w:spacing w:after="0"/>
      </w:pPr>
      <w:r w:rsidRPr="00AD3FEC">
        <w:t>Předcházení, identifikaci a eliminaci rizik budou napomáhat zkušenosti poskytovatele s realizací obdobných programů. K lepší připravenosti na rizika bude sloužit důsledný monitoring a provádění průběžného hodnocení plnění cílů Programu.</w:t>
      </w:r>
    </w:p>
    <w:p w14:paraId="3EB36C1E" w14:textId="77777777" w:rsidR="0057110D" w:rsidRPr="009E23A6" w:rsidRDefault="0057110D" w:rsidP="00F4761B">
      <w:pPr>
        <w:pStyle w:val="Nadpis1"/>
        <w:spacing w:line="360" w:lineRule="auto"/>
        <w:rPr>
          <w:szCs w:val="32"/>
        </w:rPr>
      </w:pPr>
      <w:bookmarkStart w:id="121" w:name="_Toc112061732"/>
      <w:bookmarkStart w:id="122" w:name="_Toc115938932"/>
      <w:r w:rsidRPr="009E23A6">
        <w:rPr>
          <w:szCs w:val="32"/>
        </w:rPr>
        <w:t>Srovnání se zahraničím</w:t>
      </w:r>
      <w:bookmarkEnd w:id="121"/>
      <w:bookmarkEnd w:id="122"/>
    </w:p>
    <w:p w14:paraId="0447895A" w14:textId="0277EFFB" w:rsidR="0057110D" w:rsidRPr="009E23A6" w:rsidRDefault="0057110D" w:rsidP="00F4761B">
      <w:r w:rsidRPr="009E23A6">
        <w:t xml:space="preserve">Program Země II vychází a je plně kompatibilní s Koncepcí </w:t>
      </w:r>
      <w:r w:rsidR="00E37E61" w:rsidRPr="009E23A6">
        <w:t>VaVaI</w:t>
      </w:r>
      <w:r w:rsidRPr="009E23A6">
        <w:t xml:space="preserve"> MZe 2023+. Oba tyto strategické dokumenty jsou srovnávány se základním dokumentem na evropské úrovni</w:t>
      </w:r>
      <w:r w:rsidR="00F8712A" w:rsidRPr="009E23A6">
        <w:t>,</w:t>
      </w:r>
      <w:r w:rsidRPr="009E23A6">
        <w:t xml:space="preserve"> a to je program </w:t>
      </w:r>
      <w:r w:rsidRPr="009E23A6">
        <w:rPr>
          <w:i/>
          <w:iCs/>
        </w:rPr>
        <w:t>Horizon</w:t>
      </w:r>
      <w:r w:rsidR="006F3EB6" w:rsidRPr="009E23A6">
        <w:rPr>
          <w:i/>
          <w:iCs/>
        </w:rPr>
        <w:t>t</w:t>
      </w:r>
      <w:r w:rsidRPr="009E23A6">
        <w:rPr>
          <w:i/>
          <w:iCs/>
        </w:rPr>
        <w:t xml:space="preserve"> E</w:t>
      </w:r>
      <w:r w:rsidR="006F3EB6" w:rsidRPr="009E23A6">
        <w:rPr>
          <w:i/>
          <w:iCs/>
        </w:rPr>
        <w:t>vropa</w:t>
      </w:r>
      <w:r w:rsidRPr="009E23A6">
        <w:t>.</w:t>
      </w:r>
    </w:p>
    <w:p w14:paraId="476CFBFD" w14:textId="5A51412A" w:rsidR="0057110D" w:rsidRPr="009E23A6" w:rsidRDefault="0057110D" w:rsidP="00F4761B">
      <w:r w:rsidRPr="009E23A6">
        <w:t xml:space="preserve">Ve strategickém plánu </w:t>
      </w:r>
      <w:r w:rsidR="001175E5" w:rsidRPr="009E23A6">
        <w:rPr>
          <w:i/>
          <w:iCs/>
        </w:rPr>
        <w:t>Horizon</w:t>
      </w:r>
      <w:r w:rsidR="006F3EB6" w:rsidRPr="009E23A6">
        <w:rPr>
          <w:i/>
          <w:iCs/>
        </w:rPr>
        <w:t>t</w:t>
      </w:r>
      <w:r w:rsidR="001175E5" w:rsidRPr="009E23A6">
        <w:rPr>
          <w:i/>
          <w:iCs/>
        </w:rPr>
        <w:t xml:space="preserve"> E</w:t>
      </w:r>
      <w:r w:rsidR="006F3EB6" w:rsidRPr="009E23A6">
        <w:rPr>
          <w:i/>
          <w:iCs/>
        </w:rPr>
        <w:t>vropa</w:t>
      </w:r>
      <w:r w:rsidR="001175E5" w:rsidRPr="009E23A6" w:rsidDel="001175E5">
        <w:t xml:space="preserve"> </w:t>
      </w:r>
      <w:r w:rsidRPr="009E23A6">
        <w:t>2021-2024 jsou definovány klíčové strategické směry, kterými jsou:</w:t>
      </w:r>
    </w:p>
    <w:p w14:paraId="3B0BFEE3" w14:textId="77777777" w:rsidR="0057110D" w:rsidRPr="009E23A6" w:rsidRDefault="0057110D" w:rsidP="00F4761B">
      <w:pPr>
        <w:pStyle w:val="Odstavecseseznamem"/>
        <w:numPr>
          <w:ilvl w:val="0"/>
          <w:numId w:val="4"/>
        </w:numPr>
      </w:pPr>
      <w:r w:rsidRPr="009E23A6">
        <w:t>digitální a nově vznikající technologie,</w:t>
      </w:r>
    </w:p>
    <w:p w14:paraId="563E2C78" w14:textId="77777777" w:rsidR="0057110D" w:rsidRPr="009E23A6" w:rsidRDefault="0057110D" w:rsidP="00F4761B">
      <w:pPr>
        <w:pStyle w:val="Odstavecseseznamem"/>
        <w:numPr>
          <w:ilvl w:val="0"/>
          <w:numId w:val="4"/>
        </w:numPr>
      </w:pPr>
      <w:r w:rsidRPr="009E23A6">
        <w:t>obnova evropských ekosystémů a biodiverzity, udržitelné řízení přírodních zdrojů,</w:t>
      </w:r>
    </w:p>
    <w:p w14:paraId="2A3CE7EA" w14:textId="77777777" w:rsidR="0057110D" w:rsidRPr="009E23A6" w:rsidRDefault="0057110D" w:rsidP="00F4761B">
      <w:pPr>
        <w:pStyle w:val="Odstavecseseznamem"/>
        <w:numPr>
          <w:ilvl w:val="0"/>
          <w:numId w:val="4"/>
        </w:numPr>
      </w:pPr>
      <w:r w:rsidRPr="009E23A6">
        <w:t>cirkulární, klimaticky neutrální a udržitelná ekonomika,</w:t>
      </w:r>
    </w:p>
    <w:p w14:paraId="7D99BA32" w14:textId="77777777" w:rsidR="0057110D" w:rsidRPr="009E23A6" w:rsidRDefault="0057110D" w:rsidP="00F4761B">
      <w:pPr>
        <w:pStyle w:val="Odstavecseseznamem"/>
        <w:numPr>
          <w:ilvl w:val="0"/>
          <w:numId w:val="4"/>
        </w:numPr>
      </w:pPr>
      <w:r w:rsidRPr="009E23A6">
        <w:t>odolná, inkluzivní a demokratická společnost.</w:t>
      </w:r>
    </w:p>
    <w:p w14:paraId="0D89073B" w14:textId="3B9193D3" w:rsidR="0057110D" w:rsidRPr="009E23A6" w:rsidRDefault="0057110D" w:rsidP="00F4761B">
      <w:r w:rsidRPr="009E23A6">
        <w:t>Detailnější srovnání s </w:t>
      </w:r>
      <w:r w:rsidR="001175E5" w:rsidRPr="009E23A6">
        <w:rPr>
          <w:i/>
          <w:iCs/>
        </w:rPr>
        <w:t>Horizon</w:t>
      </w:r>
      <w:r w:rsidR="006F3EB6" w:rsidRPr="009E23A6">
        <w:rPr>
          <w:i/>
          <w:iCs/>
        </w:rPr>
        <w:t>t</w:t>
      </w:r>
      <w:r w:rsidR="001175E5" w:rsidRPr="009E23A6">
        <w:rPr>
          <w:i/>
          <w:iCs/>
        </w:rPr>
        <w:t xml:space="preserve"> E</w:t>
      </w:r>
      <w:r w:rsidR="006F3EB6" w:rsidRPr="009E23A6">
        <w:rPr>
          <w:i/>
          <w:iCs/>
        </w:rPr>
        <w:t>vropa</w:t>
      </w:r>
      <w:r w:rsidRPr="009E23A6">
        <w:t xml:space="preserve"> je především se druhým pilířem, který je tvořen šesti klastry a resortu zemědělství je nejbližší klastr VI. s názvem Potraviny, </w:t>
      </w:r>
      <w:r w:rsidR="001175E5" w:rsidRPr="009E23A6">
        <w:t>B</w:t>
      </w:r>
      <w:r w:rsidRPr="009E23A6">
        <w:t xml:space="preserve">ioekonomika, </w:t>
      </w:r>
      <w:r w:rsidR="001175E5" w:rsidRPr="009E23A6">
        <w:t>P</w:t>
      </w:r>
      <w:r w:rsidRPr="009E23A6">
        <w:t xml:space="preserve">řírodní zdroje, </w:t>
      </w:r>
      <w:r w:rsidR="001175E5" w:rsidRPr="009E23A6">
        <w:t>Z</w:t>
      </w:r>
      <w:r w:rsidRPr="009E23A6">
        <w:t xml:space="preserve">emědělství a </w:t>
      </w:r>
      <w:r w:rsidR="001175E5" w:rsidRPr="009E23A6">
        <w:t>Ž</w:t>
      </w:r>
      <w:r w:rsidRPr="009E23A6">
        <w:t>ivotní prostředí. Tento klastr je dále členěn na několik klíčových směrů, které jsou z větší části reflektovány i v Programu.</w:t>
      </w:r>
    </w:p>
    <w:p w14:paraId="5CE707AC" w14:textId="44E31785" w:rsidR="0057110D" w:rsidRPr="009E23A6" w:rsidRDefault="0057110D" w:rsidP="00F4761B">
      <w:r w:rsidRPr="009E23A6">
        <w:lastRenderedPageBreak/>
        <w:t>První klíčový směr je Biodiverzita a ekosystémové služby a projekty, které v něm jsou či budou řešeny, mají zaměření na ochranu a obnovu biodiverzity a roli biodiverzity pro</w:t>
      </w:r>
      <w:r w:rsidR="00DD04EB" w:rsidRPr="009E23A6">
        <w:t> </w:t>
      </w:r>
      <w:r w:rsidRPr="009E23A6">
        <w:t>společnost a</w:t>
      </w:r>
      <w:r w:rsidR="001D0FA9" w:rsidRPr="009E23A6">
        <w:t> </w:t>
      </w:r>
      <w:r w:rsidRPr="009E23A6">
        <w:t>ekonomiku, zemědělské a lesnické hospodaření šetrné k biodiverzitě, biodiverzitu a zdraví.</w:t>
      </w:r>
    </w:p>
    <w:p w14:paraId="261E35E4" w14:textId="6C65835F" w:rsidR="0057110D" w:rsidRPr="009E23A6" w:rsidRDefault="0057110D" w:rsidP="00F4761B">
      <w:r w:rsidRPr="009E23A6">
        <w:t xml:space="preserve">Druhý klíčový směr je nazván </w:t>
      </w:r>
      <w:r w:rsidRPr="009E23A6">
        <w:rPr>
          <w:bCs/>
        </w:rPr>
        <w:t>Spravedlivé, zdravé a k životnímu prostředí šetrné potravinové systémy od prvovýroby až po spotřebu</w:t>
      </w:r>
      <w:r w:rsidRPr="009E23A6">
        <w:t xml:space="preserve"> a zahrnuje témata udržitelných systémů produkce v</w:t>
      </w:r>
      <w:r w:rsidR="001D0FA9" w:rsidRPr="009E23A6">
        <w:t> </w:t>
      </w:r>
      <w:r w:rsidRPr="009E23A6">
        <w:t>zemědělství a akvakultuře či udržitelné systémy produkce zdravých potravin.</w:t>
      </w:r>
    </w:p>
    <w:p w14:paraId="70062E96" w14:textId="77777777" w:rsidR="0057110D" w:rsidRPr="009E23A6" w:rsidRDefault="0057110D" w:rsidP="00F4761B">
      <w:r w:rsidRPr="009E23A6">
        <w:t xml:space="preserve">Třetím klíčovým směrem je Cirkulární ekonomika a bioekonomika. Tento směr předpokládá projekty zaměřené na přechod k cirkulární ekonomice, projekty zaměřené na průmyslové biotechnologie či projekty definující nové hodnotové řetězce v lesnictví. </w:t>
      </w:r>
    </w:p>
    <w:p w14:paraId="38362AA0" w14:textId="77777777" w:rsidR="0057110D" w:rsidRPr="009E23A6" w:rsidRDefault="0057110D" w:rsidP="00F4761B">
      <w:r w:rsidRPr="009E23A6">
        <w:t xml:space="preserve">Čtvrtým klíčovým směrem je Čisté životní prostředí a nulové znečištění zaměřené na snížení znečištění vody, půdy a vzduchu či snížení negativních dopadů a znečištění v systémech produkce potravin. </w:t>
      </w:r>
    </w:p>
    <w:p w14:paraId="110E18F7" w14:textId="73215F3C" w:rsidR="0057110D" w:rsidRPr="009E23A6" w:rsidRDefault="0057110D" w:rsidP="00F4761B">
      <w:r w:rsidRPr="009E23A6">
        <w:t xml:space="preserve">Pátým směrem je Půda, oceán a voda pro opatření v oblasti klimatu. Dále jde o téma Odolné, inkluzivní, zdravé a zelené venkovské, pobřežní a městské komunity. Poslední téma se věnuje </w:t>
      </w:r>
      <w:r w:rsidR="00DD04EB" w:rsidRPr="009E23A6">
        <w:t>politice – Inovativní</w:t>
      </w:r>
      <w:r w:rsidRPr="009E23A6">
        <w:t xml:space="preserve"> správa, environmentální monitoring a digitální řešení na podporu </w:t>
      </w:r>
      <w:r w:rsidRPr="009E23A6">
        <w:rPr>
          <w:i/>
          <w:iCs/>
        </w:rPr>
        <w:t>Zelené dohody</w:t>
      </w:r>
      <w:r w:rsidR="00AF4D16" w:rsidRPr="009E23A6">
        <w:rPr>
          <w:i/>
          <w:iCs/>
        </w:rPr>
        <w:t xml:space="preserve"> pro Evropu</w:t>
      </w:r>
      <w:r w:rsidRPr="009E23A6">
        <w:t>.</w:t>
      </w:r>
    </w:p>
    <w:p w14:paraId="64E0713A" w14:textId="49957DE6" w:rsidR="0057110D" w:rsidRPr="009E23A6" w:rsidRDefault="0057110D" w:rsidP="00F4761B">
      <w:r w:rsidRPr="009E23A6">
        <w:t>Při srovnání jednotlivých klíčových směrů v klastru VI. lze konstatovat, že tři definované klíčové oblasti v</w:t>
      </w:r>
      <w:r w:rsidR="00E37E61" w:rsidRPr="009E23A6">
        <w:t> </w:t>
      </w:r>
      <w:r w:rsidRPr="009E23A6">
        <w:t>Programu</w:t>
      </w:r>
      <w:r w:rsidR="00E37E61" w:rsidRPr="009E23A6">
        <w:t xml:space="preserve"> -</w:t>
      </w:r>
      <w:r w:rsidRPr="009E23A6">
        <w:t xml:space="preserve"> Smart zemědělství, Bioekonomika a Globální změny v</w:t>
      </w:r>
      <w:r w:rsidR="00032AE6" w:rsidRPr="009E23A6">
        <w:t> </w:t>
      </w:r>
      <w:r w:rsidRPr="009E23A6">
        <w:t>biosféře jsou plně kompatibilní s </w:t>
      </w:r>
      <w:r w:rsidR="001175E5" w:rsidRPr="009E23A6">
        <w:rPr>
          <w:i/>
          <w:iCs/>
        </w:rPr>
        <w:t>Horizon</w:t>
      </w:r>
      <w:r w:rsidR="006F3EB6" w:rsidRPr="009E23A6">
        <w:rPr>
          <w:i/>
          <w:iCs/>
        </w:rPr>
        <w:t>t</w:t>
      </w:r>
      <w:r w:rsidR="001175E5" w:rsidRPr="009E23A6">
        <w:rPr>
          <w:i/>
          <w:iCs/>
        </w:rPr>
        <w:t xml:space="preserve"> E</w:t>
      </w:r>
      <w:r w:rsidR="006F3EB6" w:rsidRPr="009E23A6">
        <w:rPr>
          <w:i/>
          <w:iCs/>
        </w:rPr>
        <w:t>vropa</w:t>
      </w:r>
      <w:r w:rsidRPr="009E23A6">
        <w:t>. Stejně tak výzkumné směry Programu reflektují evropské trendy ve výzkumu při respektování národních priorit.</w:t>
      </w:r>
    </w:p>
    <w:p w14:paraId="1164B270" w14:textId="481925D1" w:rsidR="0057110D" w:rsidRPr="009E23A6" w:rsidRDefault="0057110D" w:rsidP="00F4761B">
      <w:r w:rsidRPr="009E23A6">
        <w:t xml:space="preserve">Novým prvkem v programu </w:t>
      </w:r>
      <w:r w:rsidR="001175E5" w:rsidRPr="009E23A6">
        <w:rPr>
          <w:i/>
          <w:iCs/>
        </w:rPr>
        <w:t>Horizon</w:t>
      </w:r>
      <w:r w:rsidR="006F3EB6" w:rsidRPr="009E23A6">
        <w:rPr>
          <w:i/>
          <w:iCs/>
        </w:rPr>
        <w:t>t</w:t>
      </w:r>
      <w:r w:rsidR="001175E5" w:rsidRPr="009E23A6">
        <w:rPr>
          <w:i/>
          <w:iCs/>
        </w:rPr>
        <w:t xml:space="preserve"> E</w:t>
      </w:r>
      <w:r w:rsidR="006F3EB6" w:rsidRPr="009E23A6">
        <w:rPr>
          <w:i/>
          <w:iCs/>
        </w:rPr>
        <w:t>vropa</w:t>
      </w:r>
      <w:r w:rsidRPr="009E23A6">
        <w:t xml:space="preserve"> je pět definovaných misí, z nichž tři mají přímý význam pro zemědělství. Je to mise zaměřená na půdu, další mise zaměřená na vodu a třetí na adaptaci na klimatickou změnu. Základní filozofií misí je dosáhnout výrazné mezioborové synergie s cílem ve stanoveném časovém rámci dosáhnout měřitelných výsledků, které by nebylo možné dosáhnout prostřednictvím jednotlivých projektů. Obdobně i v Programu je plánována speciální výzva na šestileté projekty, které by měly být zaměřeny do prioritních oblastí českého zemědělského prostoru, kde je nutný intenzivní výzkumný vstup. Účast řešitelských subjektů v Programu by měla přinést nejen rychle aplikovatelné výsledky, ale měla by svou synergií s evropskými tématy přispět i k vyššímu a intenzivnějšímu zapojení českých subjektů do výzev </w:t>
      </w:r>
      <w:r w:rsidR="003647F3" w:rsidRPr="009E23A6">
        <w:rPr>
          <w:i/>
          <w:iCs/>
        </w:rPr>
        <w:t>Horizon</w:t>
      </w:r>
      <w:r w:rsidR="006F3EB6" w:rsidRPr="009E23A6">
        <w:rPr>
          <w:i/>
          <w:iCs/>
        </w:rPr>
        <w:t>t</w:t>
      </w:r>
      <w:r w:rsidR="003647F3" w:rsidRPr="009E23A6">
        <w:rPr>
          <w:i/>
          <w:iCs/>
        </w:rPr>
        <w:t xml:space="preserve"> E</w:t>
      </w:r>
      <w:r w:rsidR="006F3EB6" w:rsidRPr="009E23A6">
        <w:rPr>
          <w:i/>
          <w:iCs/>
        </w:rPr>
        <w:t>vropa</w:t>
      </w:r>
      <w:r w:rsidRPr="009E23A6">
        <w:t>.</w:t>
      </w:r>
    </w:p>
    <w:p w14:paraId="5F1E2989" w14:textId="77777777" w:rsidR="0057110D" w:rsidRPr="009E23A6" w:rsidRDefault="0057110D" w:rsidP="0057110D">
      <w:pPr>
        <w:sectPr w:rsidR="0057110D" w:rsidRPr="009E23A6" w:rsidSect="00BA5D4A">
          <w:headerReference w:type="default" r:id="rId11"/>
          <w:footerReference w:type="default" r:id="rId12"/>
          <w:pgSz w:w="11906" w:h="16838"/>
          <w:pgMar w:top="1418" w:right="1418" w:bottom="1418" w:left="1418" w:header="709" w:footer="709" w:gutter="0"/>
          <w:pgNumType w:start="3"/>
          <w:cols w:space="708"/>
        </w:sectPr>
      </w:pPr>
    </w:p>
    <w:p w14:paraId="232C451D" w14:textId="3BC0058B" w:rsidR="0057110D" w:rsidRPr="009E23A6" w:rsidRDefault="0057110D" w:rsidP="0057110D">
      <w:pPr>
        <w:pStyle w:val="Nadpis4"/>
      </w:pPr>
      <w:r w:rsidRPr="009E23A6">
        <w:lastRenderedPageBreak/>
        <w:t xml:space="preserve">Tabulka č. 7: Indikátory plnění cílů Programu </w:t>
      </w:r>
      <w:r w:rsidR="00A65F65" w:rsidRPr="009E23A6">
        <w:rPr>
          <w:rStyle w:val="Znakapoznpodarou"/>
        </w:rPr>
        <w:footnoteReference w:id="8"/>
      </w:r>
    </w:p>
    <w:tbl>
      <w:tblPr>
        <w:tblStyle w:val="Mkatabulky1"/>
        <w:tblW w:w="14737" w:type="dxa"/>
        <w:tblLayout w:type="fixed"/>
        <w:tblLook w:val="04A0" w:firstRow="1" w:lastRow="0" w:firstColumn="1" w:lastColumn="0" w:noHBand="0" w:noVBand="1"/>
      </w:tblPr>
      <w:tblGrid>
        <w:gridCol w:w="3823"/>
        <w:gridCol w:w="1417"/>
        <w:gridCol w:w="2126"/>
        <w:gridCol w:w="1843"/>
        <w:gridCol w:w="1843"/>
        <w:gridCol w:w="2108"/>
        <w:gridCol w:w="1577"/>
      </w:tblGrid>
      <w:tr w:rsidR="0057110D" w:rsidRPr="009E23A6" w14:paraId="793DFA97" w14:textId="77777777" w:rsidTr="008442B5">
        <w:tc>
          <w:tcPr>
            <w:tcW w:w="3823" w:type="dxa"/>
            <w:shd w:val="clear" w:color="auto" w:fill="5B9BD5"/>
          </w:tcPr>
          <w:p w14:paraId="746422ED" w14:textId="77777777" w:rsidR="0057110D" w:rsidRPr="009E23A6" w:rsidRDefault="0057110D" w:rsidP="008442B5">
            <w:pPr>
              <w:spacing w:before="0" w:after="0" w:line="240" w:lineRule="auto"/>
              <w:jc w:val="left"/>
              <w:rPr>
                <w:rFonts w:eastAsia="Calibri" w:cs="Arial"/>
                <w:b/>
              </w:rPr>
            </w:pPr>
            <w:r w:rsidRPr="009E23A6">
              <w:rPr>
                <w:rFonts w:eastAsia="Calibri" w:cs="Arial"/>
                <w:b/>
              </w:rPr>
              <w:t>Úroveň</w:t>
            </w:r>
          </w:p>
        </w:tc>
        <w:tc>
          <w:tcPr>
            <w:tcW w:w="1417" w:type="dxa"/>
            <w:shd w:val="clear" w:color="auto" w:fill="5B9BD5"/>
          </w:tcPr>
          <w:p w14:paraId="409CE38C" w14:textId="77777777" w:rsidR="0057110D" w:rsidRPr="009E23A6" w:rsidRDefault="0057110D" w:rsidP="008442B5">
            <w:pPr>
              <w:spacing w:before="0" w:after="0" w:line="240" w:lineRule="auto"/>
              <w:jc w:val="left"/>
              <w:rPr>
                <w:rFonts w:eastAsia="Calibri" w:cs="Arial"/>
                <w:b/>
              </w:rPr>
            </w:pPr>
          </w:p>
        </w:tc>
        <w:tc>
          <w:tcPr>
            <w:tcW w:w="5812" w:type="dxa"/>
            <w:gridSpan w:val="3"/>
            <w:shd w:val="clear" w:color="auto" w:fill="5B9BD5"/>
          </w:tcPr>
          <w:p w14:paraId="5DD238AA" w14:textId="77777777" w:rsidR="0057110D" w:rsidRPr="009E23A6" w:rsidRDefault="0057110D" w:rsidP="008442B5">
            <w:pPr>
              <w:spacing w:before="0" w:after="0" w:line="240" w:lineRule="auto"/>
              <w:jc w:val="left"/>
              <w:rPr>
                <w:rFonts w:eastAsia="Calibri" w:cs="Arial"/>
                <w:b/>
              </w:rPr>
            </w:pPr>
            <w:r w:rsidRPr="009E23A6">
              <w:rPr>
                <w:rFonts w:eastAsia="Calibri" w:cs="Arial"/>
                <w:b/>
              </w:rPr>
              <w:t>Indikátory</w:t>
            </w:r>
          </w:p>
        </w:tc>
        <w:tc>
          <w:tcPr>
            <w:tcW w:w="2108" w:type="dxa"/>
            <w:shd w:val="clear" w:color="auto" w:fill="5B9BD5"/>
          </w:tcPr>
          <w:p w14:paraId="64D4C48C" w14:textId="77777777" w:rsidR="0057110D" w:rsidRPr="009E23A6" w:rsidRDefault="0057110D" w:rsidP="008442B5">
            <w:pPr>
              <w:spacing w:before="0" w:after="0" w:line="240" w:lineRule="auto"/>
              <w:jc w:val="left"/>
              <w:rPr>
                <w:rFonts w:eastAsia="Calibri" w:cs="Arial"/>
                <w:b/>
              </w:rPr>
            </w:pPr>
            <w:r w:rsidRPr="009E23A6">
              <w:rPr>
                <w:rFonts w:eastAsia="Calibri" w:cs="Arial"/>
                <w:b/>
              </w:rPr>
              <w:t>Zdroje dat</w:t>
            </w:r>
          </w:p>
        </w:tc>
        <w:tc>
          <w:tcPr>
            <w:tcW w:w="1577" w:type="dxa"/>
            <w:shd w:val="clear" w:color="auto" w:fill="5B9BD5"/>
          </w:tcPr>
          <w:p w14:paraId="51851330" w14:textId="77777777" w:rsidR="0057110D" w:rsidRPr="009E23A6" w:rsidRDefault="0057110D" w:rsidP="008442B5">
            <w:pPr>
              <w:spacing w:before="0" w:after="0" w:line="240" w:lineRule="auto"/>
              <w:jc w:val="left"/>
              <w:rPr>
                <w:rFonts w:eastAsia="Calibri" w:cs="Arial"/>
                <w:b/>
              </w:rPr>
            </w:pPr>
            <w:r w:rsidRPr="009E23A6">
              <w:rPr>
                <w:rFonts w:eastAsia="Calibri" w:cs="Arial"/>
                <w:b/>
              </w:rPr>
              <w:t>Nástroje</w:t>
            </w:r>
          </w:p>
        </w:tc>
      </w:tr>
      <w:tr w:rsidR="0057110D" w:rsidRPr="009E23A6" w14:paraId="39D71B8F" w14:textId="77777777" w:rsidTr="008442B5">
        <w:tc>
          <w:tcPr>
            <w:tcW w:w="14737" w:type="dxa"/>
            <w:gridSpan w:val="7"/>
            <w:shd w:val="clear" w:color="auto" w:fill="A8D08D"/>
          </w:tcPr>
          <w:p w14:paraId="59C3711C" w14:textId="77777777" w:rsidR="0057110D" w:rsidRPr="009E23A6" w:rsidRDefault="0057110D" w:rsidP="008442B5">
            <w:pPr>
              <w:spacing w:before="0" w:after="0" w:line="240" w:lineRule="auto"/>
              <w:jc w:val="left"/>
              <w:rPr>
                <w:rFonts w:eastAsia="Calibri" w:cs="Arial"/>
                <w:b/>
              </w:rPr>
            </w:pPr>
            <w:r w:rsidRPr="009E23A6">
              <w:rPr>
                <w:rFonts w:eastAsia="Calibri" w:cs="Arial"/>
                <w:b/>
              </w:rPr>
              <w:t>Hlavní (globální) cíl</w:t>
            </w:r>
          </w:p>
        </w:tc>
      </w:tr>
      <w:tr w:rsidR="0057110D" w:rsidRPr="009E23A6" w14:paraId="6C609874" w14:textId="77777777" w:rsidTr="008442B5">
        <w:trPr>
          <w:trHeight w:val="136"/>
        </w:trPr>
        <w:tc>
          <w:tcPr>
            <w:tcW w:w="3823" w:type="dxa"/>
            <w:vMerge w:val="restart"/>
          </w:tcPr>
          <w:p w14:paraId="0C49155E" w14:textId="182E69FF" w:rsidR="0057110D" w:rsidRPr="009E23A6" w:rsidRDefault="006E20FB" w:rsidP="008442B5">
            <w:pPr>
              <w:spacing w:before="0" w:after="0" w:line="240" w:lineRule="auto"/>
              <w:jc w:val="left"/>
              <w:rPr>
                <w:rFonts w:eastAsia="Calibri" w:cs="Arial"/>
                <w:b/>
              </w:rPr>
            </w:pPr>
            <w:r w:rsidRPr="00AD3FEC">
              <w:rPr>
                <w:rFonts w:eastAsia="Calibri" w:cs="Arial"/>
                <w:b/>
              </w:rPr>
              <w:t>Rozvoj udržitelného zemědělství prostřednictvím nových výzkumných poznatků</w:t>
            </w:r>
          </w:p>
          <w:p w14:paraId="6AC57782" w14:textId="77777777" w:rsidR="0057110D" w:rsidRPr="009E23A6" w:rsidRDefault="0057110D" w:rsidP="008442B5">
            <w:pPr>
              <w:spacing w:before="0" w:after="0" w:line="240" w:lineRule="auto"/>
              <w:jc w:val="left"/>
              <w:rPr>
                <w:rFonts w:eastAsia="Calibri" w:cs="Arial"/>
              </w:rPr>
            </w:pPr>
          </w:p>
        </w:tc>
        <w:tc>
          <w:tcPr>
            <w:tcW w:w="1417" w:type="dxa"/>
          </w:tcPr>
          <w:p w14:paraId="3486B78E" w14:textId="77777777" w:rsidR="0057110D" w:rsidRPr="009E23A6" w:rsidRDefault="0057110D" w:rsidP="008442B5">
            <w:pPr>
              <w:spacing w:before="0" w:after="0" w:line="240" w:lineRule="auto"/>
              <w:jc w:val="left"/>
              <w:rPr>
                <w:rFonts w:eastAsia="Calibri" w:cs="Arial"/>
              </w:rPr>
            </w:pPr>
          </w:p>
        </w:tc>
        <w:tc>
          <w:tcPr>
            <w:tcW w:w="2126" w:type="dxa"/>
          </w:tcPr>
          <w:p w14:paraId="2F3C89D8" w14:textId="77777777" w:rsidR="0057110D" w:rsidRPr="009E23A6" w:rsidRDefault="0057110D" w:rsidP="008442B5">
            <w:pPr>
              <w:spacing w:before="0" w:after="0" w:line="240" w:lineRule="auto"/>
              <w:jc w:val="center"/>
              <w:rPr>
                <w:rFonts w:eastAsia="Calibri" w:cs="Arial"/>
                <w:b/>
              </w:rPr>
            </w:pPr>
            <w:r w:rsidRPr="009E23A6">
              <w:rPr>
                <w:rFonts w:eastAsia="Calibri" w:cs="Arial"/>
                <w:b/>
              </w:rPr>
              <w:t>Indikátor</w:t>
            </w:r>
          </w:p>
        </w:tc>
        <w:tc>
          <w:tcPr>
            <w:tcW w:w="1843" w:type="dxa"/>
          </w:tcPr>
          <w:p w14:paraId="4080F358" w14:textId="77777777" w:rsidR="0057110D" w:rsidRPr="009E23A6" w:rsidRDefault="0057110D" w:rsidP="008442B5">
            <w:pPr>
              <w:spacing w:before="0" w:after="0" w:line="240" w:lineRule="auto"/>
              <w:jc w:val="center"/>
              <w:rPr>
                <w:rFonts w:eastAsia="Calibri" w:cs="Arial"/>
                <w:b/>
              </w:rPr>
            </w:pPr>
            <w:r w:rsidRPr="009E23A6">
              <w:rPr>
                <w:rFonts w:eastAsia="Calibri" w:cs="Arial"/>
                <w:b/>
              </w:rPr>
              <w:t>Jednotka</w:t>
            </w:r>
          </w:p>
        </w:tc>
        <w:tc>
          <w:tcPr>
            <w:tcW w:w="1843" w:type="dxa"/>
          </w:tcPr>
          <w:p w14:paraId="2E044293" w14:textId="77777777" w:rsidR="0057110D" w:rsidRPr="009E23A6" w:rsidRDefault="0057110D" w:rsidP="008442B5">
            <w:pPr>
              <w:spacing w:before="0" w:after="0" w:line="240" w:lineRule="auto"/>
              <w:jc w:val="center"/>
              <w:rPr>
                <w:rFonts w:eastAsia="Calibri" w:cs="Arial"/>
                <w:b/>
              </w:rPr>
            </w:pPr>
            <w:r w:rsidRPr="009E23A6">
              <w:rPr>
                <w:rFonts w:eastAsia="Calibri" w:cs="Arial"/>
                <w:b/>
              </w:rPr>
              <w:t>Cílová hodnota</w:t>
            </w:r>
          </w:p>
        </w:tc>
        <w:tc>
          <w:tcPr>
            <w:tcW w:w="2108" w:type="dxa"/>
            <w:vMerge w:val="restart"/>
          </w:tcPr>
          <w:p w14:paraId="747ABF71" w14:textId="77777777" w:rsidR="0057110D" w:rsidRPr="009E23A6" w:rsidRDefault="0057110D" w:rsidP="008442B5">
            <w:pPr>
              <w:spacing w:before="0" w:after="0" w:line="240" w:lineRule="auto"/>
              <w:jc w:val="left"/>
              <w:rPr>
                <w:rFonts w:eastAsia="Calibri" w:cs="Arial"/>
              </w:rPr>
            </w:pPr>
            <w:r w:rsidRPr="009E23A6">
              <w:rPr>
                <w:rFonts w:eastAsia="Calibri" w:cs="Arial"/>
              </w:rPr>
              <w:t>IS VaVaI, interní monitorovací systém</w:t>
            </w:r>
          </w:p>
        </w:tc>
        <w:tc>
          <w:tcPr>
            <w:tcW w:w="1577" w:type="dxa"/>
            <w:vMerge w:val="restart"/>
          </w:tcPr>
          <w:p w14:paraId="240F3B2D" w14:textId="77777777" w:rsidR="0057110D" w:rsidRPr="009E23A6" w:rsidRDefault="0057110D" w:rsidP="008442B5">
            <w:pPr>
              <w:spacing w:before="0" w:after="0" w:line="240" w:lineRule="auto"/>
              <w:jc w:val="left"/>
              <w:rPr>
                <w:rFonts w:eastAsia="Calibri" w:cs="Arial"/>
              </w:rPr>
            </w:pPr>
            <w:r w:rsidRPr="009E23A6">
              <w:rPr>
                <w:rFonts w:eastAsia="Calibri" w:cs="Arial"/>
              </w:rPr>
              <w:t>Podprogram I</w:t>
            </w:r>
          </w:p>
          <w:p w14:paraId="775E0130" w14:textId="77777777" w:rsidR="0057110D" w:rsidRPr="009E23A6" w:rsidRDefault="0057110D" w:rsidP="008442B5">
            <w:pPr>
              <w:spacing w:before="0" w:after="0" w:line="240" w:lineRule="auto"/>
              <w:jc w:val="left"/>
              <w:rPr>
                <w:rFonts w:eastAsia="Calibri" w:cs="Arial"/>
              </w:rPr>
            </w:pPr>
            <w:r w:rsidRPr="009E23A6">
              <w:rPr>
                <w:rFonts w:eastAsia="Calibri" w:cs="Arial"/>
              </w:rPr>
              <w:t>Podprogram II</w:t>
            </w:r>
          </w:p>
        </w:tc>
      </w:tr>
      <w:tr w:rsidR="0057110D" w:rsidRPr="009E23A6" w14:paraId="0AE08B16" w14:textId="77777777" w:rsidTr="008442B5">
        <w:trPr>
          <w:trHeight w:val="134"/>
        </w:trPr>
        <w:tc>
          <w:tcPr>
            <w:tcW w:w="3823" w:type="dxa"/>
            <w:vMerge/>
          </w:tcPr>
          <w:p w14:paraId="50C58A75" w14:textId="77777777" w:rsidR="0057110D" w:rsidRPr="009E23A6" w:rsidRDefault="0057110D" w:rsidP="008442B5">
            <w:pPr>
              <w:spacing w:before="0" w:after="0" w:line="240" w:lineRule="auto"/>
              <w:jc w:val="left"/>
              <w:rPr>
                <w:rFonts w:eastAsia="Calibri" w:cs="Arial"/>
              </w:rPr>
            </w:pPr>
          </w:p>
        </w:tc>
        <w:tc>
          <w:tcPr>
            <w:tcW w:w="1417" w:type="dxa"/>
          </w:tcPr>
          <w:p w14:paraId="455D8F22" w14:textId="77777777" w:rsidR="0057110D" w:rsidRPr="009E23A6" w:rsidRDefault="0057110D" w:rsidP="008442B5">
            <w:pPr>
              <w:spacing w:before="0" w:after="0" w:line="240" w:lineRule="auto"/>
              <w:jc w:val="left"/>
              <w:rPr>
                <w:rFonts w:eastAsia="Calibri" w:cs="Arial"/>
              </w:rPr>
            </w:pPr>
            <w:r w:rsidRPr="009E23A6">
              <w:rPr>
                <w:rFonts w:eastAsia="Calibri" w:cs="Arial"/>
              </w:rPr>
              <w:t>G1.</w:t>
            </w:r>
          </w:p>
        </w:tc>
        <w:tc>
          <w:tcPr>
            <w:tcW w:w="2126" w:type="dxa"/>
          </w:tcPr>
          <w:p w14:paraId="3148E305" w14:textId="77777777" w:rsidR="0057110D" w:rsidRPr="009E23A6" w:rsidRDefault="0057110D" w:rsidP="008442B5">
            <w:pPr>
              <w:spacing w:before="0" w:after="0" w:line="240" w:lineRule="auto"/>
              <w:jc w:val="center"/>
              <w:rPr>
                <w:rFonts w:eastAsia="Calibri" w:cs="Arial"/>
              </w:rPr>
            </w:pPr>
            <w:r w:rsidRPr="009E23A6">
              <w:rPr>
                <w:rFonts w:eastAsia="Calibri" w:cs="Arial"/>
              </w:rPr>
              <w:t>Počet přijatých návrhů projektů</w:t>
            </w:r>
          </w:p>
        </w:tc>
        <w:tc>
          <w:tcPr>
            <w:tcW w:w="1843" w:type="dxa"/>
          </w:tcPr>
          <w:p w14:paraId="5439FE39" w14:textId="77777777" w:rsidR="0057110D" w:rsidRPr="009E23A6" w:rsidRDefault="0057110D" w:rsidP="008442B5">
            <w:pPr>
              <w:spacing w:before="0" w:after="0" w:line="240" w:lineRule="auto"/>
              <w:jc w:val="center"/>
              <w:rPr>
                <w:rFonts w:eastAsia="Calibri" w:cs="Arial"/>
              </w:rPr>
            </w:pPr>
            <w:r w:rsidRPr="009E23A6">
              <w:rPr>
                <w:rFonts w:eastAsia="Calibri" w:cs="Arial"/>
              </w:rPr>
              <w:t>návrh</w:t>
            </w:r>
          </w:p>
        </w:tc>
        <w:tc>
          <w:tcPr>
            <w:tcW w:w="1843" w:type="dxa"/>
          </w:tcPr>
          <w:p w14:paraId="4FDAAE84" w14:textId="77777777" w:rsidR="0057110D" w:rsidRPr="009E23A6" w:rsidRDefault="0057110D" w:rsidP="008442B5">
            <w:pPr>
              <w:spacing w:before="0" w:after="0" w:line="240" w:lineRule="auto"/>
              <w:jc w:val="center"/>
              <w:rPr>
                <w:rFonts w:eastAsia="Calibri" w:cs="Arial"/>
              </w:rPr>
            </w:pPr>
            <w:r w:rsidRPr="009E23A6">
              <w:rPr>
                <w:rFonts w:eastAsia="Calibri" w:cs="Arial"/>
              </w:rPr>
              <w:t>≥ 1 800</w:t>
            </w:r>
          </w:p>
        </w:tc>
        <w:tc>
          <w:tcPr>
            <w:tcW w:w="2108" w:type="dxa"/>
            <w:vMerge/>
          </w:tcPr>
          <w:p w14:paraId="1365E7AE" w14:textId="77777777" w:rsidR="0057110D" w:rsidRPr="009E23A6" w:rsidRDefault="0057110D" w:rsidP="008442B5">
            <w:pPr>
              <w:spacing w:before="0" w:after="0" w:line="240" w:lineRule="auto"/>
              <w:jc w:val="left"/>
              <w:rPr>
                <w:rFonts w:eastAsia="Calibri" w:cs="Arial"/>
              </w:rPr>
            </w:pPr>
          </w:p>
        </w:tc>
        <w:tc>
          <w:tcPr>
            <w:tcW w:w="1577" w:type="dxa"/>
            <w:vMerge/>
          </w:tcPr>
          <w:p w14:paraId="4775BD00" w14:textId="77777777" w:rsidR="0057110D" w:rsidRPr="009E23A6" w:rsidRDefault="0057110D" w:rsidP="008442B5">
            <w:pPr>
              <w:spacing w:before="0" w:after="0" w:line="240" w:lineRule="auto"/>
              <w:jc w:val="left"/>
              <w:rPr>
                <w:rFonts w:eastAsia="Calibri" w:cs="Arial"/>
              </w:rPr>
            </w:pPr>
          </w:p>
        </w:tc>
      </w:tr>
      <w:tr w:rsidR="0057110D" w:rsidRPr="009E23A6" w14:paraId="314F1346" w14:textId="77777777" w:rsidTr="008442B5">
        <w:trPr>
          <w:trHeight w:val="134"/>
        </w:trPr>
        <w:tc>
          <w:tcPr>
            <w:tcW w:w="3823" w:type="dxa"/>
            <w:vMerge/>
          </w:tcPr>
          <w:p w14:paraId="6344758D" w14:textId="77777777" w:rsidR="0057110D" w:rsidRPr="009E23A6" w:rsidRDefault="0057110D" w:rsidP="008442B5">
            <w:pPr>
              <w:spacing w:before="0" w:after="0" w:line="240" w:lineRule="auto"/>
              <w:jc w:val="left"/>
              <w:rPr>
                <w:rFonts w:eastAsia="Calibri" w:cs="Arial"/>
              </w:rPr>
            </w:pPr>
          </w:p>
        </w:tc>
        <w:tc>
          <w:tcPr>
            <w:tcW w:w="1417" w:type="dxa"/>
          </w:tcPr>
          <w:p w14:paraId="545E82A8" w14:textId="77777777" w:rsidR="0057110D" w:rsidRPr="009E23A6" w:rsidRDefault="0057110D" w:rsidP="008442B5">
            <w:pPr>
              <w:spacing w:before="0" w:after="0" w:line="240" w:lineRule="auto"/>
              <w:jc w:val="left"/>
              <w:rPr>
                <w:rFonts w:eastAsia="Calibri" w:cs="Arial"/>
              </w:rPr>
            </w:pPr>
            <w:r w:rsidRPr="009E23A6">
              <w:rPr>
                <w:rFonts w:eastAsia="Calibri" w:cs="Arial"/>
              </w:rPr>
              <w:t>G2.</w:t>
            </w:r>
          </w:p>
        </w:tc>
        <w:tc>
          <w:tcPr>
            <w:tcW w:w="2126" w:type="dxa"/>
          </w:tcPr>
          <w:p w14:paraId="48C7381A" w14:textId="77777777" w:rsidR="0057110D" w:rsidRPr="009E23A6" w:rsidRDefault="0057110D" w:rsidP="008442B5">
            <w:pPr>
              <w:spacing w:before="0" w:after="0" w:line="240" w:lineRule="auto"/>
              <w:jc w:val="center"/>
              <w:rPr>
                <w:rFonts w:eastAsia="Calibri" w:cs="Arial"/>
              </w:rPr>
            </w:pPr>
            <w:r w:rsidRPr="009E23A6">
              <w:rPr>
                <w:rFonts w:eastAsia="Calibri" w:cs="Arial"/>
              </w:rPr>
              <w:t>Počet podpořených projektů</w:t>
            </w:r>
          </w:p>
        </w:tc>
        <w:tc>
          <w:tcPr>
            <w:tcW w:w="1843" w:type="dxa"/>
          </w:tcPr>
          <w:p w14:paraId="1DC02BD1" w14:textId="77777777" w:rsidR="0057110D" w:rsidRPr="009E23A6" w:rsidRDefault="0057110D" w:rsidP="008442B5">
            <w:pPr>
              <w:spacing w:before="0" w:after="0" w:line="240" w:lineRule="auto"/>
              <w:jc w:val="center"/>
              <w:rPr>
                <w:rFonts w:eastAsia="Calibri" w:cs="Arial"/>
              </w:rPr>
            </w:pPr>
            <w:r w:rsidRPr="009E23A6">
              <w:rPr>
                <w:rFonts w:eastAsia="Calibri" w:cs="Arial"/>
              </w:rPr>
              <w:t>projekt</w:t>
            </w:r>
          </w:p>
        </w:tc>
        <w:tc>
          <w:tcPr>
            <w:tcW w:w="1843" w:type="dxa"/>
          </w:tcPr>
          <w:p w14:paraId="705DB9C1" w14:textId="77777777" w:rsidR="0057110D" w:rsidRPr="009E23A6" w:rsidRDefault="0057110D" w:rsidP="008442B5">
            <w:pPr>
              <w:spacing w:before="0" w:after="0" w:line="240" w:lineRule="auto"/>
              <w:jc w:val="center"/>
              <w:rPr>
                <w:rFonts w:eastAsia="Calibri" w:cs="Arial"/>
              </w:rPr>
            </w:pPr>
            <w:r w:rsidRPr="009E23A6">
              <w:rPr>
                <w:rFonts w:eastAsia="Calibri" w:cs="Arial"/>
              </w:rPr>
              <w:t>≥ 260</w:t>
            </w:r>
          </w:p>
        </w:tc>
        <w:tc>
          <w:tcPr>
            <w:tcW w:w="2108" w:type="dxa"/>
            <w:vMerge/>
          </w:tcPr>
          <w:p w14:paraId="56AC103B" w14:textId="77777777" w:rsidR="0057110D" w:rsidRPr="009E23A6" w:rsidRDefault="0057110D" w:rsidP="008442B5">
            <w:pPr>
              <w:spacing w:before="0" w:after="0" w:line="240" w:lineRule="auto"/>
              <w:jc w:val="left"/>
              <w:rPr>
                <w:rFonts w:eastAsia="Calibri" w:cs="Arial"/>
              </w:rPr>
            </w:pPr>
          </w:p>
        </w:tc>
        <w:tc>
          <w:tcPr>
            <w:tcW w:w="1577" w:type="dxa"/>
            <w:vMerge/>
          </w:tcPr>
          <w:p w14:paraId="21F78FA9" w14:textId="77777777" w:rsidR="0057110D" w:rsidRPr="009E23A6" w:rsidRDefault="0057110D" w:rsidP="008442B5">
            <w:pPr>
              <w:spacing w:before="0" w:after="0" w:line="240" w:lineRule="auto"/>
              <w:jc w:val="left"/>
              <w:rPr>
                <w:rFonts w:eastAsia="Calibri" w:cs="Arial"/>
              </w:rPr>
            </w:pPr>
          </w:p>
        </w:tc>
      </w:tr>
      <w:tr w:rsidR="0057110D" w:rsidRPr="009E23A6" w14:paraId="3987D76F" w14:textId="77777777" w:rsidTr="008442B5">
        <w:trPr>
          <w:trHeight w:val="134"/>
        </w:trPr>
        <w:tc>
          <w:tcPr>
            <w:tcW w:w="3823" w:type="dxa"/>
            <w:vMerge/>
          </w:tcPr>
          <w:p w14:paraId="41A325D8" w14:textId="77777777" w:rsidR="0057110D" w:rsidRPr="009E23A6" w:rsidRDefault="0057110D" w:rsidP="008442B5">
            <w:pPr>
              <w:spacing w:before="0" w:after="0" w:line="240" w:lineRule="auto"/>
              <w:jc w:val="left"/>
              <w:rPr>
                <w:rFonts w:eastAsia="Calibri" w:cs="Arial"/>
              </w:rPr>
            </w:pPr>
          </w:p>
        </w:tc>
        <w:tc>
          <w:tcPr>
            <w:tcW w:w="1417" w:type="dxa"/>
          </w:tcPr>
          <w:p w14:paraId="2AEF98E6" w14:textId="77777777" w:rsidR="0057110D" w:rsidRPr="009E23A6" w:rsidRDefault="0057110D" w:rsidP="008442B5">
            <w:pPr>
              <w:spacing w:before="0" w:after="0" w:line="240" w:lineRule="auto"/>
              <w:jc w:val="left"/>
              <w:rPr>
                <w:rFonts w:eastAsia="Calibri" w:cs="Arial"/>
              </w:rPr>
            </w:pPr>
            <w:r w:rsidRPr="009E23A6">
              <w:rPr>
                <w:rFonts w:eastAsia="Calibri" w:cs="Arial"/>
              </w:rPr>
              <w:t>G3.</w:t>
            </w:r>
          </w:p>
        </w:tc>
        <w:tc>
          <w:tcPr>
            <w:tcW w:w="2126" w:type="dxa"/>
          </w:tcPr>
          <w:p w14:paraId="44C989B2" w14:textId="77777777" w:rsidR="0057110D" w:rsidRPr="009E23A6" w:rsidRDefault="0057110D" w:rsidP="008442B5">
            <w:pPr>
              <w:spacing w:before="0" w:after="0" w:line="240" w:lineRule="auto"/>
              <w:jc w:val="center"/>
              <w:rPr>
                <w:rFonts w:eastAsia="Calibri" w:cs="Arial"/>
              </w:rPr>
            </w:pPr>
            <w:r w:rsidRPr="009E23A6">
              <w:rPr>
                <w:rFonts w:eastAsia="Calibri" w:cs="Arial"/>
              </w:rPr>
              <w:t>Podíl podpořených projektů dle podprogramu</w:t>
            </w:r>
          </w:p>
        </w:tc>
        <w:tc>
          <w:tcPr>
            <w:tcW w:w="1843" w:type="dxa"/>
          </w:tcPr>
          <w:p w14:paraId="02B438DA"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56F5A5BC" w14:textId="77777777" w:rsidR="0057110D" w:rsidRPr="009E23A6" w:rsidRDefault="0057110D" w:rsidP="008442B5">
            <w:pPr>
              <w:spacing w:before="0" w:after="0" w:line="240" w:lineRule="auto"/>
              <w:jc w:val="center"/>
              <w:rPr>
                <w:rFonts w:eastAsia="Calibri" w:cs="Arial"/>
              </w:rPr>
            </w:pPr>
            <w:r w:rsidRPr="009E23A6">
              <w:rPr>
                <w:rFonts w:eastAsia="Calibri" w:cs="Arial"/>
              </w:rPr>
              <w:t xml:space="preserve"> 50</w:t>
            </w:r>
          </w:p>
        </w:tc>
        <w:tc>
          <w:tcPr>
            <w:tcW w:w="2108" w:type="dxa"/>
            <w:vMerge/>
          </w:tcPr>
          <w:p w14:paraId="28E41363" w14:textId="77777777" w:rsidR="0057110D" w:rsidRPr="009E23A6" w:rsidRDefault="0057110D" w:rsidP="008442B5">
            <w:pPr>
              <w:spacing w:before="0" w:after="0" w:line="240" w:lineRule="auto"/>
              <w:jc w:val="left"/>
              <w:rPr>
                <w:rFonts w:eastAsia="Calibri" w:cs="Arial"/>
              </w:rPr>
            </w:pPr>
          </w:p>
        </w:tc>
        <w:tc>
          <w:tcPr>
            <w:tcW w:w="1577" w:type="dxa"/>
            <w:vMerge/>
          </w:tcPr>
          <w:p w14:paraId="50C891A2" w14:textId="77777777" w:rsidR="0057110D" w:rsidRPr="009E23A6" w:rsidRDefault="0057110D" w:rsidP="008442B5">
            <w:pPr>
              <w:spacing w:before="0" w:after="0" w:line="240" w:lineRule="auto"/>
              <w:jc w:val="left"/>
              <w:rPr>
                <w:rFonts w:eastAsia="Calibri" w:cs="Arial"/>
              </w:rPr>
            </w:pPr>
          </w:p>
        </w:tc>
      </w:tr>
      <w:tr w:rsidR="0057110D" w:rsidRPr="009E23A6" w14:paraId="02B62A76" w14:textId="77777777" w:rsidTr="008442B5">
        <w:trPr>
          <w:trHeight w:val="134"/>
        </w:trPr>
        <w:tc>
          <w:tcPr>
            <w:tcW w:w="3823" w:type="dxa"/>
            <w:vMerge/>
          </w:tcPr>
          <w:p w14:paraId="2B608029" w14:textId="77777777" w:rsidR="0057110D" w:rsidRPr="009E23A6" w:rsidRDefault="0057110D" w:rsidP="008442B5">
            <w:pPr>
              <w:spacing w:before="0" w:after="0" w:line="240" w:lineRule="auto"/>
              <w:jc w:val="left"/>
              <w:rPr>
                <w:rFonts w:eastAsia="Calibri" w:cs="Arial"/>
              </w:rPr>
            </w:pPr>
          </w:p>
        </w:tc>
        <w:tc>
          <w:tcPr>
            <w:tcW w:w="1417" w:type="dxa"/>
          </w:tcPr>
          <w:p w14:paraId="30217FA2" w14:textId="77777777" w:rsidR="0057110D" w:rsidRPr="009E23A6" w:rsidRDefault="0057110D" w:rsidP="008442B5">
            <w:pPr>
              <w:spacing w:before="0" w:after="0" w:line="240" w:lineRule="auto"/>
              <w:jc w:val="left"/>
              <w:rPr>
                <w:rFonts w:eastAsia="Calibri" w:cs="Arial"/>
              </w:rPr>
            </w:pPr>
            <w:r w:rsidRPr="009E23A6">
              <w:rPr>
                <w:rFonts w:eastAsia="Calibri" w:cs="Arial"/>
              </w:rPr>
              <w:t>G4.</w:t>
            </w:r>
          </w:p>
        </w:tc>
        <w:tc>
          <w:tcPr>
            <w:tcW w:w="2126" w:type="dxa"/>
          </w:tcPr>
          <w:p w14:paraId="102A426C" w14:textId="77777777" w:rsidR="0057110D" w:rsidRPr="009E23A6" w:rsidRDefault="0057110D" w:rsidP="008442B5">
            <w:pPr>
              <w:spacing w:before="0" w:after="0" w:line="240" w:lineRule="auto"/>
              <w:jc w:val="center"/>
              <w:rPr>
                <w:rFonts w:eastAsia="Calibri" w:cs="Arial"/>
              </w:rPr>
            </w:pPr>
            <w:r w:rsidRPr="009E23A6">
              <w:rPr>
                <w:rFonts w:eastAsia="Calibri" w:cs="Arial"/>
              </w:rPr>
              <w:t>Podíl podpořených projektů dle klíčové oblasti</w:t>
            </w:r>
          </w:p>
        </w:tc>
        <w:tc>
          <w:tcPr>
            <w:tcW w:w="1843" w:type="dxa"/>
          </w:tcPr>
          <w:p w14:paraId="4042D12C"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5E5F57B4" w14:textId="7F96F012" w:rsidR="0057110D" w:rsidRPr="009E23A6" w:rsidRDefault="0057110D" w:rsidP="008442B5">
            <w:pPr>
              <w:spacing w:before="0" w:after="0" w:line="240" w:lineRule="auto"/>
              <w:jc w:val="center"/>
              <w:rPr>
                <w:rFonts w:eastAsia="Calibri" w:cs="Arial"/>
              </w:rPr>
            </w:pPr>
            <w:r w:rsidRPr="009E23A6">
              <w:rPr>
                <w:rFonts w:eastAsia="Calibri" w:cs="Arial"/>
              </w:rPr>
              <w:t xml:space="preserve"> </w:t>
            </w:r>
            <w:r w:rsidR="00C526D1" w:rsidRPr="009E23A6">
              <w:rPr>
                <w:rFonts w:eastAsia="Calibri" w:cs="Arial"/>
              </w:rPr>
              <w:t>20 – 50</w:t>
            </w:r>
          </w:p>
        </w:tc>
        <w:tc>
          <w:tcPr>
            <w:tcW w:w="2108" w:type="dxa"/>
            <w:vMerge/>
          </w:tcPr>
          <w:p w14:paraId="0AB4829D" w14:textId="77777777" w:rsidR="0057110D" w:rsidRPr="009E23A6" w:rsidRDefault="0057110D" w:rsidP="008442B5">
            <w:pPr>
              <w:spacing w:before="0" w:after="0" w:line="240" w:lineRule="auto"/>
              <w:jc w:val="left"/>
              <w:rPr>
                <w:rFonts w:eastAsia="Calibri" w:cs="Arial"/>
              </w:rPr>
            </w:pPr>
          </w:p>
        </w:tc>
        <w:tc>
          <w:tcPr>
            <w:tcW w:w="1577" w:type="dxa"/>
            <w:vMerge/>
          </w:tcPr>
          <w:p w14:paraId="4A037BEE" w14:textId="77777777" w:rsidR="0057110D" w:rsidRPr="009E23A6" w:rsidRDefault="0057110D" w:rsidP="008442B5">
            <w:pPr>
              <w:spacing w:before="0" w:after="0" w:line="240" w:lineRule="auto"/>
              <w:jc w:val="left"/>
              <w:rPr>
                <w:rFonts w:eastAsia="Calibri" w:cs="Arial"/>
              </w:rPr>
            </w:pPr>
          </w:p>
        </w:tc>
      </w:tr>
      <w:tr w:rsidR="0057110D" w:rsidRPr="009E23A6" w14:paraId="2523073A" w14:textId="77777777" w:rsidTr="008442B5">
        <w:trPr>
          <w:trHeight w:val="134"/>
        </w:trPr>
        <w:tc>
          <w:tcPr>
            <w:tcW w:w="3823" w:type="dxa"/>
            <w:vMerge/>
          </w:tcPr>
          <w:p w14:paraId="2187B1E8" w14:textId="77777777" w:rsidR="0057110D" w:rsidRPr="009E23A6" w:rsidRDefault="0057110D" w:rsidP="008442B5">
            <w:pPr>
              <w:spacing w:before="0" w:after="0" w:line="240" w:lineRule="auto"/>
              <w:jc w:val="left"/>
              <w:rPr>
                <w:rFonts w:eastAsia="Calibri" w:cs="Arial"/>
              </w:rPr>
            </w:pPr>
          </w:p>
        </w:tc>
        <w:tc>
          <w:tcPr>
            <w:tcW w:w="1417" w:type="dxa"/>
          </w:tcPr>
          <w:p w14:paraId="6DC0DE3C" w14:textId="77777777" w:rsidR="0057110D" w:rsidRPr="009E23A6" w:rsidRDefault="0057110D" w:rsidP="008442B5">
            <w:pPr>
              <w:spacing w:before="0" w:after="0" w:line="240" w:lineRule="auto"/>
              <w:jc w:val="left"/>
              <w:rPr>
                <w:rFonts w:eastAsia="Calibri" w:cs="Arial"/>
              </w:rPr>
            </w:pPr>
            <w:r w:rsidRPr="009E23A6">
              <w:rPr>
                <w:rFonts w:eastAsia="Calibri" w:cs="Arial"/>
              </w:rPr>
              <w:t>G5.</w:t>
            </w:r>
          </w:p>
        </w:tc>
        <w:tc>
          <w:tcPr>
            <w:tcW w:w="2126" w:type="dxa"/>
          </w:tcPr>
          <w:p w14:paraId="1B1A832F" w14:textId="77777777" w:rsidR="0057110D" w:rsidRPr="009E23A6" w:rsidRDefault="0057110D" w:rsidP="008442B5">
            <w:pPr>
              <w:spacing w:before="0" w:after="0" w:line="240" w:lineRule="auto"/>
              <w:jc w:val="center"/>
              <w:rPr>
                <w:rFonts w:eastAsia="Calibri" w:cs="Arial"/>
              </w:rPr>
            </w:pPr>
            <w:r w:rsidRPr="009E23A6">
              <w:rPr>
                <w:rFonts w:eastAsia="Calibri" w:cs="Arial"/>
              </w:rPr>
              <w:t>Podíl úspěšně realizovaných projektů</w:t>
            </w:r>
          </w:p>
        </w:tc>
        <w:tc>
          <w:tcPr>
            <w:tcW w:w="1843" w:type="dxa"/>
          </w:tcPr>
          <w:p w14:paraId="63275E64"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785D04A2" w14:textId="77777777" w:rsidR="0057110D" w:rsidRPr="009E23A6" w:rsidRDefault="0057110D" w:rsidP="008442B5">
            <w:pPr>
              <w:spacing w:before="0" w:after="0" w:line="240" w:lineRule="auto"/>
              <w:jc w:val="center"/>
              <w:rPr>
                <w:rFonts w:eastAsia="Calibri" w:cs="Arial"/>
              </w:rPr>
            </w:pPr>
            <w:r w:rsidRPr="009E23A6">
              <w:rPr>
                <w:rFonts w:eastAsia="Calibri" w:cs="Arial"/>
              </w:rPr>
              <w:t>≥ 90</w:t>
            </w:r>
          </w:p>
        </w:tc>
        <w:tc>
          <w:tcPr>
            <w:tcW w:w="2108" w:type="dxa"/>
            <w:vMerge/>
          </w:tcPr>
          <w:p w14:paraId="2387A0AE" w14:textId="77777777" w:rsidR="0057110D" w:rsidRPr="009E23A6" w:rsidRDefault="0057110D" w:rsidP="008442B5">
            <w:pPr>
              <w:spacing w:before="0" w:after="0" w:line="240" w:lineRule="auto"/>
              <w:jc w:val="left"/>
              <w:rPr>
                <w:rFonts w:eastAsia="Calibri" w:cs="Arial"/>
              </w:rPr>
            </w:pPr>
          </w:p>
        </w:tc>
        <w:tc>
          <w:tcPr>
            <w:tcW w:w="1577" w:type="dxa"/>
            <w:vMerge/>
          </w:tcPr>
          <w:p w14:paraId="252C075B" w14:textId="77777777" w:rsidR="0057110D" w:rsidRPr="009E23A6" w:rsidRDefault="0057110D" w:rsidP="008442B5">
            <w:pPr>
              <w:spacing w:before="0" w:after="0" w:line="240" w:lineRule="auto"/>
              <w:jc w:val="left"/>
              <w:rPr>
                <w:rFonts w:eastAsia="Calibri" w:cs="Arial"/>
              </w:rPr>
            </w:pPr>
          </w:p>
        </w:tc>
      </w:tr>
      <w:tr w:rsidR="0057110D" w:rsidRPr="009E23A6" w14:paraId="156EB7E5" w14:textId="77777777" w:rsidTr="008442B5">
        <w:trPr>
          <w:trHeight w:val="134"/>
        </w:trPr>
        <w:tc>
          <w:tcPr>
            <w:tcW w:w="3823" w:type="dxa"/>
            <w:vMerge/>
          </w:tcPr>
          <w:p w14:paraId="4BD8F564" w14:textId="77777777" w:rsidR="0057110D" w:rsidRPr="009E23A6" w:rsidRDefault="0057110D" w:rsidP="008442B5">
            <w:pPr>
              <w:spacing w:before="0" w:after="0" w:line="240" w:lineRule="auto"/>
              <w:jc w:val="left"/>
              <w:rPr>
                <w:rFonts w:eastAsia="Calibri" w:cs="Arial"/>
              </w:rPr>
            </w:pPr>
          </w:p>
        </w:tc>
        <w:tc>
          <w:tcPr>
            <w:tcW w:w="1417" w:type="dxa"/>
          </w:tcPr>
          <w:p w14:paraId="5D4AD571" w14:textId="77777777" w:rsidR="0057110D" w:rsidRPr="009E23A6" w:rsidRDefault="0057110D" w:rsidP="008442B5">
            <w:pPr>
              <w:spacing w:before="0" w:after="0" w:line="240" w:lineRule="auto"/>
              <w:jc w:val="left"/>
              <w:rPr>
                <w:rFonts w:eastAsia="Calibri" w:cs="Arial"/>
              </w:rPr>
            </w:pPr>
            <w:r w:rsidRPr="009E23A6">
              <w:rPr>
                <w:rFonts w:eastAsia="Calibri" w:cs="Arial"/>
              </w:rPr>
              <w:t>G6.</w:t>
            </w:r>
          </w:p>
        </w:tc>
        <w:tc>
          <w:tcPr>
            <w:tcW w:w="2126" w:type="dxa"/>
          </w:tcPr>
          <w:p w14:paraId="1AEB4145" w14:textId="77777777" w:rsidR="0057110D" w:rsidRPr="009E23A6" w:rsidRDefault="0057110D" w:rsidP="008442B5">
            <w:pPr>
              <w:spacing w:before="0" w:after="0" w:line="240" w:lineRule="auto"/>
              <w:jc w:val="center"/>
              <w:rPr>
                <w:rFonts w:eastAsia="Calibri" w:cs="Arial"/>
              </w:rPr>
            </w:pPr>
            <w:r w:rsidRPr="009E23A6">
              <w:rPr>
                <w:rFonts w:eastAsia="Calibri" w:cs="Arial"/>
              </w:rPr>
              <w:t>Podíl úspěšně realizovaných projektů dle podprogramu</w:t>
            </w:r>
          </w:p>
        </w:tc>
        <w:tc>
          <w:tcPr>
            <w:tcW w:w="1843" w:type="dxa"/>
          </w:tcPr>
          <w:p w14:paraId="4E33B926"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3152D2C7" w14:textId="77777777" w:rsidR="0057110D" w:rsidRPr="009E23A6" w:rsidRDefault="0057110D" w:rsidP="008442B5">
            <w:pPr>
              <w:spacing w:before="0" w:after="0" w:line="240" w:lineRule="auto"/>
              <w:jc w:val="center"/>
              <w:rPr>
                <w:rFonts w:eastAsia="Calibri" w:cs="Arial"/>
              </w:rPr>
            </w:pPr>
            <w:r w:rsidRPr="009E23A6">
              <w:rPr>
                <w:rFonts w:eastAsia="Calibri" w:cs="Arial"/>
              </w:rPr>
              <w:t>≥ 90</w:t>
            </w:r>
          </w:p>
        </w:tc>
        <w:tc>
          <w:tcPr>
            <w:tcW w:w="2108" w:type="dxa"/>
            <w:vMerge/>
          </w:tcPr>
          <w:p w14:paraId="516CEC51" w14:textId="77777777" w:rsidR="0057110D" w:rsidRPr="009E23A6" w:rsidRDefault="0057110D" w:rsidP="008442B5">
            <w:pPr>
              <w:spacing w:before="0" w:after="0" w:line="240" w:lineRule="auto"/>
              <w:jc w:val="left"/>
              <w:rPr>
                <w:rFonts w:eastAsia="Calibri" w:cs="Arial"/>
              </w:rPr>
            </w:pPr>
          </w:p>
        </w:tc>
        <w:tc>
          <w:tcPr>
            <w:tcW w:w="1577" w:type="dxa"/>
            <w:vMerge/>
          </w:tcPr>
          <w:p w14:paraId="5AB2B8F7" w14:textId="77777777" w:rsidR="0057110D" w:rsidRPr="009E23A6" w:rsidRDefault="0057110D" w:rsidP="008442B5">
            <w:pPr>
              <w:spacing w:before="0" w:after="0" w:line="240" w:lineRule="auto"/>
              <w:jc w:val="left"/>
              <w:rPr>
                <w:rFonts w:eastAsia="Calibri" w:cs="Arial"/>
              </w:rPr>
            </w:pPr>
          </w:p>
        </w:tc>
      </w:tr>
      <w:tr w:rsidR="0057110D" w:rsidRPr="009E23A6" w14:paraId="12DFF8FB" w14:textId="77777777" w:rsidTr="008442B5">
        <w:trPr>
          <w:trHeight w:val="134"/>
        </w:trPr>
        <w:tc>
          <w:tcPr>
            <w:tcW w:w="3823" w:type="dxa"/>
            <w:vMerge/>
          </w:tcPr>
          <w:p w14:paraId="53918FB3" w14:textId="77777777" w:rsidR="0057110D" w:rsidRPr="009E23A6" w:rsidRDefault="0057110D" w:rsidP="008442B5">
            <w:pPr>
              <w:spacing w:before="0" w:after="0" w:line="240" w:lineRule="auto"/>
              <w:jc w:val="left"/>
              <w:rPr>
                <w:rFonts w:eastAsia="Calibri" w:cs="Arial"/>
              </w:rPr>
            </w:pPr>
          </w:p>
        </w:tc>
        <w:tc>
          <w:tcPr>
            <w:tcW w:w="1417" w:type="dxa"/>
          </w:tcPr>
          <w:p w14:paraId="1242B91F" w14:textId="77777777" w:rsidR="0057110D" w:rsidRPr="009E23A6" w:rsidRDefault="0057110D" w:rsidP="008442B5">
            <w:pPr>
              <w:spacing w:before="0" w:after="0" w:line="240" w:lineRule="auto"/>
              <w:jc w:val="left"/>
              <w:rPr>
                <w:rFonts w:eastAsia="Calibri" w:cs="Arial"/>
              </w:rPr>
            </w:pPr>
            <w:r w:rsidRPr="009E23A6">
              <w:rPr>
                <w:rFonts w:eastAsia="Calibri" w:cs="Arial"/>
              </w:rPr>
              <w:t>G7.</w:t>
            </w:r>
          </w:p>
        </w:tc>
        <w:tc>
          <w:tcPr>
            <w:tcW w:w="2126" w:type="dxa"/>
          </w:tcPr>
          <w:p w14:paraId="24C48DBD" w14:textId="77777777" w:rsidR="0057110D" w:rsidRPr="009E23A6" w:rsidRDefault="0057110D" w:rsidP="008442B5">
            <w:pPr>
              <w:spacing w:before="0" w:after="0" w:line="240" w:lineRule="auto"/>
              <w:jc w:val="center"/>
              <w:rPr>
                <w:rFonts w:eastAsia="Calibri" w:cs="Arial"/>
              </w:rPr>
            </w:pPr>
            <w:r w:rsidRPr="009E23A6">
              <w:rPr>
                <w:rFonts w:eastAsia="Calibri" w:cs="Arial"/>
              </w:rPr>
              <w:t>Podíl úspěšně realizovaných projektů dle klíčové oblasti</w:t>
            </w:r>
          </w:p>
        </w:tc>
        <w:tc>
          <w:tcPr>
            <w:tcW w:w="1843" w:type="dxa"/>
          </w:tcPr>
          <w:p w14:paraId="237E5D56"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41CF5F45" w14:textId="77777777" w:rsidR="0057110D" w:rsidRPr="009E23A6" w:rsidRDefault="0057110D" w:rsidP="008442B5">
            <w:pPr>
              <w:spacing w:before="0" w:after="0" w:line="240" w:lineRule="auto"/>
              <w:jc w:val="center"/>
              <w:rPr>
                <w:rFonts w:eastAsia="Calibri" w:cs="Arial"/>
              </w:rPr>
            </w:pPr>
            <w:r w:rsidRPr="009E23A6">
              <w:rPr>
                <w:rFonts w:eastAsia="Calibri" w:cs="Arial"/>
              </w:rPr>
              <w:t>≥ 90</w:t>
            </w:r>
          </w:p>
        </w:tc>
        <w:tc>
          <w:tcPr>
            <w:tcW w:w="2108" w:type="dxa"/>
            <w:vMerge/>
          </w:tcPr>
          <w:p w14:paraId="4B86A84B" w14:textId="77777777" w:rsidR="0057110D" w:rsidRPr="009E23A6" w:rsidRDefault="0057110D" w:rsidP="008442B5">
            <w:pPr>
              <w:spacing w:before="0" w:after="0" w:line="240" w:lineRule="auto"/>
              <w:jc w:val="left"/>
              <w:rPr>
                <w:rFonts w:eastAsia="Calibri" w:cs="Arial"/>
              </w:rPr>
            </w:pPr>
          </w:p>
        </w:tc>
        <w:tc>
          <w:tcPr>
            <w:tcW w:w="1577" w:type="dxa"/>
            <w:vMerge/>
          </w:tcPr>
          <w:p w14:paraId="07F31101" w14:textId="77777777" w:rsidR="0057110D" w:rsidRPr="009E23A6" w:rsidRDefault="0057110D" w:rsidP="008442B5">
            <w:pPr>
              <w:spacing w:before="0" w:after="0" w:line="240" w:lineRule="auto"/>
              <w:jc w:val="left"/>
              <w:rPr>
                <w:rFonts w:eastAsia="Calibri" w:cs="Arial"/>
              </w:rPr>
            </w:pPr>
          </w:p>
        </w:tc>
      </w:tr>
      <w:tr w:rsidR="0057110D" w:rsidRPr="009E23A6" w14:paraId="2151691E" w14:textId="77777777" w:rsidTr="008442B5">
        <w:trPr>
          <w:trHeight w:val="134"/>
        </w:trPr>
        <w:tc>
          <w:tcPr>
            <w:tcW w:w="3823" w:type="dxa"/>
            <w:vMerge/>
          </w:tcPr>
          <w:p w14:paraId="355F6FB4" w14:textId="77777777" w:rsidR="0057110D" w:rsidRPr="009E23A6" w:rsidRDefault="0057110D" w:rsidP="008442B5">
            <w:pPr>
              <w:spacing w:before="0" w:after="0" w:line="240" w:lineRule="auto"/>
              <w:jc w:val="left"/>
              <w:rPr>
                <w:rFonts w:eastAsia="Calibri" w:cs="Arial"/>
              </w:rPr>
            </w:pPr>
          </w:p>
        </w:tc>
        <w:tc>
          <w:tcPr>
            <w:tcW w:w="1417" w:type="dxa"/>
          </w:tcPr>
          <w:p w14:paraId="294D20E9" w14:textId="77777777" w:rsidR="0057110D" w:rsidRPr="009E23A6" w:rsidRDefault="0057110D" w:rsidP="008442B5">
            <w:pPr>
              <w:spacing w:before="0" w:after="0" w:line="240" w:lineRule="auto"/>
              <w:jc w:val="left"/>
              <w:rPr>
                <w:rFonts w:eastAsia="Calibri" w:cs="Arial"/>
              </w:rPr>
            </w:pPr>
            <w:r w:rsidRPr="009E23A6">
              <w:rPr>
                <w:rFonts w:eastAsia="Calibri" w:cs="Arial"/>
              </w:rPr>
              <w:t>G8.</w:t>
            </w:r>
          </w:p>
        </w:tc>
        <w:tc>
          <w:tcPr>
            <w:tcW w:w="2126" w:type="dxa"/>
          </w:tcPr>
          <w:p w14:paraId="0EF4604A" w14:textId="77777777" w:rsidR="0057110D" w:rsidRPr="009E23A6" w:rsidRDefault="0057110D" w:rsidP="008442B5">
            <w:pPr>
              <w:spacing w:before="0" w:after="0" w:line="240" w:lineRule="auto"/>
              <w:jc w:val="center"/>
              <w:rPr>
                <w:rFonts w:eastAsia="Calibri" w:cs="Arial"/>
              </w:rPr>
            </w:pPr>
            <w:r w:rsidRPr="009E23A6">
              <w:rPr>
                <w:rFonts w:eastAsia="Calibri" w:cs="Arial"/>
              </w:rPr>
              <w:t>Počet výzkumných organizací</w:t>
            </w:r>
          </w:p>
        </w:tc>
        <w:tc>
          <w:tcPr>
            <w:tcW w:w="1843" w:type="dxa"/>
          </w:tcPr>
          <w:p w14:paraId="501EC1F6" w14:textId="77777777" w:rsidR="0057110D" w:rsidRPr="009E23A6" w:rsidRDefault="0057110D" w:rsidP="008442B5">
            <w:pPr>
              <w:spacing w:before="0" w:after="0" w:line="240" w:lineRule="auto"/>
              <w:jc w:val="center"/>
              <w:rPr>
                <w:rFonts w:eastAsia="Calibri" w:cs="Arial"/>
              </w:rPr>
            </w:pPr>
            <w:r w:rsidRPr="009E23A6">
              <w:rPr>
                <w:rFonts w:eastAsia="Calibri" w:cs="Arial"/>
              </w:rPr>
              <w:t>organizace</w:t>
            </w:r>
          </w:p>
        </w:tc>
        <w:tc>
          <w:tcPr>
            <w:tcW w:w="1843" w:type="dxa"/>
          </w:tcPr>
          <w:p w14:paraId="4703D45B" w14:textId="77777777" w:rsidR="0057110D" w:rsidRPr="009E23A6" w:rsidRDefault="0057110D" w:rsidP="008442B5">
            <w:pPr>
              <w:spacing w:before="0" w:after="0" w:line="240" w:lineRule="auto"/>
              <w:jc w:val="center"/>
              <w:rPr>
                <w:rFonts w:eastAsia="Calibri" w:cs="Arial"/>
              </w:rPr>
            </w:pPr>
            <w:r w:rsidRPr="009E23A6">
              <w:rPr>
                <w:rFonts w:eastAsia="Calibri" w:cs="Arial"/>
              </w:rPr>
              <w:t>≥ 20</w:t>
            </w:r>
          </w:p>
        </w:tc>
        <w:tc>
          <w:tcPr>
            <w:tcW w:w="2108" w:type="dxa"/>
            <w:vMerge/>
          </w:tcPr>
          <w:p w14:paraId="78F686AA" w14:textId="77777777" w:rsidR="0057110D" w:rsidRPr="009E23A6" w:rsidRDefault="0057110D" w:rsidP="008442B5">
            <w:pPr>
              <w:spacing w:before="0" w:after="0" w:line="240" w:lineRule="auto"/>
              <w:jc w:val="left"/>
              <w:rPr>
                <w:rFonts w:eastAsia="Calibri" w:cs="Arial"/>
              </w:rPr>
            </w:pPr>
          </w:p>
        </w:tc>
        <w:tc>
          <w:tcPr>
            <w:tcW w:w="1577" w:type="dxa"/>
            <w:vMerge/>
          </w:tcPr>
          <w:p w14:paraId="24991F45" w14:textId="77777777" w:rsidR="0057110D" w:rsidRPr="009E23A6" w:rsidRDefault="0057110D" w:rsidP="008442B5">
            <w:pPr>
              <w:spacing w:before="0" w:after="0" w:line="240" w:lineRule="auto"/>
              <w:jc w:val="left"/>
              <w:rPr>
                <w:rFonts w:eastAsia="Calibri" w:cs="Arial"/>
              </w:rPr>
            </w:pPr>
          </w:p>
        </w:tc>
      </w:tr>
      <w:tr w:rsidR="0057110D" w:rsidRPr="009E23A6" w14:paraId="4B7A0663" w14:textId="77777777" w:rsidTr="008442B5">
        <w:trPr>
          <w:trHeight w:val="134"/>
        </w:trPr>
        <w:tc>
          <w:tcPr>
            <w:tcW w:w="3823" w:type="dxa"/>
            <w:vMerge/>
          </w:tcPr>
          <w:p w14:paraId="4B3A6F93" w14:textId="77777777" w:rsidR="0057110D" w:rsidRPr="009E23A6" w:rsidRDefault="0057110D" w:rsidP="008442B5">
            <w:pPr>
              <w:spacing w:before="0" w:after="0" w:line="240" w:lineRule="auto"/>
              <w:jc w:val="left"/>
              <w:rPr>
                <w:rFonts w:eastAsia="Calibri" w:cs="Arial"/>
              </w:rPr>
            </w:pPr>
          </w:p>
        </w:tc>
        <w:tc>
          <w:tcPr>
            <w:tcW w:w="1417" w:type="dxa"/>
          </w:tcPr>
          <w:p w14:paraId="1BD745C7" w14:textId="77777777" w:rsidR="0057110D" w:rsidRPr="009E23A6" w:rsidRDefault="0057110D" w:rsidP="008442B5">
            <w:pPr>
              <w:spacing w:before="0" w:after="0" w:line="240" w:lineRule="auto"/>
              <w:jc w:val="left"/>
              <w:rPr>
                <w:rFonts w:eastAsia="Calibri" w:cs="Arial"/>
              </w:rPr>
            </w:pPr>
            <w:r w:rsidRPr="009E23A6">
              <w:rPr>
                <w:rFonts w:eastAsia="Calibri" w:cs="Arial"/>
              </w:rPr>
              <w:t>G9.</w:t>
            </w:r>
          </w:p>
        </w:tc>
        <w:tc>
          <w:tcPr>
            <w:tcW w:w="2126" w:type="dxa"/>
          </w:tcPr>
          <w:p w14:paraId="2C9CA1EF" w14:textId="77777777" w:rsidR="0057110D" w:rsidRPr="009E23A6" w:rsidRDefault="0057110D" w:rsidP="008442B5">
            <w:pPr>
              <w:spacing w:before="0" w:after="0" w:line="240" w:lineRule="auto"/>
              <w:jc w:val="center"/>
              <w:rPr>
                <w:rFonts w:eastAsia="Calibri" w:cs="Arial"/>
              </w:rPr>
            </w:pPr>
            <w:r w:rsidRPr="009E23A6">
              <w:rPr>
                <w:rFonts w:eastAsia="Calibri" w:cs="Arial"/>
              </w:rPr>
              <w:t>Počet výzkumných organizací dle podprogramu</w:t>
            </w:r>
          </w:p>
        </w:tc>
        <w:tc>
          <w:tcPr>
            <w:tcW w:w="1843" w:type="dxa"/>
          </w:tcPr>
          <w:p w14:paraId="0FFD21F9" w14:textId="77777777" w:rsidR="0057110D" w:rsidRPr="009E23A6" w:rsidRDefault="0057110D" w:rsidP="008442B5">
            <w:pPr>
              <w:spacing w:before="0" w:after="0" w:line="240" w:lineRule="auto"/>
              <w:jc w:val="center"/>
              <w:rPr>
                <w:rFonts w:eastAsia="Calibri" w:cs="Arial"/>
              </w:rPr>
            </w:pPr>
            <w:r w:rsidRPr="009E23A6">
              <w:rPr>
                <w:rFonts w:eastAsia="Calibri" w:cs="Arial"/>
              </w:rPr>
              <w:t>organizace</w:t>
            </w:r>
          </w:p>
        </w:tc>
        <w:tc>
          <w:tcPr>
            <w:tcW w:w="1843" w:type="dxa"/>
          </w:tcPr>
          <w:p w14:paraId="7D0D0041" w14:textId="77777777" w:rsidR="0057110D" w:rsidRPr="009E23A6" w:rsidRDefault="0057110D" w:rsidP="008442B5">
            <w:pPr>
              <w:spacing w:before="0" w:after="0" w:line="240" w:lineRule="auto"/>
              <w:jc w:val="center"/>
              <w:rPr>
                <w:rFonts w:eastAsia="Calibri" w:cs="Arial"/>
              </w:rPr>
            </w:pPr>
            <w:r w:rsidRPr="009E23A6">
              <w:rPr>
                <w:rFonts w:eastAsia="Calibri" w:cs="Arial"/>
              </w:rPr>
              <w:t>≥ 10</w:t>
            </w:r>
          </w:p>
        </w:tc>
        <w:tc>
          <w:tcPr>
            <w:tcW w:w="2108" w:type="dxa"/>
            <w:vMerge/>
          </w:tcPr>
          <w:p w14:paraId="76CFC3A8" w14:textId="77777777" w:rsidR="0057110D" w:rsidRPr="009E23A6" w:rsidRDefault="0057110D" w:rsidP="008442B5">
            <w:pPr>
              <w:spacing w:before="0" w:after="0" w:line="240" w:lineRule="auto"/>
              <w:jc w:val="left"/>
              <w:rPr>
                <w:rFonts w:eastAsia="Calibri" w:cs="Arial"/>
              </w:rPr>
            </w:pPr>
          </w:p>
        </w:tc>
        <w:tc>
          <w:tcPr>
            <w:tcW w:w="1577" w:type="dxa"/>
            <w:vMerge/>
          </w:tcPr>
          <w:p w14:paraId="1B920296" w14:textId="77777777" w:rsidR="0057110D" w:rsidRPr="009E23A6" w:rsidRDefault="0057110D" w:rsidP="008442B5">
            <w:pPr>
              <w:spacing w:before="0" w:after="0" w:line="240" w:lineRule="auto"/>
              <w:jc w:val="left"/>
              <w:rPr>
                <w:rFonts w:eastAsia="Calibri" w:cs="Arial"/>
              </w:rPr>
            </w:pPr>
          </w:p>
        </w:tc>
      </w:tr>
      <w:tr w:rsidR="0057110D" w:rsidRPr="009E23A6" w14:paraId="11FB5977" w14:textId="77777777" w:rsidTr="008442B5">
        <w:trPr>
          <w:trHeight w:val="134"/>
        </w:trPr>
        <w:tc>
          <w:tcPr>
            <w:tcW w:w="3823" w:type="dxa"/>
            <w:vMerge/>
          </w:tcPr>
          <w:p w14:paraId="2353F243" w14:textId="77777777" w:rsidR="0057110D" w:rsidRPr="009E23A6" w:rsidRDefault="0057110D" w:rsidP="008442B5">
            <w:pPr>
              <w:spacing w:before="0" w:after="0" w:line="240" w:lineRule="auto"/>
              <w:jc w:val="left"/>
              <w:rPr>
                <w:rFonts w:eastAsia="Calibri" w:cs="Arial"/>
              </w:rPr>
            </w:pPr>
          </w:p>
        </w:tc>
        <w:tc>
          <w:tcPr>
            <w:tcW w:w="1417" w:type="dxa"/>
          </w:tcPr>
          <w:p w14:paraId="6681B633" w14:textId="77777777" w:rsidR="0057110D" w:rsidRPr="009E23A6" w:rsidRDefault="0057110D" w:rsidP="008442B5">
            <w:pPr>
              <w:spacing w:before="0" w:after="0" w:line="240" w:lineRule="auto"/>
              <w:jc w:val="left"/>
              <w:rPr>
                <w:rFonts w:eastAsia="Calibri" w:cs="Arial"/>
              </w:rPr>
            </w:pPr>
            <w:r w:rsidRPr="009E23A6">
              <w:rPr>
                <w:rFonts w:eastAsia="Calibri" w:cs="Arial"/>
              </w:rPr>
              <w:t>G10.</w:t>
            </w:r>
          </w:p>
        </w:tc>
        <w:tc>
          <w:tcPr>
            <w:tcW w:w="2126" w:type="dxa"/>
          </w:tcPr>
          <w:p w14:paraId="1937B5C5" w14:textId="77777777" w:rsidR="0057110D" w:rsidRPr="009E23A6" w:rsidRDefault="0057110D" w:rsidP="008442B5">
            <w:pPr>
              <w:spacing w:before="0" w:after="0" w:line="240" w:lineRule="auto"/>
              <w:jc w:val="center"/>
              <w:rPr>
                <w:rFonts w:eastAsia="Calibri" w:cs="Arial"/>
              </w:rPr>
            </w:pPr>
            <w:r w:rsidRPr="009E23A6">
              <w:rPr>
                <w:rFonts w:eastAsia="Calibri" w:cs="Arial"/>
              </w:rPr>
              <w:t>Počet výzkumných organizací dle klíčových oblastí</w:t>
            </w:r>
          </w:p>
        </w:tc>
        <w:tc>
          <w:tcPr>
            <w:tcW w:w="1843" w:type="dxa"/>
          </w:tcPr>
          <w:p w14:paraId="094507FC" w14:textId="77777777" w:rsidR="0057110D" w:rsidRPr="009E23A6" w:rsidRDefault="0057110D" w:rsidP="008442B5">
            <w:pPr>
              <w:spacing w:before="0" w:after="0" w:line="240" w:lineRule="auto"/>
              <w:jc w:val="center"/>
              <w:rPr>
                <w:rFonts w:eastAsia="Calibri" w:cs="Arial"/>
              </w:rPr>
            </w:pPr>
            <w:r w:rsidRPr="009E23A6">
              <w:rPr>
                <w:rFonts w:eastAsia="Calibri" w:cs="Arial"/>
              </w:rPr>
              <w:t>organizace</w:t>
            </w:r>
          </w:p>
        </w:tc>
        <w:tc>
          <w:tcPr>
            <w:tcW w:w="1843" w:type="dxa"/>
          </w:tcPr>
          <w:p w14:paraId="384FF19D" w14:textId="77777777" w:rsidR="0057110D" w:rsidRPr="009E23A6" w:rsidRDefault="0057110D" w:rsidP="008442B5">
            <w:pPr>
              <w:spacing w:before="0" w:after="0" w:line="240" w:lineRule="auto"/>
              <w:jc w:val="center"/>
              <w:rPr>
                <w:rFonts w:eastAsia="Calibri" w:cs="Arial"/>
              </w:rPr>
            </w:pPr>
            <w:r w:rsidRPr="009E23A6">
              <w:rPr>
                <w:rFonts w:eastAsia="Calibri" w:cs="Arial"/>
              </w:rPr>
              <w:t>≥ 6</w:t>
            </w:r>
          </w:p>
        </w:tc>
        <w:tc>
          <w:tcPr>
            <w:tcW w:w="2108" w:type="dxa"/>
            <w:vMerge/>
          </w:tcPr>
          <w:p w14:paraId="6DF4EE2C" w14:textId="77777777" w:rsidR="0057110D" w:rsidRPr="009E23A6" w:rsidRDefault="0057110D" w:rsidP="008442B5">
            <w:pPr>
              <w:spacing w:before="0" w:after="0" w:line="240" w:lineRule="auto"/>
              <w:jc w:val="left"/>
              <w:rPr>
                <w:rFonts w:eastAsia="Calibri" w:cs="Arial"/>
              </w:rPr>
            </w:pPr>
          </w:p>
        </w:tc>
        <w:tc>
          <w:tcPr>
            <w:tcW w:w="1577" w:type="dxa"/>
            <w:vMerge/>
          </w:tcPr>
          <w:p w14:paraId="6861FB87" w14:textId="77777777" w:rsidR="0057110D" w:rsidRPr="009E23A6" w:rsidRDefault="0057110D" w:rsidP="008442B5">
            <w:pPr>
              <w:spacing w:before="0" w:after="0" w:line="240" w:lineRule="auto"/>
              <w:jc w:val="left"/>
              <w:rPr>
                <w:rFonts w:eastAsia="Calibri" w:cs="Arial"/>
              </w:rPr>
            </w:pPr>
          </w:p>
        </w:tc>
      </w:tr>
      <w:tr w:rsidR="0057110D" w:rsidRPr="009E23A6" w14:paraId="551B3813" w14:textId="77777777" w:rsidTr="008442B5">
        <w:trPr>
          <w:trHeight w:val="134"/>
        </w:trPr>
        <w:tc>
          <w:tcPr>
            <w:tcW w:w="3823" w:type="dxa"/>
          </w:tcPr>
          <w:p w14:paraId="72A3E186" w14:textId="77777777" w:rsidR="0057110D" w:rsidRPr="009E23A6" w:rsidRDefault="0057110D" w:rsidP="008442B5">
            <w:pPr>
              <w:spacing w:before="0" w:after="0" w:line="240" w:lineRule="auto"/>
              <w:jc w:val="left"/>
              <w:rPr>
                <w:rFonts w:eastAsia="Calibri" w:cs="Arial"/>
              </w:rPr>
            </w:pPr>
          </w:p>
        </w:tc>
        <w:tc>
          <w:tcPr>
            <w:tcW w:w="1417" w:type="dxa"/>
          </w:tcPr>
          <w:p w14:paraId="140FD3D5" w14:textId="77777777" w:rsidR="0057110D" w:rsidRPr="009E23A6" w:rsidRDefault="0057110D" w:rsidP="008442B5">
            <w:pPr>
              <w:spacing w:before="0" w:after="0" w:line="240" w:lineRule="auto"/>
              <w:jc w:val="left"/>
              <w:rPr>
                <w:rFonts w:eastAsia="Calibri" w:cs="Arial"/>
              </w:rPr>
            </w:pPr>
            <w:r w:rsidRPr="009E23A6">
              <w:rPr>
                <w:rFonts w:eastAsia="Calibri" w:cs="Arial"/>
              </w:rPr>
              <w:t>G11.</w:t>
            </w:r>
          </w:p>
        </w:tc>
        <w:tc>
          <w:tcPr>
            <w:tcW w:w="2126" w:type="dxa"/>
          </w:tcPr>
          <w:p w14:paraId="3E3E597C" w14:textId="77777777" w:rsidR="0057110D" w:rsidRPr="009E23A6" w:rsidRDefault="0057110D" w:rsidP="008442B5">
            <w:pPr>
              <w:spacing w:before="0" w:after="0" w:line="240" w:lineRule="auto"/>
              <w:jc w:val="center"/>
              <w:rPr>
                <w:rFonts w:eastAsia="Calibri" w:cs="Arial"/>
              </w:rPr>
            </w:pPr>
            <w:r w:rsidRPr="009E23A6">
              <w:rPr>
                <w:rFonts w:eastAsia="Calibri" w:cs="Arial"/>
              </w:rPr>
              <w:t>Počet dosažených výstupů</w:t>
            </w:r>
          </w:p>
        </w:tc>
        <w:tc>
          <w:tcPr>
            <w:tcW w:w="1843" w:type="dxa"/>
          </w:tcPr>
          <w:p w14:paraId="78FBD258" w14:textId="77777777" w:rsidR="0057110D" w:rsidRPr="009E23A6" w:rsidRDefault="0057110D" w:rsidP="008442B5">
            <w:pPr>
              <w:spacing w:before="0" w:after="0" w:line="240" w:lineRule="auto"/>
              <w:jc w:val="center"/>
              <w:rPr>
                <w:rFonts w:eastAsia="Calibri" w:cs="Arial"/>
              </w:rPr>
            </w:pPr>
            <w:r w:rsidRPr="009E23A6">
              <w:rPr>
                <w:rFonts w:eastAsia="Calibri" w:cs="Arial"/>
              </w:rPr>
              <w:t>výstup/projekt</w:t>
            </w:r>
          </w:p>
        </w:tc>
        <w:tc>
          <w:tcPr>
            <w:tcW w:w="1843" w:type="dxa"/>
          </w:tcPr>
          <w:p w14:paraId="6FC1742D" w14:textId="77777777" w:rsidR="0057110D" w:rsidRPr="009E23A6" w:rsidRDefault="0057110D" w:rsidP="008442B5">
            <w:pPr>
              <w:spacing w:before="0" w:after="0" w:line="240" w:lineRule="auto"/>
              <w:jc w:val="center"/>
              <w:rPr>
                <w:rFonts w:eastAsia="Calibri" w:cs="Arial"/>
              </w:rPr>
            </w:pPr>
            <w:r w:rsidRPr="009E23A6">
              <w:rPr>
                <w:rFonts w:eastAsia="Calibri" w:cs="Arial"/>
              </w:rPr>
              <w:t>4</w:t>
            </w:r>
          </w:p>
        </w:tc>
        <w:tc>
          <w:tcPr>
            <w:tcW w:w="2108" w:type="dxa"/>
          </w:tcPr>
          <w:p w14:paraId="6B92C613" w14:textId="77777777" w:rsidR="0057110D" w:rsidRPr="009E23A6" w:rsidRDefault="0057110D" w:rsidP="008442B5">
            <w:pPr>
              <w:spacing w:before="0" w:after="0" w:line="240" w:lineRule="auto"/>
              <w:jc w:val="left"/>
              <w:rPr>
                <w:rFonts w:eastAsia="Calibri" w:cs="Arial"/>
              </w:rPr>
            </w:pPr>
          </w:p>
        </w:tc>
        <w:tc>
          <w:tcPr>
            <w:tcW w:w="1577" w:type="dxa"/>
          </w:tcPr>
          <w:p w14:paraId="78C5BE1C" w14:textId="77777777" w:rsidR="0057110D" w:rsidRPr="009E23A6" w:rsidRDefault="0057110D" w:rsidP="008442B5">
            <w:pPr>
              <w:spacing w:before="0" w:after="0" w:line="240" w:lineRule="auto"/>
              <w:jc w:val="left"/>
              <w:rPr>
                <w:rFonts w:eastAsia="Calibri" w:cs="Arial"/>
              </w:rPr>
            </w:pPr>
          </w:p>
        </w:tc>
      </w:tr>
      <w:tr w:rsidR="0057110D" w:rsidRPr="009E23A6" w14:paraId="155725E7" w14:textId="77777777" w:rsidTr="008442B5">
        <w:trPr>
          <w:trHeight w:val="134"/>
        </w:trPr>
        <w:tc>
          <w:tcPr>
            <w:tcW w:w="3823" w:type="dxa"/>
          </w:tcPr>
          <w:p w14:paraId="10430D24" w14:textId="77777777" w:rsidR="0057110D" w:rsidRPr="009E23A6" w:rsidRDefault="0057110D" w:rsidP="008442B5">
            <w:pPr>
              <w:spacing w:before="0" w:after="0" w:line="240" w:lineRule="auto"/>
              <w:jc w:val="left"/>
              <w:rPr>
                <w:rFonts w:eastAsia="Calibri" w:cs="Arial"/>
              </w:rPr>
            </w:pPr>
          </w:p>
        </w:tc>
        <w:tc>
          <w:tcPr>
            <w:tcW w:w="1417" w:type="dxa"/>
          </w:tcPr>
          <w:p w14:paraId="775BE88E" w14:textId="6B93DF15" w:rsidR="0057110D" w:rsidRPr="009E23A6" w:rsidRDefault="0057110D" w:rsidP="008442B5">
            <w:pPr>
              <w:spacing w:before="0" w:after="0" w:line="240" w:lineRule="auto"/>
              <w:jc w:val="left"/>
              <w:rPr>
                <w:rFonts w:eastAsia="Calibri" w:cs="Arial"/>
              </w:rPr>
            </w:pPr>
            <w:r w:rsidRPr="009E23A6">
              <w:rPr>
                <w:rFonts w:eastAsia="Calibri" w:cs="Arial"/>
              </w:rPr>
              <w:t>G1</w:t>
            </w:r>
            <w:r w:rsidR="00A0059F" w:rsidRPr="009E23A6">
              <w:rPr>
                <w:rFonts w:eastAsia="Calibri" w:cs="Arial"/>
              </w:rPr>
              <w:t>2</w:t>
            </w:r>
            <w:r w:rsidRPr="009E23A6">
              <w:rPr>
                <w:rFonts w:eastAsia="Calibri" w:cs="Arial"/>
              </w:rPr>
              <w:t>.</w:t>
            </w:r>
          </w:p>
        </w:tc>
        <w:tc>
          <w:tcPr>
            <w:tcW w:w="2126" w:type="dxa"/>
          </w:tcPr>
          <w:p w14:paraId="1BF57E8F" w14:textId="77777777" w:rsidR="0057110D" w:rsidRPr="009E23A6" w:rsidRDefault="0057110D" w:rsidP="008442B5">
            <w:pPr>
              <w:spacing w:before="0" w:after="0" w:line="240" w:lineRule="auto"/>
              <w:jc w:val="center"/>
              <w:rPr>
                <w:rFonts w:eastAsia="Calibri" w:cs="Arial"/>
              </w:rPr>
            </w:pPr>
            <w:r w:rsidRPr="009E23A6">
              <w:rPr>
                <w:rFonts w:eastAsia="Calibri" w:cs="Arial"/>
              </w:rPr>
              <w:t>Podíl aplikovaných výsledků RIV</w:t>
            </w:r>
          </w:p>
        </w:tc>
        <w:tc>
          <w:tcPr>
            <w:tcW w:w="1843" w:type="dxa"/>
          </w:tcPr>
          <w:p w14:paraId="3404E7E0"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3B40517F" w14:textId="77777777" w:rsidR="0057110D" w:rsidRPr="009E23A6" w:rsidRDefault="0057110D" w:rsidP="008442B5">
            <w:pPr>
              <w:spacing w:before="0" w:after="0" w:line="240" w:lineRule="auto"/>
              <w:jc w:val="center"/>
              <w:rPr>
                <w:rFonts w:eastAsia="Calibri" w:cs="Arial"/>
              </w:rPr>
            </w:pPr>
            <w:r w:rsidRPr="009E23A6">
              <w:rPr>
                <w:rFonts w:eastAsia="Calibri" w:cs="Arial"/>
              </w:rPr>
              <w:t>≥ 50</w:t>
            </w:r>
          </w:p>
        </w:tc>
        <w:tc>
          <w:tcPr>
            <w:tcW w:w="2108" w:type="dxa"/>
          </w:tcPr>
          <w:p w14:paraId="2D8335CD" w14:textId="77777777" w:rsidR="0057110D" w:rsidRPr="009E23A6" w:rsidRDefault="0057110D" w:rsidP="008442B5">
            <w:pPr>
              <w:spacing w:before="0" w:after="0" w:line="240" w:lineRule="auto"/>
              <w:jc w:val="left"/>
              <w:rPr>
                <w:rFonts w:eastAsia="Calibri" w:cs="Arial"/>
              </w:rPr>
            </w:pPr>
          </w:p>
        </w:tc>
        <w:tc>
          <w:tcPr>
            <w:tcW w:w="1577" w:type="dxa"/>
          </w:tcPr>
          <w:p w14:paraId="1DB3C9F3" w14:textId="77777777" w:rsidR="0057110D" w:rsidRPr="009E23A6" w:rsidRDefault="0057110D" w:rsidP="008442B5">
            <w:pPr>
              <w:spacing w:before="0" w:after="0" w:line="240" w:lineRule="auto"/>
              <w:jc w:val="left"/>
              <w:rPr>
                <w:rFonts w:eastAsia="Calibri" w:cs="Arial"/>
              </w:rPr>
            </w:pPr>
          </w:p>
        </w:tc>
      </w:tr>
      <w:tr w:rsidR="0057110D" w:rsidRPr="009E23A6" w14:paraId="55F3A39C" w14:textId="77777777" w:rsidTr="008442B5">
        <w:trPr>
          <w:trHeight w:val="134"/>
        </w:trPr>
        <w:tc>
          <w:tcPr>
            <w:tcW w:w="3823" w:type="dxa"/>
          </w:tcPr>
          <w:p w14:paraId="4B55D25A" w14:textId="77777777" w:rsidR="0057110D" w:rsidRPr="009E23A6" w:rsidRDefault="0057110D" w:rsidP="008442B5">
            <w:pPr>
              <w:spacing w:before="0" w:after="0" w:line="240" w:lineRule="auto"/>
              <w:jc w:val="left"/>
              <w:rPr>
                <w:rFonts w:eastAsia="Calibri" w:cs="Arial"/>
              </w:rPr>
            </w:pPr>
          </w:p>
        </w:tc>
        <w:tc>
          <w:tcPr>
            <w:tcW w:w="1417" w:type="dxa"/>
          </w:tcPr>
          <w:p w14:paraId="3673B2D1" w14:textId="22E20C49" w:rsidR="0057110D" w:rsidRPr="009E23A6" w:rsidRDefault="0057110D" w:rsidP="008442B5">
            <w:pPr>
              <w:spacing w:before="0" w:after="0" w:line="240" w:lineRule="auto"/>
              <w:jc w:val="left"/>
              <w:rPr>
                <w:rFonts w:eastAsia="Calibri" w:cs="Arial"/>
              </w:rPr>
            </w:pPr>
            <w:r w:rsidRPr="009E23A6">
              <w:rPr>
                <w:rFonts w:eastAsia="Calibri" w:cs="Arial"/>
              </w:rPr>
              <w:t>G1</w:t>
            </w:r>
            <w:r w:rsidR="00A0059F" w:rsidRPr="009E23A6">
              <w:rPr>
                <w:rFonts w:eastAsia="Calibri" w:cs="Arial"/>
              </w:rPr>
              <w:t>3</w:t>
            </w:r>
            <w:r w:rsidRPr="009E23A6">
              <w:rPr>
                <w:rFonts w:eastAsia="Calibri" w:cs="Arial"/>
              </w:rPr>
              <w:t>.</w:t>
            </w:r>
          </w:p>
        </w:tc>
        <w:tc>
          <w:tcPr>
            <w:tcW w:w="2126" w:type="dxa"/>
          </w:tcPr>
          <w:p w14:paraId="0F9FD9E4" w14:textId="77777777" w:rsidR="0057110D" w:rsidRPr="009E23A6" w:rsidRDefault="0057110D" w:rsidP="008442B5">
            <w:pPr>
              <w:spacing w:before="0" w:after="0" w:line="240" w:lineRule="auto"/>
              <w:jc w:val="center"/>
              <w:rPr>
                <w:rFonts w:eastAsia="Calibri" w:cs="Arial"/>
              </w:rPr>
            </w:pPr>
            <w:r w:rsidRPr="009E23A6">
              <w:rPr>
                <w:rFonts w:eastAsia="Calibri" w:cs="Arial"/>
              </w:rPr>
              <w:t>Podíl dosažených publikačních výsledků RIV</w:t>
            </w:r>
          </w:p>
        </w:tc>
        <w:tc>
          <w:tcPr>
            <w:tcW w:w="1843" w:type="dxa"/>
          </w:tcPr>
          <w:p w14:paraId="0276AAC4"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1D81D7C1" w14:textId="77777777" w:rsidR="0057110D" w:rsidRPr="009E23A6" w:rsidRDefault="0057110D" w:rsidP="008442B5">
            <w:pPr>
              <w:spacing w:before="0" w:after="0" w:line="240" w:lineRule="auto"/>
              <w:jc w:val="center"/>
              <w:rPr>
                <w:rFonts w:eastAsia="Calibri" w:cs="Arial"/>
              </w:rPr>
            </w:pPr>
            <w:r w:rsidRPr="009E23A6">
              <w:rPr>
                <w:rFonts w:eastAsia="Calibri" w:cs="Arial"/>
              </w:rPr>
              <w:t>≥ 30</w:t>
            </w:r>
          </w:p>
        </w:tc>
        <w:tc>
          <w:tcPr>
            <w:tcW w:w="2108" w:type="dxa"/>
          </w:tcPr>
          <w:p w14:paraId="193EC396" w14:textId="77777777" w:rsidR="0057110D" w:rsidRPr="009E23A6" w:rsidRDefault="0057110D" w:rsidP="008442B5">
            <w:pPr>
              <w:spacing w:before="0" w:after="0" w:line="240" w:lineRule="auto"/>
              <w:jc w:val="left"/>
              <w:rPr>
                <w:rFonts w:eastAsia="Calibri" w:cs="Arial"/>
              </w:rPr>
            </w:pPr>
          </w:p>
        </w:tc>
        <w:tc>
          <w:tcPr>
            <w:tcW w:w="1577" w:type="dxa"/>
          </w:tcPr>
          <w:p w14:paraId="17E20C04" w14:textId="77777777" w:rsidR="0057110D" w:rsidRPr="009E23A6" w:rsidRDefault="0057110D" w:rsidP="008442B5">
            <w:pPr>
              <w:spacing w:before="0" w:after="0" w:line="240" w:lineRule="auto"/>
              <w:jc w:val="left"/>
              <w:rPr>
                <w:rFonts w:eastAsia="Calibri" w:cs="Arial"/>
              </w:rPr>
            </w:pPr>
          </w:p>
        </w:tc>
      </w:tr>
      <w:tr w:rsidR="0057110D" w:rsidRPr="009E23A6" w14:paraId="6E979C45" w14:textId="77777777" w:rsidTr="008442B5">
        <w:trPr>
          <w:trHeight w:val="134"/>
        </w:trPr>
        <w:tc>
          <w:tcPr>
            <w:tcW w:w="3823" w:type="dxa"/>
          </w:tcPr>
          <w:p w14:paraId="7ED86D50" w14:textId="77777777" w:rsidR="0057110D" w:rsidRPr="009E23A6" w:rsidRDefault="0057110D" w:rsidP="008442B5">
            <w:pPr>
              <w:spacing w:before="0" w:after="0" w:line="240" w:lineRule="auto"/>
              <w:jc w:val="left"/>
              <w:rPr>
                <w:rFonts w:eastAsia="Calibri" w:cs="Arial"/>
              </w:rPr>
            </w:pPr>
          </w:p>
        </w:tc>
        <w:tc>
          <w:tcPr>
            <w:tcW w:w="1417" w:type="dxa"/>
          </w:tcPr>
          <w:p w14:paraId="4FE68781" w14:textId="54FE1679" w:rsidR="0057110D" w:rsidRPr="009E23A6" w:rsidRDefault="0057110D" w:rsidP="008442B5">
            <w:pPr>
              <w:spacing w:before="0" w:after="0" w:line="240" w:lineRule="auto"/>
              <w:jc w:val="left"/>
              <w:rPr>
                <w:rFonts w:eastAsia="Calibri" w:cs="Arial"/>
              </w:rPr>
            </w:pPr>
            <w:r w:rsidRPr="009E23A6">
              <w:rPr>
                <w:rFonts w:eastAsia="Calibri" w:cs="Arial"/>
              </w:rPr>
              <w:t>G1</w:t>
            </w:r>
            <w:r w:rsidR="00A0059F" w:rsidRPr="009E23A6">
              <w:rPr>
                <w:rFonts w:eastAsia="Calibri" w:cs="Arial"/>
              </w:rPr>
              <w:t>4</w:t>
            </w:r>
            <w:r w:rsidRPr="009E23A6">
              <w:rPr>
                <w:rFonts w:eastAsia="Calibri" w:cs="Arial"/>
              </w:rPr>
              <w:t>.</w:t>
            </w:r>
          </w:p>
        </w:tc>
        <w:tc>
          <w:tcPr>
            <w:tcW w:w="2126" w:type="dxa"/>
          </w:tcPr>
          <w:p w14:paraId="59E93A00" w14:textId="77777777" w:rsidR="0057110D" w:rsidRPr="009E23A6" w:rsidRDefault="0057110D" w:rsidP="008442B5">
            <w:pPr>
              <w:spacing w:before="0" w:after="0" w:line="240" w:lineRule="auto"/>
              <w:jc w:val="center"/>
              <w:rPr>
                <w:rFonts w:eastAsia="Calibri" w:cs="Arial"/>
              </w:rPr>
            </w:pPr>
            <w:r w:rsidRPr="009E23A6">
              <w:rPr>
                <w:rFonts w:eastAsia="Calibri" w:cs="Arial"/>
              </w:rPr>
              <w:t>Počet podpořených interdisciplinárních projektů</w:t>
            </w:r>
          </w:p>
        </w:tc>
        <w:tc>
          <w:tcPr>
            <w:tcW w:w="1843" w:type="dxa"/>
          </w:tcPr>
          <w:p w14:paraId="6362FF8B" w14:textId="77777777" w:rsidR="0057110D" w:rsidRPr="009E23A6" w:rsidRDefault="0057110D" w:rsidP="008442B5">
            <w:pPr>
              <w:spacing w:before="0" w:after="0" w:line="240" w:lineRule="auto"/>
              <w:jc w:val="center"/>
              <w:rPr>
                <w:rFonts w:eastAsia="Calibri" w:cs="Arial"/>
              </w:rPr>
            </w:pPr>
            <w:r w:rsidRPr="009E23A6">
              <w:rPr>
                <w:rFonts w:eastAsia="Calibri" w:cs="Arial"/>
              </w:rPr>
              <w:t>projekt</w:t>
            </w:r>
          </w:p>
        </w:tc>
        <w:tc>
          <w:tcPr>
            <w:tcW w:w="1843" w:type="dxa"/>
          </w:tcPr>
          <w:p w14:paraId="67F266C3" w14:textId="77777777" w:rsidR="0057110D" w:rsidRPr="009E23A6" w:rsidRDefault="0057110D" w:rsidP="008442B5">
            <w:pPr>
              <w:spacing w:before="0" w:after="0" w:line="240" w:lineRule="auto"/>
              <w:jc w:val="center"/>
              <w:rPr>
                <w:rFonts w:eastAsia="Calibri" w:cs="Arial"/>
              </w:rPr>
            </w:pPr>
            <w:r w:rsidRPr="009E23A6">
              <w:rPr>
                <w:rFonts w:eastAsia="Calibri" w:cs="Arial"/>
              </w:rPr>
              <w:t>≥ 150</w:t>
            </w:r>
          </w:p>
        </w:tc>
        <w:tc>
          <w:tcPr>
            <w:tcW w:w="2108" w:type="dxa"/>
          </w:tcPr>
          <w:p w14:paraId="595D3CED" w14:textId="77777777" w:rsidR="0057110D" w:rsidRPr="009E23A6" w:rsidRDefault="0057110D" w:rsidP="008442B5">
            <w:pPr>
              <w:spacing w:before="0" w:after="0" w:line="240" w:lineRule="auto"/>
              <w:jc w:val="left"/>
              <w:rPr>
                <w:rFonts w:eastAsia="Calibri" w:cs="Arial"/>
              </w:rPr>
            </w:pPr>
          </w:p>
        </w:tc>
        <w:tc>
          <w:tcPr>
            <w:tcW w:w="1577" w:type="dxa"/>
          </w:tcPr>
          <w:p w14:paraId="68F73420" w14:textId="77777777" w:rsidR="0057110D" w:rsidRPr="009E23A6" w:rsidRDefault="0057110D" w:rsidP="008442B5">
            <w:pPr>
              <w:spacing w:before="0" w:after="0" w:line="240" w:lineRule="auto"/>
              <w:jc w:val="left"/>
              <w:rPr>
                <w:rFonts w:eastAsia="Calibri" w:cs="Arial"/>
              </w:rPr>
            </w:pPr>
          </w:p>
        </w:tc>
      </w:tr>
      <w:tr w:rsidR="0057110D" w:rsidRPr="009E23A6" w14:paraId="0D1F28F1" w14:textId="77777777" w:rsidTr="008442B5">
        <w:tc>
          <w:tcPr>
            <w:tcW w:w="14737" w:type="dxa"/>
            <w:gridSpan w:val="7"/>
            <w:shd w:val="clear" w:color="auto" w:fill="A8D08D"/>
          </w:tcPr>
          <w:p w14:paraId="4952EB71" w14:textId="77777777" w:rsidR="0057110D" w:rsidRPr="009E23A6" w:rsidRDefault="0057110D" w:rsidP="008442B5">
            <w:pPr>
              <w:spacing w:before="0" w:after="0" w:line="240" w:lineRule="auto"/>
              <w:jc w:val="left"/>
              <w:rPr>
                <w:rFonts w:eastAsia="Calibri" w:cs="Arial"/>
                <w:b/>
              </w:rPr>
            </w:pPr>
            <w:r w:rsidRPr="009E23A6">
              <w:rPr>
                <w:rFonts w:eastAsia="Calibri" w:cs="Arial"/>
                <w:b/>
              </w:rPr>
              <w:t>Specifické cíle</w:t>
            </w:r>
          </w:p>
        </w:tc>
      </w:tr>
      <w:tr w:rsidR="0057110D" w:rsidRPr="009E23A6" w14:paraId="06C26BD3" w14:textId="77777777" w:rsidTr="008442B5">
        <w:trPr>
          <w:trHeight w:val="500"/>
        </w:trPr>
        <w:tc>
          <w:tcPr>
            <w:tcW w:w="3823" w:type="dxa"/>
            <w:vMerge w:val="restart"/>
          </w:tcPr>
          <w:p w14:paraId="7F7265B0" w14:textId="5624C059" w:rsidR="0057110D" w:rsidRPr="009E23A6" w:rsidRDefault="0057110D" w:rsidP="008442B5">
            <w:pPr>
              <w:spacing w:before="0" w:after="0" w:line="240" w:lineRule="auto"/>
              <w:jc w:val="left"/>
              <w:rPr>
                <w:rFonts w:eastAsia="Calibri" w:cs="Arial"/>
                <w:b/>
              </w:rPr>
            </w:pPr>
            <w:r w:rsidRPr="009E23A6">
              <w:rPr>
                <w:rFonts w:eastAsia="Calibri" w:cs="Arial"/>
                <w:b/>
              </w:rPr>
              <w:t xml:space="preserve">S1. </w:t>
            </w:r>
            <w:r w:rsidR="00D47792" w:rsidRPr="009E23A6">
              <w:rPr>
                <w:rFonts w:eastAsia="Calibri" w:cs="Arial"/>
                <w:b/>
              </w:rPr>
              <w:t>Rozvoj</w:t>
            </w:r>
            <w:r w:rsidRPr="009E23A6">
              <w:rPr>
                <w:rFonts w:eastAsia="Calibri" w:cs="Arial"/>
                <w:b/>
              </w:rPr>
              <w:t xml:space="preserve"> inovativního zemědělství, potravinářství, vodního hospodářství a lesnictví prostřednictvím </w:t>
            </w:r>
            <w:r w:rsidR="00D47792" w:rsidRPr="009E23A6">
              <w:rPr>
                <w:rFonts w:eastAsia="Calibri" w:cs="Arial"/>
                <w:b/>
                <w:bCs/>
              </w:rPr>
              <w:t>nových</w:t>
            </w:r>
            <w:r w:rsidRPr="009E23A6">
              <w:rPr>
                <w:rFonts w:eastAsia="Calibri" w:cs="Arial"/>
                <w:b/>
              </w:rPr>
              <w:t xml:space="preserve"> postupů a technologií</w:t>
            </w:r>
          </w:p>
          <w:p w14:paraId="62B3FD5B" w14:textId="77777777" w:rsidR="0057110D" w:rsidRPr="009E23A6" w:rsidRDefault="0057110D" w:rsidP="008442B5">
            <w:pPr>
              <w:spacing w:before="0" w:after="0" w:line="240" w:lineRule="auto"/>
              <w:jc w:val="left"/>
              <w:rPr>
                <w:rFonts w:eastAsia="Calibri" w:cs="Arial"/>
              </w:rPr>
            </w:pPr>
          </w:p>
          <w:p w14:paraId="2E0B85F8" w14:textId="77777777" w:rsidR="0057110D" w:rsidRPr="009E23A6" w:rsidRDefault="0057110D" w:rsidP="008442B5">
            <w:pPr>
              <w:spacing w:before="0" w:after="0" w:line="240" w:lineRule="auto"/>
              <w:jc w:val="left"/>
              <w:rPr>
                <w:rFonts w:eastAsia="Calibri" w:cs="Arial"/>
              </w:rPr>
            </w:pPr>
          </w:p>
        </w:tc>
        <w:tc>
          <w:tcPr>
            <w:tcW w:w="1417" w:type="dxa"/>
          </w:tcPr>
          <w:p w14:paraId="0B1F42E1" w14:textId="77777777" w:rsidR="0057110D" w:rsidRPr="009E23A6" w:rsidRDefault="0057110D" w:rsidP="008442B5">
            <w:pPr>
              <w:spacing w:before="0" w:after="0" w:line="240" w:lineRule="auto"/>
              <w:rPr>
                <w:rFonts w:eastAsia="Calibri" w:cs="Arial"/>
              </w:rPr>
            </w:pPr>
            <w:r w:rsidRPr="009E23A6">
              <w:rPr>
                <w:rFonts w:eastAsia="Calibri" w:cs="Arial"/>
              </w:rPr>
              <w:t>S1. / 1</w:t>
            </w:r>
          </w:p>
        </w:tc>
        <w:tc>
          <w:tcPr>
            <w:tcW w:w="2126" w:type="dxa"/>
          </w:tcPr>
          <w:p w14:paraId="495565AA" w14:textId="77777777" w:rsidR="0057110D" w:rsidRPr="009E23A6" w:rsidRDefault="0057110D" w:rsidP="008442B5">
            <w:pPr>
              <w:spacing w:before="0" w:after="0" w:line="240" w:lineRule="auto"/>
              <w:contextualSpacing/>
              <w:jc w:val="center"/>
              <w:rPr>
                <w:rFonts w:eastAsia="Calibri" w:cs="Arial"/>
                <w:b/>
              </w:rPr>
            </w:pPr>
            <w:r w:rsidRPr="009E23A6">
              <w:rPr>
                <w:rFonts w:eastAsia="Calibri" w:cs="Arial"/>
                <w:b/>
              </w:rPr>
              <w:t>Identifikátor</w:t>
            </w:r>
          </w:p>
        </w:tc>
        <w:tc>
          <w:tcPr>
            <w:tcW w:w="1843" w:type="dxa"/>
          </w:tcPr>
          <w:p w14:paraId="6C29FFE0" w14:textId="77777777" w:rsidR="0057110D" w:rsidRPr="009E23A6" w:rsidRDefault="0057110D" w:rsidP="008442B5">
            <w:pPr>
              <w:spacing w:before="0" w:after="0" w:line="240" w:lineRule="auto"/>
              <w:jc w:val="center"/>
              <w:rPr>
                <w:rFonts w:eastAsia="Calibri" w:cs="Arial"/>
                <w:b/>
              </w:rPr>
            </w:pPr>
            <w:r w:rsidRPr="009E23A6">
              <w:rPr>
                <w:rFonts w:eastAsia="Calibri" w:cs="Arial"/>
                <w:b/>
              </w:rPr>
              <w:t>Jednotka</w:t>
            </w:r>
          </w:p>
        </w:tc>
        <w:tc>
          <w:tcPr>
            <w:tcW w:w="1843" w:type="dxa"/>
          </w:tcPr>
          <w:p w14:paraId="224A1B67" w14:textId="77777777" w:rsidR="0057110D" w:rsidRPr="009E23A6" w:rsidRDefault="0057110D" w:rsidP="008442B5">
            <w:pPr>
              <w:spacing w:before="0" w:after="0" w:line="240" w:lineRule="auto"/>
              <w:ind w:left="36"/>
              <w:jc w:val="center"/>
              <w:rPr>
                <w:rFonts w:eastAsia="Calibri" w:cs="Arial"/>
                <w:b/>
              </w:rPr>
            </w:pPr>
            <w:r w:rsidRPr="009E23A6">
              <w:rPr>
                <w:rFonts w:eastAsia="Calibri" w:cs="Arial"/>
                <w:b/>
              </w:rPr>
              <w:t>Cílová hodnota</w:t>
            </w:r>
          </w:p>
        </w:tc>
        <w:tc>
          <w:tcPr>
            <w:tcW w:w="2108" w:type="dxa"/>
            <w:vMerge w:val="restart"/>
          </w:tcPr>
          <w:p w14:paraId="100A0EF8" w14:textId="77777777" w:rsidR="0057110D" w:rsidRPr="009E23A6" w:rsidRDefault="0057110D" w:rsidP="008442B5">
            <w:pPr>
              <w:spacing w:before="0" w:after="0" w:line="240" w:lineRule="auto"/>
              <w:jc w:val="left"/>
              <w:rPr>
                <w:rFonts w:eastAsia="Calibri" w:cs="Arial"/>
              </w:rPr>
            </w:pPr>
            <w:r w:rsidRPr="009E23A6">
              <w:rPr>
                <w:rFonts w:eastAsia="Calibri" w:cs="Arial"/>
              </w:rPr>
              <w:t>IS VaVaI, interní monitorovací systém (existuje-li)</w:t>
            </w:r>
          </w:p>
          <w:p w14:paraId="6CECFDAF" w14:textId="77777777" w:rsidR="0057110D" w:rsidRPr="009E23A6" w:rsidRDefault="0057110D" w:rsidP="008442B5">
            <w:pPr>
              <w:spacing w:before="0" w:after="0" w:line="240" w:lineRule="auto"/>
              <w:jc w:val="left"/>
              <w:rPr>
                <w:rFonts w:eastAsia="Calibri" w:cs="Arial"/>
              </w:rPr>
            </w:pPr>
            <w:r w:rsidRPr="009E23A6">
              <w:rPr>
                <w:rFonts w:eastAsia="Calibri" w:cs="Arial"/>
              </w:rPr>
              <w:t>Závěrečné zprávy z řešení projektů (popř. dotazníkové šetření)</w:t>
            </w:r>
          </w:p>
        </w:tc>
        <w:tc>
          <w:tcPr>
            <w:tcW w:w="1577" w:type="dxa"/>
            <w:vMerge w:val="restart"/>
          </w:tcPr>
          <w:p w14:paraId="5ACD0840" w14:textId="77777777" w:rsidR="0057110D" w:rsidRPr="009E23A6" w:rsidRDefault="0057110D" w:rsidP="008442B5">
            <w:pPr>
              <w:spacing w:before="0" w:after="0" w:line="240" w:lineRule="auto"/>
              <w:jc w:val="left"/>
              <w:rPr>
                <w:rFonts w:eastAsia="Calibri" w:cs="Arial"/>
              </w:rPr>
            </w:pPr>
            <w:r w:rsidRPr="009E23A6">
              <w:rPr>
                <w:rFonts w:eastAsia="Calibri" w:cs="Arial"/>
              </w:rPr>
              <w:t>Podprogram I</w:t>
            </w:r>
          </w:p>
        </w:tc>
      </w:tr>
      <w:tr w:rsidR="0057110D" w:rsidRPr="009E23A6" w14:paraId="7E8DE040" w14:textId="77777777" w:rsidTr="008442B5">
        <w:trPr>
          <w:trHeight w:val="500"/>
        </w:trPr>
        <w:tc>
          <w:tcPr>
            <w:tcW w:w="3823" w:type="dxa"/>
            <w:vMerge/>
          </w:tcPr>
          <w:p w14:paraId="6BAF38B2" w14:textId="77777777" w:rsidR="0057110D" w:rsidRPr="009E23A6" w:rsidRDefault="0057110D" w:rsidP="008442B5">
            <w:pPr>
              <w:spacing w:before="0" w:after="0" w:line="240" w:lineRule="auto"/>
              <w:jc w:val="left"/>
              <w:rPr>
                <w:rFonts w:eastAsia="Calibri" w:cs="Arial"/>
              </w:rPr>
            </w:pPr>
          </w:p>
        </w:tc>
        <w:tc>
          <w:tcPr>
            <w:tcW w:w="1417" w:type="dxa"/>
          </w:tcPr>
          <w:p w14:paraId="3C1EE399" w14:textId="77777777" w:rsidR="0057110D" w:rsidRPr="009E23A6" w:rsidRDefault="0057110D" w:rsidP="008442B5">
            <w:pPr>
              <w:spacing w:before="0" w:after="0" w:line="240" w:lineRule="auto"/>
              <w:jc w:val="left"/>
              <w:rPr>
                <w:rFonts w:eastAsia="Calibri" w:cs="Arial"/>
              </w:rPr>
            </w:pPr>
            <w:r w:rsidRPr="009E23A6">
              <w:rPr>
                <w:rFonts w:eastAsia="Calibri" w:cs="Arial"/>
              </w:rPr>
              <w:t>S1. / 2</w:t>
            </w:r>
          </w:p>
        </w:tc>
        <w:tc>
          <w:tcPr>
            <w:tcW w:w="2126" w:type="dxa"/>
          </w:tcPr>
          <w:p w14:paraId="080E43D2" w14:textId="77777777" w:rsidR="0057110D" w:rsidRPr="009E23A6" w:rsidRDefault="0057110D" w:rsidP="008442B5">
            <w:pPr>
              <w:spacing w:before="0" w:after="0" w:line="240" w:lineRule="auto"/>
              <w:jc w:val="center"/>
              <w:rPr>
                <w:rFonts w:eastAsia="Calibri" w:cs="Arial"/>
              </w:rPr>
            </w:pPr>
            <w:r w:rsidRPr="009E23A6">
              <w:rPr>
                <w:rFonts w:eastAsia="Calibri" w:cs="Arial"/>
              </w:rPr>
              <w:t>Podíl podpořených projektů dle výzkumného směru z PP1</w:t>
            </w:r>
          </w:p>
        </w:tc>
        <w:tc>
          <w:tcPr>
            <w:tcW w:w="1843" w:type="dxa"/>
          </w:tcPr>
          <w:p w14:paraId="264C7D99"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5F7B13CC" w14:textId="77777777" w:rsidR="0057110D" w:rsidRPr="009E23A6" w:rsidRDefault="0057110D" w:rsidP="008442B5">
            <w:pPr>
              <w:spacing w:before="0" w:after="0" w:line="240" w:lineRule="auto"/>
              <w:jc w:val="center"/>
              <w:rPr>
                <w:rFonts w:eastAsia="Calibri" w:cs="Arial"/>
              </w:rPr>
            </w:pPr>
            <w:r w:rsidRPr="009E23A6">
              <w:rPr>
                <w:rFonts w:eastAsia="Calibri" w:cs="Arial"/>
              </w:rPr>
              <w:t>7</w:t>
            </w:r>
          </w:p>
        </w:tc>
        <w:tc>
          <w:tcPr>
            <w:tcW w:w="2108" w:type="dxa"/>
            <w:vMerge/>
          </w:tcPr>
          <w:p w14:paraId="0FB36250" w14:textId="77777777" w:rsidR="0057110D" w:rsidRPr="009E23A6" w:rsidRDefault="0057110D" w:rsidP="008442B5">
            <w:pPr>
              <w:spacing w:before="0" w:after="0" w:line="240" w:lineRule="auto"/>
              <w:jc w:val="left"/>
              <w:rPr>
                <w:rFonts w:eastAsia="Calibri" w:cs="Arial"/>
              </w:rPr>
            </w:pPr>
          </w:p>
        </w:tc>
        <w:tc>
          <w:tcPr>
            <w:tcW w:w="1577" w:type="dxa"/>
            <w:vMerge/>
          </w:tcPr>
          <w:p w14:paraId="6FCF4B6F" w14:textId="77777777" w:rsidR="0057110D" w:rsidRPr="009E23A6" w:rsidRDefault="0057110D" w:rsidP="008442B5">
            <w:pPr>
              <w:spacing w:before="0" w:after="0" w:line="240" w:lineRule="auto"/>
              <w:jc w:val="left"/>
              <w:rPr>
                <w:rFonts w:eastAsia="Calibri" w:cs="Arial"/>
              </w:rPr>
            </w:pPr>
          </w:p>
        </w:tc>
      </w:tr>
      <w:tr w:rsidR="0057110D" w:rsidRPr="009E23A6" w14:paraId="2DF85646" w14:textId="77777777" w:rsidTr="008442B5">
        <w:trPr>
          <w:trHeight w:val="500"/>
        </w:trPr>
        <w:tc>
          <w:tcPr>
            <w:tcW w:w="3823" w:type="dxa"/>
            <w:vMerge/>
          </w:tcPr>
          <w:p w14:paraId="23E0EC11" w14:textId="77777777" w:rsidR="0057110D" w:rsidRPr="009E23A6" w:rsidRDefault="0057110D" w:rsidP="008442B5">
            <w:pPr>
              <w:spacing w:before="0" w:after="0" w:line="240" w:lineRule="auto"/>
              <w:jc w:val="left"/>
              <w:rPr>
                <w:rFonts w:eastAsia="Calibri" w:cs="Arial"/>
              </w:rPr>
            </w:pPr>
          </w:p>
        </w:tc>
        <w:tc>
          <w:tcPr>
            <w:tcW w:w="1417" w:type="dxa"/>
          </w:tcPr>
          <w:p w14:paraId="06CD028C" w14:textId="77777777" w:rsidR="0057110D" w:rsidRPr="009E23A6" w:rsidRDefault="0057110D" w:rsidP="008442B5">
            <w:pPr>
              <w:spacing w:before="0" w:after="0" w:line="240" w:lineRule="auto"/>
              <w:jc w:val="left"/>
              <w:rPr>
                <w:rFonts w:eastAsia="Calibri" w:cs="Arial"/>
              </w:rPr>
            </w:pPr>
            <w:r w:rsidRPr="009E23A6">
              <w:rPr>
                <w:rFonts w:eastAsia="Calibri" w:cs="Arial"/>
              </w:rPr>
              <w:t>S1. / 3</w:t>
            </w:r>
          </w:p>
        </w:tc>
        <w:tc>
          <w:tcPr>
            <w:tcW w:w="2126" w:type="dxa"/>
          </w:tcPr>
          <w:p w14:paraId="01E77B72" w14:textId="77777777" w:rsidR="0057110D" w:rsidRPr="009E23A6" w:rsidRDefault="0057110D" w:rsidP="008442B5">
            <w:pPr>
              <w:spacing w:before="0" w:after="0" w:line="240" w:lineRule="auto"/>
              <w:jc w:val="center"/>
              <w:rPr>
                <w:rFonts w:eastAsia="Calibri" w:cs="Arial"/>
              </w:rPr>
            </w:pPr>
            <w:r w:rsidRPr="009E23A6">
              <w:rPr>
                <w:rFonts w:eastAsia="Calibri" w:cs="Arial"/>
              </w:rPr>
              <w:t>Podíl podpory ze státního rozpočtu dle klíčových oblastí</w:t>
            </w:r>
          </w:p>
        </w:tc>
        <w:tc>
          <w:tcPr>
            <w:tcW w:w="1843" w:type="dxa"/>
          </w:tcPr>
          <w:p w14:paraId="28777BF0" w14:textId="77777777" w:rsidR="0057110D" w:rsidRPr="009E23A6" w:rsidRDefault="0057110D" w:rsidP="008442B5">
            <w:pPr>
              <w:spacing w:before="0" w:after="0" w:line="240" w:lineRule="auto"/>
              <w:contextualSpacing/>
              <w:jc w:val="center"/>
              <w:rPr>
                <w:rFonts w:eastAsia="Calibri" w:cs="Arial"/>
              </w:rPr>
            </w:pPr>
            <w:r w:rsidRPr="009E23A6">
              <w:rPr>
                <w:rFonts w:eastAsia="Calibri" w:cs="Arial"/>
              </w:rPr>
              <w:t>%</w:t>
            </w:r>
          </w:p>
        </w:tc>
        <w:tc>
          <w:tcPr>
            <w:tcW w:w="1843" w:type="dxa"/>
          </w:tcPr>
          <w:p w14:paraId="0ADA7086" w14:textId="77777777" w:rsidR="0057110D" w:rsidRPr="009E23A6" w:rsidRDefault="0057110D" w:rsidP="008442B5">
            <w:pPr>
              <w:spacing w:before="0" w:after="0" w:line="240" w:lineRule="auto"/>
              <w:ind w:left="6"/>
              <w:contextualSpacing/>
              <w:jc w:val="center"/>
              <w:rPr>
                <w:rFonts w:eastAsia="Calibri" w:cs="Arial"/>
              </w:rPr>
            </w:pPr>
            <w:r w:rsidRPr="009E23A6">
              <w:rPr>
                <w:rFonts w:eastAsia="Calibri" w:cs="Arial"/>
              </w:rPr>
              <w:t>33</w:t>
            </w:r>
          </w:p>
        </w:tc>
        <w:tc>
          <w:tcPr>
            <w:tcW w:w="2108" w:type="dxa"/>
            <w:vMerge/>
          </w:tcPr>
          <w:p w14:paraId="791B6FFC" w14:textId="77777777" w:rsidR="0057110D" w:rsidRPr="009E23A6" w:rsidRDefault="0057110D" w:rsidP="008442B5">
            <w:pPr>
              <w:spacing w:before="0" w:after="0" w:line="240" w:lineRule="auto"/>
              <w:jc w:val="left"/>
              <w:rPr>
                <w:rFonts w:eastAsia="Calibri" w:cs="Arial"/>
              </w:rPr>
            </w:pPr>
          </w:p>
        </w:tc>
        <w:tc>
          <w:tcPr>
            <w:tcW w:w="1577" w:type="dxa"/>
            <w:vMerge/>
          </w:tcPr>
          <w:p w14:paraId="2CA4164D" w14:textId="77777777" w:rsidR="0057110D" w:rsidRPr="009E23A6" w:rsidRDefault="0057110D" w:rsidP="008442B5">
            <w:pPr>
              <w:spacing w:before="0" w:after="0" w:line="240" w:lineRule="auto"/>
              <w:jc w:val="left"/>
              <w:rPr>
                <w:rFonts w:eastAsia="Calibri" w:cs="Arial"/>
              </w:rPr>
            </w:pPr>
          </w:p>
        </w:tc>
      </w:tr>
      <w:tr w:rsidR="0057110D" w:rsidRPr="009E23A6" w14:paraId="7F467B51" w14:textId="77777777" w:rsidTr="008442B5">
        <w:trPr>
          <w:trHeight w:val="500"/>
        </w:trPr>
        <w:tc>
          <w:tcPr>
            <w:tcW w:w="3823" w:type="dxa"/>
            <w:vMerge/>
          </w:tcPr>
          <w:p w14:paraId="5B12F34F" w14:textId="77777777" w:rsidR="0057110D" w:rsidRPr="009E23A6" w:rsidRDefault="0057110D" w:rsidP="008442B5">
            <w:pPr>
              <w:spacing w:before="0" w:after="0" w:line="240" w:lineRule="auto"/>
              <w:jc w:val="left"/>
              <w:rPr>
                <w:rFonts w:eastAsia="Calibri" w:cs="Arial"/>
              </w:rPr>
            </w:pPr>
          </w:p>
        </w:tc>
        <w:tc>
          <w:tcPr>
            <w:tcW w:w="1417" w:type="dxa"/>
          </w:tcPr>
          <w:p w14:paraId="010D02C8" w14:textId="1F4C3725" w:rsidR="0057110D" w:rsidRPr="009E23A6" w:rsidRDefault="0057110D" w:rsidP="008442B5">
            <w:pPr>
              <w:spacing w:before="0" w:after="0" w:line="240" w:lineRule="auto"/>
              <w:jc w:val="left"/>
              <w:rPr>
                <w:rFonts w:eastAsia="Calibri" w:cs="Arial"/>
              </w:rPr>
            </w:pPr>
            <w:r w:rsidRPr="009E23A6">
              <w:rPr>
                <w:rFonts w:eastAsia="Calibri" w:cs="Arial"/>
              </w:rPr>
              <w:t xml:space="preserve">S1. / </w:t>
            </w:r>
            <w:r w:rsidR="00A0059F" w:rsidRPr="009E23A6">
              <w:rPr>
                <w:rFonts w:eastAsia="Calibri" w:cs="Arial"/>
              </w:rPr>
              <w:t>4</w:t>
            </w:r>
          </w:p>
        </w:tc>
        <w:tc>
          <w:tcPr>
            <w:tcW w:w="2126" w:type="dxa"/>
          </w:tcPr>
          <w:p w14:paraId="6B306767" w14:textId="77777777" w:rsidR="0057110D" w:rsidRPr="009E23A6" w:rsidRDefault="0057110D" w:rsidP="008442B5">
            <w:pPr>
              <w:spacing w:before="0" w:after="0" w:line="240" w:lineRule="auto"/>
              <w:jc w:val="center"/>
              <w:rPr>
                <w:rFonts w:eastAsia="Calibri" w:cs="Arial"/>
              </w:rPr>
            </w:pPr>
            <w:r w:rsidRPr="009E23A6">
              <w:rPr>
                <w:rFonts w:eastAsia="Calibri" w:cs="Arial"/>
              </w:rPr>
              <w:t>Počet podpořených podniků</w:t>
            </w:r>
          </w:p>
        </w:tc>
        <w:tc>
          <w:tcPr>
            <w:tcW w:w="1843" w:type="dxa"/>
          </w:tcPr>
          <w:p w14:paraId="3AFBD5D4" w14:textId="77777777" w:rsidR="0057110D" w:rsidRPr="009E23A6" w:rsidRDefault="0057110D" w:rsidP="008442B5">
            <w:pPr>
              <w:spacing w:before="0" w:after="0" w:line="240" w:lineRule="auto"/>
              <w:ind w:left="29" w:right="96"/>
              <w:contextualSpacing/>
              <w:jc w:val="center"/>
              <w:rPr>
                <w:rFonts w:eastAsia="Calibri" w:cs="Arial"/>
              </w:rPr>
            </w:pPr>
            <w:r w:rsidRPr="009E23A6">
              <w:rPr>
                <w:rFonts w:eastAsia="Calibri" w:cs="Arial"/>
              </w:rPr>
              <w:t>podnik</w:t>
            </w:r>
          </w:p>
        </w:tc>
        <w:tc>
          <w:tcPr>
            <w:tcW w:w="1843" w:type="dxa"/>
          </w:tcPr>
          <w:p w14:paraId="6A46EB52" w14:textId="77777777" w:rsidR="0057110D" w:rsidRPr="009E23A6" w:rsidRDefault="0057110D" w:rsidP="008442B5">
            <w:pPr>
              <w:spacing w:before="0" w:after="0" w:line="240" w:lineRule="auto"/>
              <w:ind w:left="6"/>
              <w:contextualSpacing/>
              <w:jc w:val="center"/>
              <w:rPr>
                <w:rFonts w:eastAsia="Calibri" w:cs="Arial"/>
              </w:rPr>
            </w:pPr>
            <w:r w:rsidRPr="009E23A6">
              <w:rPr>
                <w:rFonts w:eastAsia="Calibri" w:cs="Arial"/>
              </w:rPr>
              <w:t>≥ 30</w:t>
            </w:r>
          </w:p>
        </w:tc>
        <w:tc>
          <w:tcPr>
            <w:tcW w:w="2108" w:type="dxa"/>
            <w:vMerge/>
          </w:tcPr>
          <w:p w14:paraId="3DBEA9AB" w14:textId="77777777" w:rsidR="0057110D" w:rsidRPr="009E23A6" w:rsidRDefault="0057110D" w:rsidP="008442B5">
            <w:pPr>
              <w:spacing w:before="0" w:after="0" w:line="240" w:lineRule="auto"/>
              <w:jc w:val="left"/>
              <w:rPr>
                <w:rFonts w:eastAsia="Calibri" w:cs="Arial"/>
              </w:rPr>
            </w:pPr>
          </w:p>
        </w:tc>
        <w:tc>
          <w:tcPr>
            <w:tcW w:w="1577" w:type="dxa"/>
            <w:vMerge/>
          </w:tcPr>
          <w:p w14:paraId="567FC8C8" w14:textId="77777777" w:rsidR="0057110D" w:rsidRPr="009E23A6" w:rsidRDefault="0057110D" w:rsidP="008442B5">
            <w:pPr>
              <w:spacing w:before="0" w:after="0" w:line="240" w:lineRule="auto"/>
              <w:jc w:val="left"/>
              <w:rPr>
                <w:rFonts w:eastAsia="Calibri" w:cs="Arial"/>
              </w:rPr>
            </w:pPr>
          </w:p>
        </w:tc>
      </w:tr>
      <w:tr w:rsidR="0057110D" w:rsidRPr="009E23A6" w14:paraId="723EE66D" w14:textId="77777777" w:rsidTr="008442B5">
        <w:trPr>
          <w:trHeight w:val="761"/>
        </w:trPr>
        <w:tc>
          <w:tcPr>
            <w:tcW w:w="3823" w:type="dxa"/>
            <w:vMerge/>
          </w:tcPr>
          <w:p w14:paraId="4DF5CA63" w14:textId="77777777" w:rsidR="0057110D" w:rsidRPr="009E23A6" w:rsidRDefault="0057110D" w:rsidP="008442B5">
            <w:pPr>
              <w:spacing w:before="0" w:after="0" w:line="240" w:lineRule="auto"/>
              <w:jc w:val="left"/>
              <w:rPr>
                <w:rFonts w:eastAsia="Calibri" w:cs="Arial"/>
              </w:rPr>
            </w:pPr>
          </w:p>
        </w:tc>
        <w:tc>
          <w:tcPr>
            <w:tcW w:w="1417" w:type="dxa"/>
          </w:tcPr>
          <w:p w14:paraId="69620A75" w14:textId="01A48342" w:rsidR="0057110D" w:rsidRPr="009E23A6" w:rsidRDefault="0057110D" w:rsidP="008442B5">
            <w:pPr>
              <w:spacing w:before="0" w:after="0" w:line="240" w:lineRule="auto"/>
              <w:jc w:val="left"/>
              <w:rPr>
                <w:rFonts w:eastAsia="Calibri" w:cs="Arial"/>
              </w:rPr>
            </w:pPr>
            <w:r w:rsidRPr="009E23A6">
              <w:rPr>
                <w:rFonts w:eastAsia="Calibri" w:cs="Arial"/>
              </w:rPr>
              <w:t xml:space="preserve">S1. / </w:t>
            </w:r>
            <w:r w:rsidR="00A0059F" w:rsidRPr="009E23A6">
              <w:rPr>
                <w:rFonts w:eastAsia="Calibri" w:cs="Arial"/>
              </w:rPr>
              <w:t>5</w:t>
            </w:r>
          </w:p>
        </w:tc>
        <w:tc>
          <w:tcPr>
            <w:tcW w:w="2126" w:type="dxa"/>
          </w:tcPr>
          <w:p w14:paraId="71382A2E" w14:textId="77777777" w:rsidR="0057110D" w:rsidRPr="009E23A6" w:rsidRDefault="0057110D" w:rsidP="008442B5">
            <w:pPr>
              <w:spacing w:before="0" w:after="0" w:line="240" w:lineRule="auto"/>
              <w:jc w:val="center"/>
              <w:rPr>
                <w:rFonts w:eastAsia="Calibri" w:cs="Arial"/>
              </w:rPr>
            </w:pPr>
            <w:r w:rsidRPr="009E23A6">
              <w:rPr>
                <w:rFonts w:eastAsia="Calibri" w:cs="Arial"/>
              </w:rPr>
              <w:t>Počet podpořených výzkumných organizací</w:t>
            </w:r>
          </w:p>
        </w:tc>
        <w:tc>
          <w:tcPr>
            <w:tcW w:w="1843" w:type="dxa"/>
          </w:tcPr>
          <w:p w14:paraId="12B71456" w14:textId="77777777" w:rsidR="0057110D" w:rsidRPr="009E23A6" w:rsidRDefault="0057110D" w:rsidP="008442B5">
            <w:pPr>
              <w:spacing w:before="0" w:after="0" w:line="240" w:lineRule="auto"/>
              <w:ind w:left="29" w:right="40"/>
              <w:contextualSpacing/>
              <w:jc w:val="center"/>
              <w:rPr>
                <w:rFonts w:eastAsia="Calibri" w:cs="Arial"/>
              </w:rPr>
            </w:pPr>
            <w:r w:rsidRPr="009E23A6">
              <w:rPr>
                <w:rFonts w:eastAsia="Calibri" w:cs="Arial"/>
              </w:rPr>
              <w:t>organizace</w:t>
            </w:r>
          </w:p>
        </w:tc>
        <w:tc>
          <w:tcPr>
            <w:tcW w:w="1843" w:type="dxa"/>
          </w:tcPr>
          <w:p w14:paraId="1493D0D5" w14:textId="77777777" w:rsidR="0057110D" w:rsidRPr="009E23A6" w:rsidRDefault="0057110D" w:rsidP="008442B5">
            <w:pPr>
              <w:spacing w:before="0" w:after="0" w:line="240" w:lineRule="auto"/>
              <w:ind w:left="6"/>
              <w:contextualSpacing/>
              <w:jc w:val="center"/>
              <w:rPr>
                <w:rFonts w:eastAsia="Calibri" w:cs="Arial"/>
              </w:rPr>
            </w:pPr>
            <w:r w:rsidRPr="009E23A6">
              <w:rPr>
                <w:rFonts w:eastAsia="Calibri" w:cs="Arial"/>
              </w:rPr>
              <w:t>≥ 20</w:t>
            </w:r>
          </w:p>
        </w:tc>
        <w:tc>
          <w:tcPr>
            <w:tcW w:w="2108" w:type="dxa"/>
            <w:vMerge/>
          </w:tcPr>
          <w:p w14:paraId="05BF2797" w14:textId="77777777" w:rsidR="0057110D" w:rsidRPr="009E23A6" w:rsidRDefault="0057110D" w:rsidP="008442B5">
            <w:pPr>
              <w:spacing w:before="0" w:after="0" w:line="240" w:lineRule="auto"/>
              <w:jc w:val="left"/>
              <w:rPr>
                <w:rFonts w:eastAsia="Calibri" w:cs="Arial"/>
              </w:rPr>
            </w:pPr>
          </w:p>
        </w:tc>
        <w:tc>
          <w:tcPr>
            <w:tcW w:w="1577" w:type="dxa"/>
            <w:vMerge/>
          </w:tcPr>
          <w:p w14:paraId="115E85C7" w14:textId="77777777" w:rsidR="0057110D" w:rsidRPr="009E23A6" w:rsidRDefault="0057110D" w:rsidP="008442B5">
            <w:pPr>
              <w:spacing w:before="0" w:after="0" w:line="240" w:lineRule="auto"/>
              <w:jc w:val="left"/>
              <w:rPr>
                <w:rFonts w:eastAsia="Calibri" w:cs="Arial"/>
              </w:rPr>
            </w:pPr>
          </w:p>
        </w:tc>
      </w:tr>
      <w:tr w:rsidR="0057110D" w:rsidRPr="009E23A6" w14:paraId="7995AD33" w14:textId="77777777" w:rsidTr="008442B5">
        <w:trPr>
          <w:trHeight w:val="500"/>
        </w:trPr>
        <w:tc>
          <w:tcPr>
            <w:tcW w:w="3823" w:type="dxa"/>
            <w:vMerge/>
          </w:tcPr>
          <w:p w14:paraId="721ADA35" w14:textId="77777777" w:rsidR="0057110D" w:rsidRPr="009E23A6" w:rsidRDefault="0057110D" w:rsidP="008442B5">
            <w:pPr>
              <w:spacing w:before="0" w:after="0" w:line="240" w:lineRule="auto"/>
              <w:jc w:val="left"/>
              <w:rPr>
                <w:rFonts w:eastAsia="Calibri" w:cs="Arial"/>
              </w:rPr>
            </w:pPr>
          </w:p>
        </w:tc>
        <w:tc>
          <w:tcPr>
            <w:tcW w:w="1417" w:type="dxa"/>
          </w:tcPr>
          <w:p w14:paraId="0B3211C7" w14:textId="486C667C" w:rsidR="0057110D" w:rsidRPr="009E23A6" w:rsidRDefault="0057110D" w:rsidP="008442B5">
            <w:pPr>
              <w:spacing w:before="0" w:after="0" w:line="240" w:lineRule="auto"/>
              <w:jc w:val="left"/>
              <w:rPr>
                <w:rFonts w:eastAsia="Calibri" w:cs="Arial"/>
              </w:rPr>
            </w:pPr>
            <w:r w:rsidRPr="009E23A6">
              <w:rPr>
                <w:rFonts w:eastAsia="Calibri" w:cs="Arial"/>
              </w:rPr>
              <w:t xml:space="preserve">S1. / </w:t>
            </w:r>
            <w:r w:rsidR="00A0059F" w:rsidRPr="009E23A6">
              <w:rPr>
                <w:rFonts w:eastAsia="Calibri" w:cs="Arial"/>
              </w:rPr>
              <w:t>6</w:t>
            </w:r>
          </w:p>
        </w:tc>
        <w:tc>
          <w:tcPr>
            <w:tcW w:w="2126" w:type="dxa"/>
          </w:tcPr>
          <w:p w14:paraId="1AE0AFC6" w14:textId="77777777" w:rsidR="0057110D" w:rsidRPr="009E23A6" w:rsidRDefault="0057110D" w:rsidP="008442B5">
            <w:pPr>
              <w:spacing w:before="0" w:after="0" w:line="240" w:lineRule="auto"/>
              <w:jc w:val="center"/>
              <w:rPr>
                <w:rFonts w:eastAsia="Calibri" w:cs="Arial"/>
              </w:rPr>
            </w:pPr>
            <w:r w:rsidRPr="009E23A6">
              <w:rPr>
                <w:rFonts w:eastAsia="Calibri" w:cs="Arial"/>
              </w:rPr>
              <w:t>Počet podniků dle klíčových oblastí</w:t>
            </w:r>
          </w:p>
        </w:tc>
        <w:tc>
          <w:tcPr>
            <w:tcW w:w="1843" w:type="dxa"/>
          </w:tcPr>
          <w:p w14:paraId="38C40669" w14:textId="77777777" w:rsidR="0057110D" w:rsidRPr="009E23A6" w:rsidRDefault="0057110D" w:rsidP="008442B5">
            <w:pPr>
              <w:spacing w:before="0" w:after="0" w:line="240" w:lineRule="auto"/>
              <w:jc w:val="center"/>
              <w:rPr>
                <w:rFonts w:eastAsia="Calibri" w:cs="Arial"/>
              </w:rPr>
            </w:pPr>
            <w:r w:rsidRPr="009E23A6">
              <w:rPr>
                <w:rFonts w:eastAsia="Calibri" w:cs="Arial"/>
              </w:rPr>
              <w:t>podnik</w:t>
            </w:r>
          </w:p>
        </w:tc>
        <w:tc>
          <w:tcPr>
            <w:tcW w:w="1843" w:type="dxa"/>
          </w:tcPr>
          <w:p w14:paraId="5336CEEC" w14:textId="77777777" w:rsidR="0057110D" w:rsidRPr="009E23A6" w:rsidRDefault="0057110D" w:rsidP="008442B5">
            <w:pPr>
              <w:spacing w:before="0" w:after="0" w:line="240" w:lineRule="auto"/>
              <w:jc w:val="center"/>
              <w:rPr>
                <w:rFonts w:eastAsia="Calibri" w:cs="Arial"/>
              </w:rPr>
            </w:pPr>
            <w:r w:rsidRPr="009E23A6">
              <w:rPr>
                <w:rFonts w:eastAsia="Calibri" w:cs="Arial"/>
              </w:rPr>
              <w:t>≥ 6</w:t>
            </w:r>
          </w:p>
        </w:tc>
        <w:tc>
          <w:tcPr>
            <w:tcW w:w="2108" w:type="dxa"/>
            <w:vMerge/>
          </w:tcPr>
          <w:p w14:paraId="78AD1956" w14:textId="77777777" w:rsidR="0057110D" w:rsidRPr="009E23A6" w:rsidRDefault="0057110D" w:rsidP="008442B5">
            <w:pPr>
              <w:spacing w:before="0" w:after="0" w:line="240" w:lineRule="auto"/>
              <w:jc w:val="left"/>
              <w:rPr>
                <w:rFonts w:eastAsia="Calibri" w:cs="Arial"/>
              </w:rPr>
            </w:pPr>
          </w:p>
        </w:tc>
        <w:tc>
          <w:tcPr>
            <w:tcW w:w="1577" w:type="dxa"/>
            <w:vMerge/>
          </w:tcPr>
          <w:p w14:paraId="23B1DDC6" w14:textId="77777777" w:rsidR="0057110D" w:rsidRPr="009E23A6" w:rsidRDefault="0057110D" w:rsidP="008442B5">
            <w:pPr>
              <w:spacing w:before="0" w:after="0" w:line="240" w:lineRule="auto"/>
              <w:jc w:val="left"/>
              <w:rPr>
                <w:rFonts w:eastAsia="Calibri" w:cs="Arial"/>
              </w:rPr>
            </w:pPr>
          </w:p>
        </w:tc>
      </w:tr>
      <w:tr w:rsidR="0057110D" w:rsidRPr="009E23A6" w14:paraId="2532A41C" w14:textId="77777777" w:rsidTr="008442B5">
        <w:trPr>
          <w:trHeight w:val="500"/>
        </w:trPr>
        <w:tc>
          <w:tcPr>
            <w:tcW w:w="3823" w:type="dxa"/>
            <w:vMerge/>
          </w:tcPr>
          <w:p w14:paraId="7E22672C" w14:textId="77777777" w:rsidR="0057110D" w:rsidRPr="009E23A6" w:rsidRDefault="0057110D" w:rsidP="008442B5">
            <w:pPr>
              <w:spacing w:before="0" w:after="0" w:line="240" w:lineRule="auto"/>
              <w:jc w:val="left"/>
              <w:rPr>
                <w:rFonts w:eastAsia="Calibri" w:cs="Arial"/>
              </w:rPr>
            </w:pPr>
          </w:p>
        </w:tc>
        <w:tc>
          <w:tcPr>
            <w:tcW w:w="1417" w:type="dxa"/>
          </w:tcPr>
          <w:p w14:paraId="08DD07B0" w14:textId="2AA9A003" w:rsidR="0057110D" w:rsidRPr="009E23A6" w:rsidRDefault="0057110D" w:rsidP="008442B5">
            <w:pPr>
              <w:spacing w:before="0" w:after="0" w:line="240" w:lineRule="auto"/>
              <w:jc w:val="left"/>
              <w:rPr>
                <w:rFonts w:eastAsia="Calibri" w:cs="Arial"/>
              </w:rPr>
            </w:pPr>
            <w:r w:rsidRPr="009E23A6">
              <w:rPr>
                <w:rFonts w:eastAsia="Calibri" w:cs="Arial"/>
              </w:rPr>
              <w:t xml:space="preserve">S1. / </w:t>
            </w:r>
            <w:r w:rsidR="00A0059F" w:rsidRPr="009E23A6">
              <w:rPr>
                <w:rFonts w:eastAsia="Calibri" w:cs="Arial"/>
              </w:rPr>
              <w:t>7</w:t>
            </w:r>
          </w:p>
        </w:tc>
        <w:tc>
          <w:tcPr>
            <w:tcW w:w="2126" w:type="dxa"/>
          </w:tcPr>
          <w:p w14:paraId="227C926D" w14:textId="77777777" w:rsidR="0057110D" w:rsidRPr="009E23A6" w:rsidRDefault="0057110D" w:rsidP="008442B5">
            <w:pPr>
              <w:spacing w:before="0" w:after="0" w:line="240" w:lineRule="auto"/>
              <w:jc w:val="center"/>
              <w:rPr>
                <w:rFonts w:eastAsia="Calibri" w:cs="Arial"/>
              </w:rPr>
            </w:pPr>
            <w:r w:rsidRPr="009E23A6">
              <w:rPr>
                <w:rFonts w:eastAsia="Calibri" w:cs="Arial"/>
              </w:rPr>
              <w:t>Počet projektů ve spolupráci VO a podnik</w:t>
            </w:r>
          </w:p>
        </w:tc>
        <w:tc>
          <w:tcPr>
            <w:tcW w:w="1843" w:type="dxa"/>
          </w:tcPr>
          <w:p w14:paraId="200A2EE0" w14:textId="77777777" w:rsidR="0057110D" w:rsidRPr="009E23A6" w:rsidRDefault="0057110D" w:rsidP="008442B5">
            <w:pPr>
              <w:spacing w:before="0" w:after="0" w:line="240" w:lineRule="auto"/>
              <w:jc w:val="center"/>
              <w:rPr>
                <w:rFonts w:eastAsia="Calibri" w:cs="Arial"/>
              </w:rPr>
            </w:pPr>
            <w:r w:rsidRPr="009E23A6">
              <w:rPr>
                <w:rFonts w:eastAsia="Calibri" w:cs="Arial"/>
              </w:rPr>
              <w:t>projekt</w:t>
            </w:r>
          </w:p>
        </w:tc>
        <w:tc>
          <w:tcPr>
            <w:tcW w:w="1843" w:type="dxa"/>
          </w:tcPr>
          <w:p w14:paraId="41B50198" w14:textId="77777777" w:rsidR="0057110D" w:rsidRPr="009E23A6" w:rsidRDefault="0057110D" w:rsidP="008442B5">
            <w:pPr>
              <w:spacing w:before="0" w:after="0" w:line="240" w:lineRule="auto"/>
              <w:jc w:val="center"/>
              <w:rPr>
                <w:rFonts w:eastAsia="Calibri" w:cs="Arial"/>
              </w:rPr>
            </w:pPr>
            <w:r w:rsidRPr="009E23A6">
              <w:rPr>
                <w:rFonts w:eastAsia="Calibri" w:cs="Arial"/>
              </w:rPr>
              <w:t>≥ 60</w:t>
            </w:r>
          </w:p>
        </w:tc>
        <w:tc>
          <w:tcPr>
            <w:tcW w:w="2108" w:type="dxa"/>
            <w:vMerge/>
          </w:tcPr>
          <w:p w14:paraId="580B033A" w14:textId="77777777" w:rsidR="0057110D" w:rsidRPr="009E23A6" w:rsidRDefault="0057110D" w:rsidP="008442B5">
            <w:pPr>
              <w:spacing w:before="0" w:after="0" w:line="240" w:lineRule="auto"/>
              <w:jc w:val="left"/>
              <w:rPr>
                <w:rFonts w:eastAsia="Calibri" w:cs="Arial"/>
              </w:rPr>
            </w:pPr>
          </w:p>
        </w:tc>
        <w:tc>
          <w:tcPr>
            <w:tcW w:w="1577" w:type="dxa"/>
            <w:vMerge/>
          </w:tcPr>
          <w:p w14:paraId="3987AE33" w14:textId="77777777" w:rsidR="0057110D" w:rsidRPr="009E23A6" w:rsidRDefault="0057110D" w:rsidP="008442B5">
            <w:pPr>
              <w:spacing w:before="0" w:after="0" w:line="240" w:lineRule="auto"/>
              <w:jc w:val="left"/>
              <w:rPr>
                <w:rFonts w:eastAsia="Calibri" w:cs="Arial"/>
              </w:rPr>
            </w:pPr>
          </w:p>
        </w:tc>
      </w:tr>
      <w:tr w:rsidR="0057110D" w:rsidRPr="009E23A6" w14:paraId="5FBA92DF" w14:textId="77777777" w:rsidTr="008442B5">
        <w:trPr>
          <w:trHeight w:val="940"/>
        </w:trPr>
        <w:tc>
          <w:tcPr>
            <w:tcW w:w="3823" w:type="dxa"/>
            <w:vMerge w:val="restart"/>
          </w:tcPr>
          <w:p w14:paraId="22CE87E3" w14:textId="77777777" w:rsidR="0057110D" w:rsidRPr="009E23A6" w:rsidRDefault="0057110D" w:rsidP="008442B5">
            <w:pPr>
              <w:spacing w:before="0" w:after="0" w:line="240" w:lineRule="auto"/>
              <w:jc w:val="left"/>
              <w:rPr>
                <w:rFonts w:eastAsia="Calibri" w:cs="Arial"/>
                <w:b/>
                <w:bCs/>
              </w:rPr>
            </w:pPr>
            <w:r w:rsidRPr="009E23A6">
              <w:rPr>
                <w:rFonts w:eastAsia="Calibri" w:cs="Arial"/>
                <w:b/>
                <w:bCs/>
              </w:rPr>
              <w:lastRenderedPageBreak/>
              <w:t>S2. Propagace zemědělského výzkumu, jeho výsledků a příbuzných témat směrem k odborné a laické veřejnosti</w:t>
            </w:r>
          </w:p>
          <w:p w14:paraId="683FCE67" w14:textId="77777777" w:rsidR="0057110D" w:rsidRPr="009E23A6" w:rsidRDefault="0057110D" w:rsidP="008442B5">
            <w:pPr>
              <w:spacing w:before="0" w:after="0" w:line="240" w:lineRule="auto"/>
              <w:jc w:val="left"/>
              <w:rPr>
                <w:rFonts w:eastAsia="Calibri" w:cs="Arial"/>
              </w:rPr>
            </w:pPr>
          </w:p>
        </w:tc>
        <w:tc>
          <w:tcPr>
            <w:tcW w:w="1417" w:type="dxa"/>
          </w:tcPr>
          <w:p w14:paraId="72DE356F" w14:textId="77777777" w:rsidR="0057110D" w:rsidRPr="009E23A6" w:rsidRDefault="0057110D" w:rsidP="008442B5">
            <w:pPr>
              <w:spacing w:before="0" w:after="0" w:line="240" w:lineRule="auto"/>
              <w:jc w:val="left"/>
              <w:rPr>
                <w:rFonts w:eastAsia="Calibri" w:cs="Arial"/>
                <w:color w:val="FF0000"/>
              </w:rPr>
            </w:pPr>
            <w:r w:rsidRPr="009E23A6">
              <w:rPr>
                <w:rFonts w:eastAsia="Calibri" w:cs="Arial"/>
              </w:rPr>
              <w:t>S2. / 1</w:t>
            </w:r>
          </w:p>
        </w:tc>
        <w:tc>
          <w:tcPr>
            <w:tcW w:w="2126" w:type="dxa"/>
          </w:tcPr>
          <w:p w14:paraId="51B4D25E" w14:textId="77777777" w:rsidR="0057110D" w:rsidRPr="009E23A6" w:rsidRDefault="0057110D" w:rsidP="008442B5">
            <w:pPr>
              <w:spacing w:before="0" w:after="0" w:line="240" w:lineRule="auto"/>
              <w:jc w:val="center"/>
              <w:rPr>
                <w:rFonts w:eastAsia="Calibri" w:cs="Arial"/>
              </w:rPr>
            </w:pPr>
            <w:r w:rsidRPr="009E23A6">
              <w:rPr>
                <w:rFonts w:eastAsia="Calibri" w:cs="Arial"/>
              </w:rPr>
              <w:t>Podíl aktivně propagovaných projektů</w:t>
            </w:r>
          </w:p>
        </w:tc>
        <w:tc>
          <w:tcPr>
            <w:tcW w:w="1843" w:type="dxa"/>
          </w:tcPr>
          <w:p w14:paraId="20F7417C"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4897E3A6" w14:textId="77777777" w:rsidR="0057110D" w:rsidRPr="009E23A6" w:rsidRDefault="0057110D" w:rsidP="008442B5">
            <w:pPr>
              <w:spacing w:before="0" w:after="0" w:line="240" w:lineRule="auto"/>
              <w:jc w:val="center"/>
              <w:rPr>
                <w:rFonts w:eastAsia="Calibri" w:cs="Arial"/>
              </w:rPr>
            </w:pPr>
            <w:r w:rsidRPr="009E23A6">
              <w:rPr>
                <w:rFonts w:eastAsia="Calibri" w:cs="Arial"/>
              </w:rPr>
              <w:t>≥ 70</w:t>
            </w:r>
          </w:p>
        </w:tc>
        <w:tc>
          <w:tcPr>
            <w:tcW w:w="2108" w:type="dxa"/>
            <w:vMerge w:val="restart"/>
          </w:tcPr>
          <w:p w14:paraId="06053A97" w14:textId="77777777" w:rsidR="0057110D" w:rsidRPr="009E23A6" w:rsidRDefault="0057110D" w:rsidP="008442B5">
            <w:pPr>
              <w:spacing w:before="0" w:after="0" w:line="240" w:lineRule="auto"/>
              <w:jc w:val="left"/>
              <w:rPr>
                <w:rFonts w:eastAsia="Calibri" w:cs="Arial"/>
              </w:rPr>
            </w:pPr>
            <w:r w:rsidRPr="009E23A6">
              <w:rPr>
                <w:rFonts w:eastAsia="Calibri" w:cs="Arial"/>
              </w:rPr>
              <w:t>IS VaVaI, interní monitorovací systém</w:t>
            </w:r>
          </w:p>
          <w:p w14:paraId="11A559D2" w14:textId="77777777" w:rsidR="0057110D" w:rsidRPr="009E23A6" w:rsidRDefault="0057110D" w:rsidP="008442B5">
            <w:pPr>
              <w:spacing w:before="0" w:after="0" w:line="240" w:lineRule="auto"/>
              <w:jc w:val="left"/>
              <w:rPr>
                <w:rFonts w:eastAsia="Calibri" w:cs="Arial"/>
              </w:rPr>
            </w:pPr>
            <w:r w:rsidRPr="009E23A6">
              <w:rPr>
                <w:rFonts w:eastAsia="Calibri" w:cs="Arial"/>
              </w:rPr>
              <w:t>Závěrečné zprávy z řešení projektů (popř. dotazníkové šetření)</w:t>
            </w:r>
          </w:p>
        </w:tc>
        <w:tc>
          <w:tcPr>
            <w:tcW w:w="1577" w:type="dxa"/>
            <w:vMerge w:val="restart"/>
          </w:tcPr>
          <w:p w14:paraId="0F739227" w14:textId="77777777" w:rsidR="0057110D" w:rsidRPr="009E23A6" w:rsidRDefault="0057110D" w:rsidP="008442B5">
            <w:pPr>
              <w:spacing w:before="0" w:after="0" w:line="240" w:lineRule="auto"/>
              <w:jc w:val="left"/>
              <w:rPr>
                <w:rFonts w:eastAsia="Calibri" w:cs="Arial"/>
              </w:rPr>
            </w:pPr>
            <w:r w:rsidRPr="009E23A6">
              <w:rPr>
                <w:rFonts w:eastAsia="Calibri" w:cs="Arial"/>
              </w:rPr>
              <w:t>Podprogram I</w:t>
            </w:r>
          </w:p>
        </w:tc>
      </w:tr>
      <w:tr w:rsidR="0057110D" w:rsidRPr="009E23A6" w14:paraId="0C95E2AD" w14:textId="77777777" w:rsidTr="008442B5">
        <w:trPr>
          <w:trHeight w:val="940"/>
        </w:trPr>
        <w:tc>
          <w:tcPr>
            <w:tcW w:w="3823" w:type="dxa"/>
            <w:vMerge/>
          </w:tcPr>
          <w:p w14:paraId="13A15167" w14:textId="77777777" w:rsidR="0057110D" w:rsidRPr="009E23A6" w:rsidRDefault="0057110D" w:rsidP="008442B5">
            <w:pPr>
              <w:spacing w:before="0" w:after="0" w:line="240" w:lineRule="auto"/>
              <w:jc w:val="left"/>
              <w:rPr>
                <w:rFonts w:eastAsia="Calibri" w:cs="Arial"/>
              </w:rPr>
            </w:pPr>
          </w:p>
        </w:tc>
        <w:tc>
          <w:tcPr>
            <w:tcW w:w="1417" w:type="dxa"/>
          </w:tcPr>
          <w:p w14:paraId="2EBC8E79" w14:textId="77777777" w:rsidR="0057110D" w:rsidRPr="009E23A6" w:rsidRDefault="0057110D" w:rsidP="008442B5">
            <w:pPr>
              <w:spacing w:before="0" w:after="0" w:line="240" w:lineRule="auto"/>
              <w:jc w:val="left"/>
              <w:rPr>
                <w:rFonts w:eastAsia="Calibri" w:cs="Arial"/>
                <w:color w:val="FF0000"/>
              </w:rPr>
            </w:pPr>
            <w:r w:rsidRPr="009E23A6">
              <w:rPr>
                <w:rFonts w:eastAsia="Calibri" w:cs="Arial"/>
              </w:rPr>
              <w:t>S2. / 2</w:t>
            </w:r>
          </w:p>
        </w:tc>
        <w:tc>
          <w:tcPr>
            <w:tcW w:w="2126" w:type="dxa"/>
          </w:tcPr>
          <w:p w14:paraId="12B27853" w14:textId="77777777" w:rsidR="0057110D" w:rsidRPr="009E23A6" w:rsidRDefault="0057110D" w:rsidP="008442B5">
            <w:pPr>
              <w:spacing w:before="0" w:after="0" w:line="240" w:lineRule="auto"/>
              <w:jc w:val="center"/>
              <w:rPr>
                <w:rFonts w:eastAsia="Calibri" w:cs="Arial"/>
              </w:rPr>
            </w:pPr>
            <w:r w:rsidRPr="009E23A6">
              <w:rPr>
                <w:rFonts w:eastAsia="Calibri" w:cs="Arial"/>
              </w:rPr>
              <w:t>Podíl aktivně propagovaných projektů dětem a mládeži</w:t>
            </w:r>
          </w:p>
        </w:tc>
        <w:tc>
          <w:tcPr>
            <w:tcW w:w="1843" w:type="dxa"/>
          </w:tcPr>
          <w:p w14:paraId="63BEBCC0"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tc>
        <w:tc>
          <w:tcPr>
            <w:tcW w:w="1843" w:type="dxa"/>
          </w:tcPr>
          <w:p w14:paraId="275BFF39" w14:textId="77777777" w:rsidR="0057110D" w:rsidRPr="009E23A6" w:rsidRDefault="0057110D" w:rsidP="008442B5">
            <w:pPr>
              <w:spacing w:before="0" w:after="0" w:line="240" w:lineRule="auto"/>
              <w:jc w:val="center"/>
              <w:rPr>
                <w:rFonts w:eastAsia="Calibri" w:cs="Arial"/>
              </w:rPr>
            </w:pPr>
            <w:r w:rsidRPr="009E23A6">
              <w:rPr>
                <w:rFonts w:eastAsia="Calibri" w:cs="Arial"/>
              </w:rPr>
              <w:t>≥ 20</w:t>
            </w:r>
          </w:p>
        </w:tc>
        <w:tc>
          <w:tcPr>
            <w:tcW w:w="2108" w:type="dxa"/>
            <w:vMerge/>
          </w:tcPr>
          <w:p w14:paraId="0F5AEFA6" w14:textId="77777777" w:rsidR="0057110D" w:rsidRPr="009E23A6" w:rsidRDefault="0057110D" w:rsidP="008442B5">
            <w:pPr>
              <w:spacing w:before="0" w:after="0" w:line="240" w:lineRule="auto"/>
              <w:jc w:val="left"/>
              <w:rPr>
                <w:rFonts w:eastAsia="Calibri" w:cs="Arial"/>
              </w:rPr>
            </w:pPr>
          </w:p>
        </w:tc>
        <w:tc>
          <w:tcPr>
            <w:tcW w:w="1577" w:type="dxa"/>
            <w:vMerge/>
          </w:tcPr>
          <w:p w14:paraId="2EA860CA" w14:textId="77777777" w:rsidR="0057110D" w:rsidRPr="009E23A6" w:rsidRDefault="0057110D" w:rsidP="008442B5">
            <w:pPr>
              <w:spacing w:before="0" w:after="0" w:line="240" w:lineRule="auto"/>
              <w:jc w:val="left"/>
              <w:rPr>
                <w:rFonts w:eastAsia="Calibri" w:cs="Arial"/>
              </w:rPr>
            </w:pPr>
          </w:p>
        </w:tc>
      </w:tr>
      <w:tr w:rsidR="0057110D" w:rsidRPr="009E23A6" w14:paraId="6613337F" w14:textId="77777777" w:rsidTr="008442B5">
        <w:tc>
          <w:tcPr>
            <w:tcW w:w="3823" w:type="dxa"/>
          </w:tcPr>
          <w:p w14:paraId="6D25D0A6" w14:textId="77777777" w:rsidR="0057110D" w:rsidRPr="009E23A6" w:rsidRDefault="0057110D" w:rsidP="008442B5">
            <w:pPr>
              <w:spacing w:before="0" w:after="0" w:line="240" w:lineRule="auto"/>
              <w:jc w:val="left"/>
              <w:rPr>
                <w:rFonts w:cs="Arial"/>
                <w:b/>
                <w:bCs/>
              </w:rPr>
            </w:pPr>
            <w:r w:rsidRPr="009E23A6">
              <w:rPr>
                <w:rFonts w:eastAsia="Calibri" w:cs="Arial"/>
                <w:b/>
                <w:bCs/>
              </w:rPr>
              <w:t>S3. Rozvoj tvorby politik v agrárním sektoru</w:t>
            </w:r>
          </w:p>
        </w:tc>
        <w:tc>
          <w:tcPr>
            <w:tcW w:w="1417" w:type="dxa"/>
          </w:tcPr>
          <w:p w14:paraId="5EC26D49" w14:textId="77777777" w:rsidR="0057110D" w:rsidRPr="009E23A6" w:rsidRDefault="0057110D" w:rsidP="008442B5">
            <w:pPr>
              <w:spacing w:before="0" w:after="0" w:line="240" w:lineRule="auto"/>
              <w:jc w:val="left"/>
              <w:rPr>
                <w:rFonts w:eastAsia="Calibri" w:cs="Arial"/>
                <w:color w:val="FF0000"/>
              </w:rPr>
            </w:pPr>
            <w:r w:rsidRPr="009E23A6">
              <w:rPr>
                <w:rFonts w:eastAsia="Calibri" w:cs="Arial"/>
              </w:rPr>
              <w:t>S3. / 1</w:t>
            </w:r>
          </w:p>
        </w:tc>
        <w:tc>
          <w:tcPr>
            <w:tcW w:w="2126" w:type="dxa"/>
          </w:tcPr>
          <w:p w14:paraId="63E76275" w14:textId="77777777" w:rsidR="0057110D" w:rsidRPr="009E23A6" w:rsidRDefault="0057110D" w:rsidP="008442B5">
            <w:pPr>
              <w:spacing w:before="0" w:after="0" w:line="240" w:lineRule="auto"/>
              <w:jc w:val="center"/>
              <w:rPr>
                <w:rFonts w:eastAsia="Calibri" w:cs="Arial"/>
              </w:rPr>
            </w:pPr>
            <w:r w:rsidRPr="009E23A6">
              <w:rPr>
                <w:rFonts w:eastAsia="Calibri" w:cs="Arial"/>
              </w:rPr>
              <w:t>Počet projektů řešených pro potřeby tvorby státní politiky</w:t>
            </w:r>
          </w:p>
          <w:p w14:paraId="3EB913A5" w14:textId="77777777" w:rsidR="0057110D" w:rsidRPr="009E23A6" w:rsidRDefault="0057110D" w:rsidP="008442B5">
            <w:pPr>
              <w:spacing w:before="0" w:after="0" w:line="240" w:lineRule="auto"/>
              <w:jc w:val="center"/>
              <w:rPr>
                <w:rFonts w:eastAsia="Calibri" w:cs="Arial"/>
              </w:rPr>
            </w:pPr>
            <w:r w:rsidRPr="009E23A6">
              <w:rPr>
                <w:rFonts w:eastAsia="Calibri" w:cs="Arial"/>
              </w:rPr>
              <w:t>(výsledky typu H a ostatní výsledky, pokud jsou relevantních obsahů)</w:t>
            </w:r>
          </w:p>
          <w:p w14:paraId="5D33856B" w14:textId="77777777" w:rsidR="0057110D" w:rsidRPr="009E23A6" w:rsidRDefault="0057110D" w:rsidP="008442B5">
            <w:pPr>
              <w:spacing w:before="0" w:after="0" w:line="240" w:lineRule="auto"/>
              <w:jc w:val="center"/>
              <w:rPr>
                <w:rFonts w:cs="Arial"/>
              </w:rPr>
            </w:pPr>
          </w:p>
        </w:tc>
        <w:tc>
          <w:tcPr>
            <w:tcW w:w="1843" w:type="dxa"/>
          </w:tcPr>
          <w:p w14:paraId="1C9249F7" w14:textId="77777777" w:rsidR="0057110D" w:rsidRPr="009E23A6" w:rsidRDefault="0057110D" w:rsidP="008442B5">
            <w:pPr>
              <w:spacing w:before="0" w:after="0" w:line="240" w:lineRule="auto"/>
              <w:jc w:val="center"/>
              <w:rPr>
                <w:rFonts w:eastAsia="Calibri" w:cs="Arial"/>
              </w:rPr>
            </w:pPr>
            <w:r w:rsidRPr="009E23A6">
              <w:rPr>
                <w:rFonts w:eastAsia="Calibri" w:cs="Arial"/>
              </w:rPr>
              <w:t>%</w:t>
            </w:r>
          </w:p>
          <w:p w14:paraId="332C5861" w14:textId="77777777" w:rsidR="0057110D" w:rsidRPr="009E23A6" w:rsidRDefault="0057110D" w:rsidP="008442B5">
            <w:pPr>
              <w:rPr>
                <w:rFonts w:cs="Arial"/>
              </w:rPr>
            </w:pPr>
          </w:p>
        </w:tc>
        <w:tc>
          <w:tcPr>
            <w:tcW w:w="1843" w:type="dxa"/>
          </w:tcPr>
          <w:p w14:paraId="47475E4D" w14:textId="77777777" w:rsidR="0057110D" w:rsidRPr="009E23A6" w:rsidRDefault="0057110D" w:rsidP="008442B5">
            <w:pPr>
              <w:spacing w:before="0" w:after="0" w:line="240" w:lineRule="auto"/>
              <w:jc w:val="center"/>
              <w:rPr>
                <w:rFonts w:eastAsia="Calibri" w:cs="Arial"/>
              </w:rPr>
            </w:pPr>
            <w:r w:rsidRPr="009E23A6">
              <w:rPr>
                <w:rFonts w:eastAsia="Calibri" w:cs="Arial"/>
              </w:rPr>
              <w:t>25</w:t>
            </w:r>
          </w:p>
          <w:p w14:paraId="17F97A61" w14:textId="77777777" w:rsidR="0057110D" w:rsidRPr="009E23A6" w:rsidRDefault="0057110D" w:rsidP="008442B5">
            <w:pPr>
              <w:rPr>
                <w:rFonts w:cs="Arial"/>
              </w:rPr>
            </w:pPr>
          </w:p>
        </w:tc>
        <w:tc>
          <w:tcPr>
            <w:tcW w:w="2108" w:type="dxa"/>
          </w:tcPr>
          <w:p w14:paraId="58D89CE0" w14:textId="77777777" w:rsidR="0057110D" w:rsidRPr="009E23A6" w:rsidRDefault="0057110D" w:rsidP="008442B5">
            <w:pPr>
              <w:spacing w:before="0" w:after="0" w:line="240" w:lineRule="auto"/>
              <w:jc w:val="left"/>
              <w:rPr>
                <w:rFonts w:eastAsia="Calibri" w:cs="Arial"/>
              </w:rPr>
            </w:pPr>
            <w:r w:rsidRPr="009E23A6">
              <w:rPr>
                <w:rFonts w:eastAsia="Calibri" w:cs="Arial"/>
              </w:rPr>
              <w:t>IS VaVaI, interní monitorovací systém</w:t>
            </w:r>
          </w:p>
          <w:p w14:paraId="09071BB7" w14:textId="77777777" w:rsidR="0057110D" w:rsidRPr="009E23A6" w:rsidRDefault="0057110D" w:rsidP="008442B5">
            <w:pPr>
              <w:spacing w:before="0" w:after="0" w:line="240" w:lineRule="auto"/>
              <w:jc w:val="left"/>
              <w:rPr>
                <w:rFonts w:cs="Arial"/>
              </w:rPr>
            </w:pPr>
          </w:p>
        </w:tc>
        <w:tc>
          <w:tcPr>
            <w:tcW w:w="1577" w:type="dxa"/>
          </w:tcPr>
          <w:p w14:paraId="70BEE2E4" w14:textId="77777777" w:rsidR="0057110D" w:rsidRPr="009E23A6" w:rsidRDefault="0057110D" w:rsidP="008442B5">
            <w:pPr>
              <w:spacing w:before="0" w:after="0" w:line="240" w:lineRule="auto"/>
              <w:jc w:val="left"/>
              <w:rPr>
                <w:rFonts w:eastAsia="Calibri" w:cs="Arial"/>
              </w:rPr>
            </w:pPr>
            <w:r w:rsidRPr="009E23A6">
              <w:rPr>
                <w:rFonts w:eastAsia="Calibri" w:cs="Arial"/>
              </w:rPr>
              <w:t>Podprogram I</w:t>
            </w:r>
          </w:p>
        </w:tc>
      </w:tr>
      <w:tr w:rsidR="0057110D" w:rsidRPr="00134255" w14:paraId="08BDA429" w14:textId="77777777" w:rsidTr="008442B5">
        <w:tc>
          <w:tcPr>
            <w:tcW w:w="3823" w:type="dxa"/>
          </w:tcPr>
          <w:p w14:paraId="09AB73EB" w14:textId="77777777" w:rsidR="0057110D" w:rsidRPr="009E23A6" w:rsidRDefault="0057110D" w:rsidP="008442B5">
            <w:pPr>
              <w:spacing w:before="0" w:after="0" w:line="240" w:lineRule="auto"/>
              <w:jc w:val="left"/>
              <w:rPr>
                <w:rFonts w:eastAsia="Calibri" w:cs="Arial"/>
                <w:b/>
                <w:bCs/>
              </w:rPr>
            </w:pPr>
            <w:r w:rsidRPr="009E23A6">
              <w:rPr>
                <w:rFonts w:eastAsia="Calibri" w:cs="Arial"/>
                <w:b/>
                <w:bCs/>
              </w:rPr>
              <w:t>S4. Řešení výzkumných potřeb pro podporu veřejné správy v agrárním sektoru</w:t>
            </w:r>
          </w:p>
          <w:p w14:paraId="118ABD9D" w14:textId="77777777" w:rsidR="0057110D" w:rsidRPr="009E23A6" w:rsidRDefault="0057110D" w:rsidP="008442B5">
            <w:pPr>
              <w:spacing w:before="0" w:after="0" w:line="240" w:lineRule="auto"/>
              <w:jc w:val="left"/>
              <w:rPr>
                <w:rFonts w:cs="Arial"/>
                <w:b/>
                <w:bCs/>
              </w:rPr>
            </w:pPr>
          </w:p>
          <w:p w14:paraId="1298EF34" w14:textId="77777777" w:rsidR="0057110D" w:rsidRPr="009E23A6" w:rsidRDefault="0057110D" w:rsidP="008442B5">
            <w:pPr>
              <w:spacing w:before="0" w:after="0" w:line="240" w:lineRule="auto"/>
              <w:jc w:val="left"/>
              <w:rPr>
                <w:rFonts w:eastAsia="Calibri" w:cs="Arial"/>
              </w:rPr>
            </w:pPr>
          </w:p>
        </w:tc>
        <w:tc>
          <w:tcPr>
            <w:tcW w:w="1417" w:type="dxa"/>
          </w:tcPr>
          <w:p w14:paraId="101D5617" w14:textId="77777777" w:rsidR="0057110D" w:rsidRPr="009E23A6" w:rsidRDefault="0057110D" w:rsidP="008442B5">
            <w:pPr>
              <w:spacing w:before="0" w:after="0" w:line="240" w:lineRule="auto"/>
              <w:jc w:val="left"/>
              <w:rPr>
                <w:rFonts w:eastAsia="Calibri" w:cs="Arial"/>
              </w:rPr>
            </w:pPr>
            <w:r w:rsidRPr="009E23A6">
              <w:rPr>
                <w:rFonts w:eastAsia="Calibri" w:cs="Arial"/>
              </w:rPr>
              <w:t>S4. / 1</w:t>
            </w:r>
          </w:p>
        </w:tc>
        <w:tc>
          <w:tcPr>
            <w:tcW w:w="5812" w:type="dxa"/>
            <w:gridSpan w:val="3"/>
          </w:tcPr>
          <w:p w14:paraId="507C6CAC" w14:textId="77777777" w:rsidR="0057110D" w:rsidRPr="009E23A6" w:rsidRDefault="0057110D" w:rsidP="008442B5">
            <w:pPr>
              <w:spacing w:before="0" w:after="0" w:line="240" w:lineRule="auto"/>
              <w:jc w:val="center"/>
              <w:rPr>
                <w:rFonts w:eastAsia="Calibri" w:cs="Arial"/>
                <w:color w:val="FF0000"/>
              </w:rPr>
            </w:pPr>
            <w:r w:rsidRPr="009E23A6">
              <w:rPr>
                <w:rFonts w:eastAsia="Calibri" w:cs="Arial"/>
              </w:rPr>
              <w:t>Evaluováno dle indikátorů hlavního cíle (G1 – G15)</w:t>
            </w:r>
          </w:p>
          <w:p w14:paraId="5061E4CA" w14:textId="77777777" w:rsidR="0057110D" w:rsidRPr="009E23A6" w:rsidRDefault="0057110D" w:rsidP="008442B5">
            <w:pPr>
              <w:spacing w:before="0" w:after="0" w:line="240" w:lineRule="auto"/>
              <w:jc w:val="center"/>
              <w:rPr>
                <w:rFonts w:cs="Arial"/>
              </w:rPr>
            </w:pPr>
          </w:p>
        </w:tc>
        <w:tc>
          <w:tcPr>
            <w:tcW w:w="2108" w:type="dxa"/>
          </w:tcPr>
          <w:p w14:paraId="5692FF36" w14:textId="77777777" w:rsidR="0057110D" w:rsidRPr="009E23A6" w:rsidRDefault="0057110D" w:rsidP="008442B5">
            <w:pPr>
              <w:spacing w:before="0" w:after="0" w:line="240" w:lineRule="auto"/>
              <w:jc w:val="left"/>
              <w:rPr>
                <w:rFonts w:eastAsia="Calibri" w:cs="Arial"/>
              </w:rPr>
            </w:pPr>
            <w:r w:rsidRPr="009E23A6">
              <w:rPr>
                <w:rFonts w:eastAsia="Calibri" w:cs="Arial"/>
              </w:rPr>
              <w:t>Závěrečné zprávy z řešení projektů (popř. dotazníkové šetření)</w:t>
            </w:r>
          </w:p>
          <w:p w14:paraId="60558EAF" w14:textId="77777777" w:rsidR="0057110D" w:rsidRPr="009E23A6" w:rsidRDefault="0057110D" w:rsidP="008442B5">
            <w:pPr>
              <w:spacing w:before="0" w:after="0" w:line="240" w:lineRule="auto"/>
              <w:jc w:val="left"/>
              <w:rPr>
                <w:rFonts w:cs="Arial"/>
              </w:rPr>
            </w:pPr>
          </w:p>
        </w:tc>
        <w:tc>
          <w:tcPr>
            <w:tcW w:w="1577" w:type="dxa"/>
          </w:tcPr>
          <w:p w14:paraId="4D4FC822" w14:textId="77777777" w:rsidR="0057110D" w:rsidRPr="0018196C" w:rsidRDefault="0057110D" w:rsidP="008442B5">
            <w:pPr>
              <w:spacing w:before="0" w:after="0" w:line="240" w:lineRule="auto"/>
              <w:jc w:val="left"/>
              <w:rPr>
                <w:rFonts w:eastAsia="Calibri" w:cs="Arial"/>
              </w:rPr>
            </w:pPr>
            <w:r w:rsidRPr="009E23A6">
              <w:rPr>
                <w:rFonts w:eastAsia="Calibri" w:cs="Arial"/>
              </w:rPr>
              <w:t>Podprogram II</w:t>
            </w:r>
          </w:p>
        </w:tc>
      </w:tr>
      <w:bookmarkEnd w:id="0"/>
    </w:tbl>
    <w:p w14:paraId="6E4F6A45" w14:textId="77777777" w:rsidR="0057110D" w:rsidRDefault="0057110D" w:rsidP="00E122A9">
      <w:pPr>
        <w:rPr>
          <w:szCs w:val="22"/>
        </w:rPr>
      </w:pPr>
    </w:p>
    <w:sectPr w:rsidR="0057110D" w:rsidSect="008442B5">
      <w:pgSz w:w="16838" w:h="11906" w:orient="landscape"/>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77D9F" w14:textId="77777777" w:rsidR="00F830E2" w:rsidRDefault="00F830E2" w:rsidP="0057110D">
      <w:pPr>
        <w:spacing w:before="0" w:after="0" w:line="240" w:lineRule="auto"/>
      </w:pPr>
      <w:r>
        <w:separator/>
      </w:r>
    </w:p>
  </w:endnote>
  <w:endnote w:type="continuationSeparator" w:id="0">
    <w:p w14:paraId="32DC6F93" w14:textId="77777777" w:rsidR="00F830E2" w:rsidRDefault="00F830E2" w:rsidP="005711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Frutiger CE">
    <w:altName w:val="Arial"/>
    <w:panose1 w:val="00000000000000000000"/>
    <w:charset w:val="4D"/>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493653"/>
      <w:docPartObj>
        <w:docPartGallery w:val="Page Numbers (Bottom of Page)"/>
        <w:docPartUnique/>
      </w:docPartObj>
    </w:sdtPr>
    <w:sdtEndPr/>
    <w:sdtContent>
      <w:p w14:paraId="32773FD7" w14:textId="166ABCEE" w:rsidR="008442B5" w:rsidRDefault="00F830E2">
        <w:pPr>
          <w:pStyle w:val="Zpat"/>
        </w:pPr>
      </w:p>
    </w:sdtContent>
  </w:sdt>
  <w:p w14:paraId="6D466F6F" w14:textId="77777777" w:rsidR="008442B5" w:rsidRDefault="008442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865DF" w14:textId="77777777" w:rsidR="008442B5" w:rsidRDefault="008442B5" w:rsidP="008442B5">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1413858"/>
      <w:docPartObj>
        <w:docPartGallery w:val="Page Numbers (Bottom of Page)"/>
        <w:docPartUnique/>
      </w:docPartObj>
    </w:sdtPr>
    <w:sdtEndPr/>
    <w:sdtContent>
      <w:p w14:paraId="0D373859" w14:textId="7538DA39" w:rsidR="008442B5" w:rsidRDefault="008442B5">
        <w:pPr>
          <w:pStyle w:val="Zpat"/>
        </w:pPr>
        <w:r>
          <w:fldChar w:fldCharType="begin"/>
        </w:r>
        <w:r>
          <w:instrText>PAGE   \* MERGEFORMAT</w:instrText>
        </w:r>
        <w:r>
          <w:fldChar w:fldCharType="separate"/>
        </w:r>
        <w:r w:rsidR="00310488">
          <w:rPr>
            <w:noProof/>
          </w:rPr>
          <w:t>19</w:t>
        </w:r>
        <w:r>
          <w:fldChar w:fldCharType="end"/>
        </w:r>
      </w:p>
    </w:sdtContent>
  </w:sdt>
  <w:p w14:paraId="71C764FD" w14:textId="77777777" w:rsidR="008442B5" w:rsidRDefault="008442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6BA35" w14:textId="77777777" w:rsidR="00F830E2" w:rsidRDefault="00F830E2" w:rsidP="0057110D">
      <w:pPr>
        <w:spacing w:before="0" w:after="0" w:line="240" w:lineRule="auto"/>
      </w:pPr>
      <w:r>
        <w:separator/>
      </w:r>
    </w:p>
  </w:footnote>
  <w:footnote w:type="continuationSeparator" w:id="0">
    <w:p w14:paraId="789D3A84" w14:textId="77777777" w:rsidR="00F830E2" w:rsidRDefault="00F830E2" w:rsidP="0057110D">
      <w:pPr>
        <w:spacing w:before="0" w:after="0" w:line="240" w:lineRule="auto"/>
      </w:pPr>
      <w:r>
        <w:continuationSeparator/>
      </w:r>
    </w:p>
  </w:footnote>
  <w:footnote w:id="1">
    <w:p w14:paraId="59A34758" w14:textId="77777777" w:rsidR="008442B5" w:rsidRDefault="008442B5" w:rsidP="00962A01">
      <w:pPr>
        <w:pStyle w:val="Textpoznpodarou"/>
      </w:pPr>
      <w:r>
        <w:rPr>
          <w:rStyle w:val="Znakapoznpodarou"/>
        </w:rPr>
        <w:footnoteRef/>
      </w:r>
      <w:r>
        <w:t xml:space="preserve"> Úřední věstník L187, 26. 6. 2014, s. 1</w:t>
      </w:r>
    </w:p>
  </w:footnote>
  <w:footnote w:id="2">
    <w:p w14:paraId="67F4D614" w14:textId="77777777" w:rsidR="008442B5" w:rsidRDefault="008442B5" w:rsidP="00962A01">
      <w:pPr>
        <w:pStyle w:val="Textpoznpodarou"/>
      </w:pPr>
      <w:r>
        <w:rPr>
          <w:rStyle w:val="Znakapoznpodarou"/>
        </w:rPr>
        <w:footnoteRef/>
      </w:r>
      <w:r>
        <w:t xml:space="preserve"> Úřední věstník C 198, 27. 6. 2014, s. 1</w:t>
      </w:r>
    </w:p>
  </w:footnote>
  <w:footnote w:id="3">
    <w:p w14:paraId="4A0DD50F" w14:textId="77777777" w:rsidR="008442B5" w:rsidRPr="00C0702A" w:rsidRDefault="008442B5" w:rsidP="00962A01">
      <w:pPr>
        <w:ind w:left="142" w:hanging="142"/>
        <w:rPr>
          <w:sz w:val="20"/>
          <w:szCs w:val="20"/>
        </w:rPr>
      </w:pPr>
      <w:r>
        <w:rPr>
          <w:rStyle w:val="Znakapoznpodarou"/>
        </w:rPr>
        <w:footnoteRef/>
      </w:r>
      <w:r>
        <w:t xml:space="preserve"> </w:t>
      </w:r>
      <w:r w:rsidRPr="00C0702A">
        <w:rPr>
          <w:sz w:val="20"/>
          <w:szCs w:val="20"/>
        </w:rPr>
        <w:t xml:space="preserve">Program je komplexním dlouhodobým nástrojem na podporu projektů výzkumu dle čl. 25 odst. 2 písm. b), c) GBER a čl. 1. 3. bodu 15 písm. e) Rámce a čl. 1. 3. bodu 15 písm. j) a q) Rámce. </w:t>
      </w:r>
    </w:p>
  </w:footnote>
  <w:footnote w:id="4">
    <w:p w14:paraId="228C9841" w14:textId="77777777" w:rsidR="00A51A41" w:rsidRDefault="00A51A41" w:rsidP="00A51A41">
      <w:pPr>
        <w:pStyle w:val="Textpoznpodarou"/>
      </w:pPr>
      <w:r>
        <w:rPr>
          <w:rStyle w:val="Znakapoznpodarou"/>
        </w:rPr>
        <w:footnoteRef/>
      </w:r>
      <w:r>
        <w:t xml:space="preserve"> Viz Program zemědělského aplikovaného výzkumu a experimentálního vývoje Komplexní udržitelné systémy v zemědělství 2012-2018 „KUS“</w:t>
      </w:r>
    </w:p>
  </w:footnote>
  <w:footnote w:id="5">
    <w:p w14:paraId="06B9C292" w14:textId="77777777" w:rsidR="00A51A41" w:rsidRPr="00015F43" w:rsidRDefault="00A51A41" w:rsidP="00A51A41">
      <w:pPr>
        <w:pStyle w:val="Textpoznpodarou"/>
      </w:pPr>
      <w:r>
        <w:rPr>
          <w:rStyle w:val="Znakapoznpodarou"/>
        </w:rPr>
        <w:footnoteRef/>
      </w:r>
      <w:r>
        <w:t xml:space="preserve"> Viz Ex-post evaluace programu Komplexní udržitelné systémy v zemědělství 2012-2018 „KUS“ Finální evaluační zpráva</w:t>
      </w:r>
    </w:p>
  </w:footnote>
  <w:footnote w:id="6">
    <w:p w14:paraId="1F69FD0F" w14:textId="77777777" w:rsidR="00A51A41" w:rsidRDefault="00A51A41" w:rsidP="00A51A41">
      <w:pPr>
        <w:pStyle w:val="Textpoznpodarou"/>
      </w:pPr>
      <w:r>
        <w:rPr>
          <w:rStyle w:val="Znakapoznpodarou"/>
        </w:rPr>
        <w:footnoteRef/>
      </w:r>
      <w:r>
        <w:t xml:space="preserve"> Viz Program aplikovaného výzkumu Ministerstva zemědělství na období 2017-2025, ZEMĚ</w:t>
      </w:r>
    </w:p>
  </w:footnote>
  <w:footnote w:id="7">
    <w:p w14:paraId="401DEDC2" w14:textId="77777777" w:rsidR="00A51A41" w:rsidRDefault="00A51A41" w:rsidP="00A51A41">
      <w:pPr>
        <w:pStyle w:val="Textpoznpodarou"/>
      </w:pPr>
      <w:r>
        <w:rPr>
          <w:rStyle w:val="Znakapoznpodarou"/>
        </w:rPr>
        <w:footnoteRef/>
      </w:r>
      <w:r>
        <w:t xml:space="preserve"> Viz </w:t>
      </w:r>
      <w:r w:rsidRPr="00E13CAA">
        <w:t>Interim evaluace Programu aplikovaného výzkumu Ministerstva zemědělství na období 2017–2025, ZEMĚ a Koncepce výzkumu, vývoje a inovací Ministerstva zemědělství na léta 2016–2022“</w:t>
      </w:r>
    </w:p>
  </w:footnote>
  <w:footnote w:id="8">
    <w:p w14:paraId="50A175F8" w14:textId="467A116B" w:rsidR="008442B5" w:rsidRDefault="008442B5">
      <w:pPr>
        <w:pStyle w:val="Textpoznpodarou"/>
      </w:pPr>
      <w:r w:rsidRPr="00CF6200">
        <w:rPr>
          <w:rStyle w:val="Znakapoznpodarou"/>
        </w:rPr>
        <w:footnoteRef/>
      </w:r>
      <w:r w:rsidRPr="00CF6200">
        <w:t xml:space="preserve"> Vstupní hodnoty pro veškeré indikátory jsou nulové. Jedná se o výkonnostní hodnocení, které má smysl až od začátku realizace Programu.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9207F" w14:textId="77777777" w:rsidR="008442B5" w:rsidRDefault="008442B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6D00EB2"/>
    <w:multiLevelType w:val="hybridMultilevel"/>
    <w:tmpl w:val="E93C4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613BC2"/>
    <w:multiLevelType w:val="hybridMultilevel"/>
    <w:tmpl w:val="8CD2CB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 w15:restartNumberingAfterBreak="0">
    <w:nsid w:val="08F979F0"/>
    <w:multiLevelType w:val="hybridMultilevel"/>
    <w:tmpl w:val="913E9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2B0F31"/>
    <w:multiLevelType w:val="hybridMultilevel"/>
    <w:tmpl w:val="0AD878A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11A52615"/>
    <w:multiLevelType w:val="multilevel"/>
    <w:tmpl w:val="5790AC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39A1E44"/>
    <w:multiLevelType w:val="multilevel"/>
    <w:tmpl w:val="A87A03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3B41DD1"/>
    <w:multiLevelType w:val="multilevel"/>
    <w:tmpl w:val="28769C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7FF560A"/>
    <w:multiLevelType w:val="hybridMultilevel"/>
    <w:tmpl w:val="156E8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981016"/>
    <w:multiLevelType w:val="hybridMultilevel"/>
    <w:tmpl w:val="B22CCD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013F62"/>
    <w:multiLevelType w:val="hybridMultilevel"/>
    <w:tmpl w:val="B700E8F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1" w15:restartNumberingAfterBreak="0">
    <w:nsid w:val="29BB2BA8"/>
    <w:multiLevelType w:val="hybridMultilevel"/>
    <w:tmpl w:val="33361ED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A15315C"/>
    <w:multiLevelType w:val="hybridMultilevel"/>
    <w:tmpl w:val="8AA8B14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A652C0C"/>
    <w:multiLevelType w:val="hybridMultilevel"/>
    <w:tmpl w:val="FD70493C"/>
    <w:lvl w:ilvl="0" w:tplc="17D4A3CE">
      <w:start w:val="1"/>
      <w:numFmt w:val="decimal"/>
      <w:lvlText w:val="%1."/>
      <w:lvlJc w:val="left"/>
      <w:pPr>
        <w:tabs>
          <w:tab w:val="num" w:pos="720"/>
        </w:tabs>
        <w:ind w:left="720" w:hanging="360"/>
      </w:pPr>
    </w:lvl>
    <w:lvl w:ilvl="1" w:tplc="AF5E153C" w:tentative="1">
      <w:start w:val="1"/>
      <w:numFmt w:val="decimal"/>
      <w:lvlText w:val="%2."/>
      <w:lvlJc w:val="left"/>
      <w:pPr>
        <w:tabs>
          <w:tab w:val="num" w:pos="1440"/>
        </w:tabs>
        <w:ind w:left="1440" w:hanging="360"/>
      </w:pPr>
    </w:lvl>
    <w:lvl w:ilvl="2" w:tplc="F40AD90C" w:tentative="1">
      <w:start w:val="1"/>
      <w:numFmt w:val="decimal"/>
      <w:lvlText w:val="%3."/>
      <w:lvlJc w:val="left"/>
      <w:pPr>
        <w:tabs>
          <w:tab w:val="num" w:pos="2160"/>
        </w:tabs>
        <w:ind w:left="2160" w:hanging="360"/>
      </w:pPr>
    </w:lvl>
    <w:lvl w:ilvl="3" w:tplc="454833A6" w:tentative="1">
      <w:start w:val="1"/>
      <w:numFmt w:val="decimal"/>
      <w:lvlText w:val="%4."/>
      <w:lvlJc w:val="left"/>
      <w:pPr>
        <w:tabs>
          <w:tab w:val="num" w:pos="2880"/>
        </w:tabs>
        <w:ind w:left="2880" w:hanging="360"/>
      </w:pPr>
    </w:lvl>
    <w:lvl w:ilvl="4" w:tplc="C58C2BB6" w:tentative="1">
      <w:start w:val="1"/>
      <w:numFmt w:val="decimal"/>
      <w:lvlText w:val="%5."/>
      <w:lvlJc w:val="left"/>
      <w:pPr>
        <w:tabs>
          <w:tab w:val="num" w:pos="3600"/>
        </w:tabs>
        <w:ind w:left="3600" w:hanging="360"/>
      </w:pPr>
    </w:lvl>
    <w:lvl w:ilvl="5" w:tplc="2A2E7F9C" w:tentative="1">
      <w:start w:val="1"/>
      <w:numFmt w:val="decimal"/>
      <w:lvlText w:val="%6."/>
      <w:lvlJc w:val="left"/>
      <w:pPr>
        <w:tabs>
          <w:tab w:val="num" w:pos="4320"/>
        </w:tabs>
        <w:ind w:left="4320" w:hanging="360"/>
      </w:pPr>
    </w:lvl>
    <w:lvl w:ilvl="6" w:tplc="27042674" w:tentative="1">
      <w:start w:val="1"/>
      <w:numFmt w:val="decimal"/>
      <w:lvlText w:val="%7."/>
      <w:lvlJc w:val="left"/>
      <w:pPr>
        <w:tabs>
          <w:tab w:val="num" w:pos="5040"/>
        </w:tabs>
        <w:ind w:left="5040" w:hanging="360"/>
      </w:pPr>
    </w:lvl>
    <w:lvl w:ilvl="7" w:tplc="98B4A976" w:tentative="1">
      <w:start w:val="1"/>
      <w:numFmt w:val="decimal"/>
      <w:lvlText w:val="%8."/>
      <w:lvlJc w:val="left"/>
      <w:pPr>
        <w:tabs>
          <w:tab w:val="num" w:pos="5760"/>
        </w:tabs>
        <w:ind w:left="5760" w:hanging="360"/>
      </w:pPr>
    </w:lvl>
    <w:lvl w:ilvl="8" w:tplc="ADB233D2" w:tentative="1">
      <w:start w:val="1"/>
      <w:numFmt w:val="decimal"/>
      <w:lvlText w:val="%9."/>
      <w:lvlJc w:val="left"/>
      <w:pPr>
        <w:tabs>
          <w:tab w:val="num" w:pos="6480"/>
        </w:tabs>
        <w:ind w:left="6480" w:hanging="360"/>
      </w:pPr>
    </w:lvl>
  </w:abstractNum>
  <w:abstractNum w:abstractNumId="14" w15:restartNumberingAfterBreak="0">
    <w:nsid w:val="2AD91108"/>
    <w:multiLevelType w:val="hybridMultilevel"/>
    <w:tmpl w:val="014E7A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BB450B8"/>
    <w:multiLevelType w:val="hybridMultilevel"/>
    <w:tmpl w:val="F46098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667A11"/>
    <w:multiLevelType w:val="multilevel"/>
    <w:tmpl w:val="4A0ADE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B930A32"/>
    <w:multiLevelType w:val="hybridMultilevel"/>
    <w:tmpl w:val="4EB4A6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A764E9"/>
    <w:multiLevelType w:val="hybridMultilevel"/>
    <w:tmpl w:val="0B8082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51EF16A0"/>
    <w:multiLevelType w:val="multilevel"/>
    <w:tmpl w:val="5008D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7756D64"/>
    <w:multiLevelType w:val="hybridMultilevel"/>
    <w:tmpl w:val="ECB20A06"/>
    <w:lvl w:ilvl="0" w:tplc="F236B1B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307371"/>
    <w:multiLevelType w:val="hybridMultilevel"/>
    <w:tmpl w:val="77BA87E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653625A7"/>
    <w:multiLevelType w:val="hybridMultilevel"/>
    <w:tmpl w:val="0C160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73B1DED"/>
    <w:multiLevelType w:val="hybridMultilevel"/>
    <w:tmpl w:val="8D0EB83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4" w15:restartNumberingAfterBreak="0">
    <w:nsid w:val="73D27F90"/>
    <w:multiLevelType w:val="hybridMultilevel"/>
    <w:tmpl w:val="66402134"/>
    <w:lvl w:ilvl="0" w:tplc="83A60E54">
      <w:start w:val="1"/>
      <w:numFmt w:val="bullet"/>
      <w:lvlText w:val=""/>
      <w:lvlJc w:val="left"/>
      <w:pPr>
        <w:ind w:left="720" w:hanging="360"/>
      </w:pPr>
      <w:rPr>
        <w:rFonts w:ascii="Symbol" w:hAnsi="Symbol" w:hint="default"/>
        <w:color w:val="auto"/>
      </w:rPr>
    </w:lvl>
    <w:lvl w:ilvl="1" w:tplc="DF5C7398">
      <w:start w:val="1"/>
      <w:numFmt w:val="bullet"/>
      <w:lvlText w:val="o"/>
      <w:lvlJc w:val="left"/>
      <w:pPr>
        <w:ind w:left="1440" w:hanging="360"/>
      </w:pPr>
      <w:rPr>
        <w:rFonts w:ascii="Courier New" w:hAnsi="Courier New" w:cs="Courier New"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553456"/>
    <w:multiLevelType w:val="hybridMultilevel"/>
    <w:tmpl w:val="10B08E22"/>
    <w:lvl w:ilvl="0" w:tplc="74A07CEC">
      <w:numFmt w:val="bullet"/>
      <w:lvlText w:val="-"/>
      <w:lvlJc w:val="left"/>
      <w:pPr>
        <w:ind w:left="720" w:hanging="360"/>
      </w:pPr>
      <w:rPr>
        <w:rFonts w:ascii="Frutiger CE" w:eastAsia="Times New Roman" w:hAnsi="Frutiger CE"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BA1303D"/>
    <w:multiLevelType w:val="multilevel"/>
    <w:tmpl w:val="15AA5A08"/>
    <w:name w:val="číslovaný nadpis 2"/>
    <w:lvl w:ilvl="0">
      <w:start w:val="1"/>
      <w:numFmt w:val="decimal"/>
      <w:pStyle w:val="Nadpis1"/>
      <w:lvlText w:val="%1."/>
      <w:lvlJc w:val="left"/>
      <w:pPr>
        <w:ind w:left="1637" w:hanging="360"/>
      </w:pPr>
      <w:rPr>
        <w:rFonts w:hint="default"/>
      </w:rPr>
    </w:lvl>
    <w:lvl w:ilvl="1">
      <w:start w:val="1"/>
      <w:numFmt w:val="decimal"/>
      <w:pStyle w:val="Nadpis2"/>
      <w:lvlText w:val="%1.%2."/>
      <w:lvlJc w:val="left"/>
      <w:pPr>
        <w:ind w:left="1440" w:hanging="360"/>
      </w:pPr>
      <w:rPr>
        <w:rFonts w:ascii="Arial" w:hAnsi="Arial" w:cs="Arial" w:hint="default"/>
        <w:sz w:val="28"/>
        <w:szCs w:val="28"/>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7"/>
  </w:num>
  <w:num w:numId="2">
    <w:abstractNumId w:val="19"/>
  </w:num>
  <w:num w:numId="3">
    <w:abstractNumId w:val="16"/>
  </w:num>
  <w:num w:numId="4">
    <w:abstractNumId w:val="6"/>
  </w:num>
  <w:num w:numId="5">
    <w:abstractNumId w:val="5"/>
  </w:num>
  <w:num w:numId="6">
    <w:abstractNumId w:val="21"/>
  </w:num>
  <w:num w:numId="7">
    <w:abstractNumId w:val="20"/>
  </w:num>
  <w:num w:numId="8">
    <w:abstractNumId w:val="26"/>
  </w:num>
  <w:num w:numId="9">
    <w:abstractNumId w:val="4"/>
  </w:num>
  <w:num w:numId="10">
    <w:abstractNumId w:val="10"/>
  </w:num>
  <w:num w:numId="11">
    <w:abstractNumId w:val="23"/>
  </w:num>
  <w:num w:numId="12">
    <w:abstractNumId w:val="2"/>
  </w:num>
  <w:num w:numId="13">
    <w:abstractNumId w:val="18"/>
  </w:num>
  <w:num w:numId="14">
    <w:abstractNumId w:val="12"/>
  </w:num>
  <w:num w:numId="15">
    <w:abstractNumId w:val="8"/>
  </w:num>
  <w:num w:numId="16">
    <w:abstractNumId w:val="24"/>
  </w:num>
  <w:num w:numId="17">
    <w:abstractNumId w:val="15"/>
  </w:num>
  <w:num w:numId="18">
    <w:abstractNumId w:val="1"/>
  </w:num>
  <w:num w:numId="19">
    <w:abstractNumId w:val="3"/>
  </w:num>
  <w:num w:numId="20">
    <w:abstractNumId w:val="9"/>
  </w:num>
  <w:num w:numId="21">
    <w:abstractNumId w:val="14"/>
  </w:num>
  <w:num w:numId="22">
    <w:abstractNumId w:val="11"/>
  </w:num>
  <w:num w:numId="23">
    <w:abstractNumId w:val="26"/>
  </w:num>
  <w:num w:numId="24">
    <w:abstractNumId w:val="22"/>
  </w:num>
  <w:num w:numId="25">
    <w:abstractNumId w:val="25"/>
  </w:num>
  <w:num w:numId="26">
    <w:abstractNumId w:val="26"/>
  </w:num>
  <w:num w:numId="27">
    <w:abstractNumId w:val="13"/>
  </w:num>
  <w:num w:numId="28">
    <w:abstractNumId w:val="17"/>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421"/>
    <w:rsid w:val="000009CB"/>
    <w:rsid w:val="00015F43"/>
    <w:rsid w:val="0002454A"/>
    <w:rsid w:val="00027AA9"/>
    <w:rsid w:val="0003265A"/>
    <w:rsid w:val="00032AE6"/>
    <w:rsid w:val="00060CF7"/>
    <w:rsid w:val="00071E95"/>
    <w:rsid w:val="00080EEF"/>
    <w:rsid w:val="00082E51"/>
    <w:rsid w:val="000C0368"/>
    <w:rsid w:val="000D78A7"/>
    <w:rsid w:val="000F28AE"/>
    <w:rsid w:val="000F3BA6"/>
    <w:rsid w:val="001009A9"/>
    <w:rsid w:val="0010750B"/>
    <w:rsid w:val="001175E5"/>
    <w:rsid w:val="00134096"/>
    <w:rsid w:val="00150A30"/>
    <w:rsid w:val="00152012"/>
    <w:rsid w:val="00156EE9"/>
    <w:rsid w:val="001A08CC"/>
    <w:rsid w:val="001A6635"/>
    <w:rsid w:val="001A6EEF"/>
    <w:rsid w:val="001C128C"/>
    <w:rsid w:val="001C3BFD"/>
    <w:rsid w:val="001D0FA9"/>
    <w:rsid w:val="001D4A56"/>
    <w:rsid w:val="001E4387"/>
    <w:rsid w:val="00225907"/>
    <w:rsid w:val="00236A01"/>
    <w:rsid w:val="00242839"/>
    <w:rsid w:val="002428E5"/>
    <w:rsid w:val="0025523B"/>
    <w:rsid w:val="0027768B"/>
    <w:rsid w:val="0029510F"/>
    <w:rsid w:val="002A2BAD"/>
    <w:rsid w:val="002E5776"/>
    <w:rsid w:val="002F1B6A"/>
    <w:rsid w:val="002F5F9C"/>
    <w:rsid w:val="00301E49"/>
    <w:rsid w:val="003069EE"/>
    <w:rsid w:val="00310488"/>
    <w:rsid w:val="0031373D"/>
    <w:rsid w:val="00341E88"/>
    <w:rsid w:val="00351632"/>
    <w:rsid w:val="00352561"/>
    <w:rsid w:val="003569E3"/>
    <w:rsid w:val="003647F3"/>
    <w:rsid w:val="00370324"/>
    <w:rsid w:val="00370998"/>
    <w:rsid w:val="00383F35"/>
    <w:rsid w:val="003A3A18"/>
    <w:rsid w:val="003A4BEB"/>
    <w:rsid w:val="003C670C"/>
    <w:rsid w:val="003D0A2F"/>
    <w:rsid w:val="003D24CA"/>
    <w:rsid w:val="003E1989"/>
    <w:rsid w:val="004126CA"/>
    <w:rsid w:val="0043629F"/>
    <w:rsid w:val="00441C14"/>
    <w:rsid w:val="0047249E"/>
    <w:rsid w:val="004733A0"/>
    <w:rsid w:val="00486DD6"/>
    <w:rsid w:val="004B0F96"/>
    <w:rsid w:val="004C5BF7"/>
    <w:rsid w:val="004D1287"/>
    <w:rsid w:val="004D7661"/>
    <w:rsid w:val="004D7F74"/>
    <w:rsid w:val="004E0F0C"/>
    <w:rsid w:val="004E7CC4"/>
    <w:rsid w:val="005036B3"/>
    <w:rsid w:val="0050598B"/>
    <w:rsid w:val="00514B5A"/>
    <w:rsid w:val="0051595B"/>
    <w:rsid w:val="0052248B"/>
    <w:rsid w:val="00522499"/>
    <w:rsid w:val="00530A8B"/>
    <w:rsid w:val="00542C16"/>
    <w:rsid w:val="005506F0"/>
    <w:rsid w:val="00565C2D"/>
    <w:rsid w:val="00570211"/>
    <w:rsid w:val="00570317"/>
    <w:rsid w:val="0057110D"/>
    <w:rsid w:val="005C4D90"/>
    <w:rsid w:val="005D05D0"/>
    <w:rsid w:val="005D4572"/>
    <w:rsid w:val="005F05CB"/>
    <w:rsid w:val="006071BB"/>
    <w:rsid w:val="0060736F"/>
    <w:rsid w:val="00615351"/>
    <w:rsid w:val="00622941"/>
    <w:rsid w:val="00627C0A"/>
    <w:rsid w:val="00650F01"/>
    <w:rsid w:val="00650FF0"/>
    <w:rsid w:val="006A03FE"/>
    <w:rsid w:val="006A5C35"/>
    <w:rsid w:val="006E20FB"/>
    <w:rsid w:val="006F3EB6"/>
    <w:rsid w:val="00706C35"/>
    <w:rsid w:val="00710436"/>
    <w:rsid w:val="007208E7"/>
    <w:rsid w:val="0073047E"/>
    <w:rsid w:val="0073362F"/>
    <w:rsid w:val="00733744"/>
    <w:rsid w:val="00740FCB"/>
    <w:rsid w:val="007445CE"/>
    <w:rsid w:val="007873AB"/>
    <w:rsid w:val="007A376D"/>
    <w:rsid w:val="007A648D"/>
    <w:rsid w:val="007A6786"/>
    <w:rsid w:val="007B15FC"/>
    <w:rsid w:val="007B4AD7"/>
    <w:rsid w:val="007D08B7"/>
    <w:rsid w:val="007D3EB0"/>
    <w:rsid w:val="007D5B6F"/>
    <w:rsid w:val="007E2B11"/>
    <w:rsid w:val="007E38C5"/>
    <w:rsid w:val="007F18EF"/>
    <w:rsid w:val="007F793C"/>
    <w:rsid w:val="008018CB"/>
    <w:rsid w:val="00804202"/>
    <w:rsid w:val="00811E12"/>
    <w:rsid w:val="00833998"/>
    <w:rsid w:val="008442B5"/>
    <w:rsid w:val="00877D52"/>
    <w:rsid w:val="00880D17"/>
    <w:rsid w:val="008A045E"/>
    <w:rsid w:val="008A07E9"/>
    <w:rsid w:val="008A790C"/>
    <w:rsid w:val="008B087A"/>
    <w:rsid w:val="008D11E6"/>
    <w:rsid w:val="008E7E93"/>
    <w:rsid w:val="008F1F5F"/>
    <w:rsid w:val="00903670"/>
    <w:rsid w:val="00912AA5"/>
    <w:rsid w:val="00913FF3"/>
    <w:rsid w:val="009164E6"/>
    <w:rsid w:val="00946AE5"/>
    <w:rsid w:val="009476A4"/>
    <w:rsid w:val="00953937"/>
    <w:rsid w:val="00962A01"/>
    <w:rsid w:val="009969B1"/>
    <w:rsid w:val="009A1019"/>
    <w:rsid w:val="009A1021"/>
    <w:rsid w:val="009A572E"/>
    <w:rsid w:val="009E23A6"/>
    <w:rsid w:val="009F7DF4"/>
    <w:rsid w:val="00A0059F"/>
    <w:rsid w:val="00A13BB1"/>
    <w:rsid w:val="00A42A90"/>
    <w:rsid w:val="00A465CA"/>
    <w:rsid w:val="00A51A41"/>
    <w:rsid w:val="00A63421"/>
    <w:rsid w:val="00A65F65"/>
    <w:rsid w:val="00A66860"/>
    <w:rsid w:val="00A67ADC"/>
    <w:rsid w:val="00A90947"/>
    <w:rsid w:val="00A976D5"/>
    <w:rsid w:val="00AB1360"/>
    <w:rsid w:val="00AB2F97"/>
    <w:rsid w:val="00AC12BC"/>
    <w:rsid w:val="00AD03B1"/>
    <w:rsid w:val="00AD3FEC"/>
    <w:rsid w:val="00AD4E04"/>
    <w:rsid w:val="00AE3416"/>
    <w:rsid w:val="00AF22B2"/>
    <w:rsid w:val="00AF4D16"/>
    <w:rsid w:val="00B075E7"/>
    <w:rsid w:val="00B16B44"/>
    <w:rsid w:val="00B30529"/>
    <w:rsid w:val="00B47867"/>
    <w:rsid w:val="00B72B7D"/>
    <w:rsid w:val="00B909AD"/>
    <w:rsid w:val="00BA5D4A"/>
    <w:rsid w:val="00BC6F33"/>
    <w:rsid w:val="00C041B6"/>
    <w:rsid w:val="00C1055A"/>
    <w:rsid w:val="00C3332D"/>
    <w:rsid w:val="00C50A2A"/>
    <w:rsid w:val="00C51240"/>
    <w:rsid w:val="00C51D25"/>
    <w:rsid w:val="00C526D1"/>
    <w:rsid w:val="00C601F7"/>
    <w:rsid w:val="00C63576"/>
    <w:rsid w:val="00C8323C"/>
    <w:rsid w:val="00C83BA6"/>
    <w:rsid w:val="00CC10BD"/>
    <w:rsid w:val="00CC5348"/>
    <w:rsid w:val="00CE086C"/>
    <w:rsid w:val="00CE5173"/>
    <w:rsid w:val="00CF6200"/>
    <w:rsid w:val="00D123F6"/>
    <w:rsid w:val="00D1317E"/>
    <w:rsid w:val="00D17CC7"/>
    <w:rsid w:val="00D312F5"/>
    <w:rsid w:val="00D42A58"/>
    <w:rsid w:val="00D47792"/>
    <w:rsid w:val="00D55C79"/>
    <w:rsid w:val="00D7431A"/>
    <w:rsid w:val="00D77FED"/>
    <w:rsid w:val="00D84B54"/>
    <w:rsid w:val="00D94B8B"/>
    <w:rsid w:val="00DA0665"/>
    <w:rsid w:val="00DB7B24"/>
    <w:rsid w:val="00DC4A05"/>
    <w:rsid w:val="00DD04EB"/>
    <w:rsid w:val="00DD5CD1"/>
    <w:rsid w:val="00E122A9"/>
    <w:rsid w:val="00E13CAA"/>
    <w:rsid w:val="00E17A74"/>
    <w:rsid w:val="00E20381"/>
    <w:rsid w:val="00E31B21"/>
    <w:rsid w:val="00E35829"/>
    <w:rsid w:val="00E37E61"/>
    <w:rsid w:val="00E42633"/>
    <w:rsid w:val="00E44674"/>
    <w:rsid w:val="00E47744"/>
    <w:rsid w:val="00E67B9F"/>
    <w:rsid w:val="00E74640"/>
    <w:rsid w:val="00E834C9"/>
    <w:rsid w:val="00E83960"/>
    <w:rsid w:val="00E9648B"/>
    <w:rsid w:val="00EA0875"/>
    <w:rsid w:val="00ED26F6"/>
    <w:rsid w:val="00EE0DDC"/>
    <w:rsid w:val="00EE1656"/>
    <w:rsid w:val="00F01DE3"/>
    <w:rsid w:val="00F309B0"/>
    <w:rsid w:val="00F311B0"/>
    <w:rsid w:val="00F3218F"/>
    <w:rsid w:val="00F4451D"/>
    <w:rsid w:val="00F47507"/>
    <w:rsid w:val="00F4761B"/>
    <w:rsid w:val="00F60A21"/>
    <w:rsid w:val="00F6139F"/>
    <w:rsid w:val="00F66BD9"/>
    <w:rsid w:val="00F66D16"/>
    <w:rsid w:val="00F74158"/>
    <w:rsid w:val="00F830E2"/>
    <w:rsid w:val="00F8712A"/>
    <w:rsid w:val="00F87358"/>
    <w:rsid w:val="00F97C22"/>
    <w:rsid w:val="00FB5AEE"/>
    <w:rsid w:val="00FC4520"/>
    <w:rsid w:val="00FC63CF"/>
    <w:rsid w:val="00FD0EC7"/>
    <w:rsid w:val="00FE5308"/>
    <w:rsid w:val="00FE7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F2A2C"/>
  <w15:chartTrackingRefBased/>
  <w15:docId w15:val="{0075FFAB-0461-4612-8B58-1E63DA24A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41C14"/>
    <w:pPr>
      <w:spacing w:before="120" w:after="120" w:line="360" w:lineRule="auto"/>
      <w:jc w:val="both"/>
    </w:pPr>
    <w:rPr>
      <w:rFonts w:ascii="Arial" w:eastAsia="Arial" w:hAnsi="Arial" w:cs="Times New Roman"/>
      <w:szCs w:val="24"/>
      <w:lang w:eastAsia="cs-CZ"/>
    </w:rPr>
  </w:style>
  <w:style w:type="paragraph" w:styleId="Nadpis1">
    <w:name w:val="heading 1"/>
    <w:basedOn w:val="Normln"/>
    <w:next w:val="Normln"/>
    <w:link w:val="Nadpis1Char"/>
    <w:uiPriority w:val="9"/>
    <w:qFormat/>
    <w:rsid w:val="00C83BA6"/>
    <w:pPr>
      <w:keepNext/>
      <w:keepLines/>
      <w:numPr>
        <w:numId w:val="8"/>
      </w:numPr>
      <w:spacing w:before="480" w:line="276" w:lineRule="auto"/>
      <w:ind w:left="720"/>
      <w:outlineLvl w:val="0"/>
    </w:pPr>
    <w:rPr>
      <w:rFonts w:cs="Arial"/>
      <w:b/>
      <w:sz w:val="32"/>
    </w:rPr>
  </w:style>
  <w:style w:type="paragraph" w:styleId="Nadpis2">
    <w:name w:val="heading 2"/>
    <w:basedOn w:val="Normln"/>
    <w:next w:val="Normln"/>
    <w:link w:val="Nadpis2Char"/>
    <w:uiPriority w:val="9"/>
    <w:unhideWhenUsed/>
    <w:qFormat/>
    <w:rsid w:val="00530A8B"/>
    <w:pPr>
      <w:keepNext/>
      <w:keepLines/>
      <w:numPr>
        <w:ilvl w:val="1"/>
        <w:numId w:val="8"/>
      </w:numPr>
      <w:spacing w:before="360" w:after="80"/>
      <w:outlineLvl w:val="1"/>
    </w:pPr>
    <w:rPr>
      <w:b/>
      <w:sz w:val="28"/>
      <w:szCs w:val="36"/>
    </w:rPr>
  </w:style>
  <w:style w:type="paragraph" w:styleId="Nadpis3">
    <w:name w:val="heading 3"/>
    <w:basedOn w:val="Normln"/>
    <w:next w:val="Normln"/>
    <w:link w:val="Nadpis3Char"/>
    <w:uiPriority w:val="9"/>
    <w:unhideWhenUsed/>
    <w:qFormat/>
    <w:rsid w:val="0057110D"/>
    <w:pPr>
      <w:keepNext/>
      <w:keepLines/>
      <w:spacing w:before="280" w:after="80"/>
      <w:outlineLvl w:val="2"/>
    </w:pPr>
    <w:rPr>
      <w:b/>
      <w:sz w:val="24"/>
      <w:szCs w:val="28"/>
    </w:rPr>
  </w:style>
  <w:style w:type="paragraph" w:styleId="Nadpis4">
    <w:name w:val="heading 4"/>
    <w:basedOn w:val="Normln"/>
    <w:next w:val="Normln"/>
    <w:link w:val="Nadpis4Char"/>
    <w:uiPriority w:val="9"/>
    <w:unhideWhenUsed/>
    <w:qFormat/>
    <w:rsid w:val="0057110D"/>
    <w:pPr>
      <w:keepNext/>
      <w:keepLines/>
      <w:spacing w:before="240" w:after="40"/>
      <w:outlineLvl w:val="3"/>
    </w:pPr>
    <w:rPr>
      <w:b/>
    </w:rPr>
  </w:style>
  <w:style w:type="paragraph" w:styleId="Nadpis5">
    <w:name w:val="heading 5"/>
    <w:basedOn w:val="Normln"/>
    <w:next w:val="Normln"/>
    <w:link w:val="Nadpis5Char"/>
    <w:uiPriority w:val="9"/>
    <w:semiHidden/>
    <w:unhideWhenUsed/>
    <w:qFormat/>
    <w:rsid w:val="0057110D"/>
    <w:pPr>
      <w:keepNext/>
      <w:keepLines/>
      <w:spacing w:before="220" w:after="40"/>
      <w:outlineLvl w:val="4"/>
    </w:pPr>
    <w:rPr>
      <w:b/>
      <w:szCs w:val="22"/>
    </w:rPr>
  </w:style>
  <w:style w:type="paragraph" w:styleId="Nadpis6">
    <w:name w:val="heading 6"/>
    <w:basedOn w:val="Normln"/>
    <w:next w:val="Normln"/>
    <w:link w:val="Nadpis6Char"/>
    <w:uiPriority w:val="9"/>
    <w:semiHidden/>
    <w:unhideWhenUsed/>
    <w:qFormat/>
    <w:rsid w:val="0057110D"/>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83BA6"/>
    <w:rPr>
      <w:rFonts w:ascii="Arial" w:eastAsia="Arial" w:hAnsi="Arial" w:cs="Arial"/>
      <w:b/>
      <w:sz w:val="32"/>
      <w:szCs w:val="24"/>
      <w:lang w:eastAsia="cs-CZ"/>
    </w:rPr>
  </w:style>
  <w:style w:type="character" w:customStyle="1" w:styleId="Nadpis2Char">
    <w:name w:val="Nadpis 2 Char"/>
    <w:basedOn w:val="Standardnpsmoodstavce"/>
    <w:link w:val="Nadpis2"/>
    <w:uiPriority w:val="9"/>
    <w:rsid w:val="00530A8B"/>
    <w:rPr>
      <w:rFonts w:ascii="Arial" w:eastAsia="Arial" w:hAnsi="Arial" w:cs="Times New Roman"/>
      <w:b/>
      <w:sz w:val="28"/>
      <w:szCs w:val="36"/>
      <w:lang w:eastAsia="cs-CZ"/>
    </w:rPr>
  </w:style>
  <w:style w:type="character" w:customStyle="1" w:styleId="Nadpis3Char">
    <w:name w:val="Nadpis 3 Char"/>
    <w:basedOn w:val="Standardnpsmoodstavce"/>
    <w:link w:val="Nadpis3"/>
    <w:uiPriority w:val="9"/>
    <w:rsid w:val="0057110D"/>
    <w:rPr>
      <w:rFonts w:ascii="Arial" w:eastAsia="Arial" w:hAnsi="Arial" w:cs="Times New Roman"/>
      <w:b/>
      <w:sz w:val="24"/>
      <w:szCs w:val="28"/>
      <w:lang w:eastAsia="cs-CZ"/>
    </w:rPr>
  </w:style>
  <w:style w:type="character" w:customStyle="1" w:styleId="Nadpis4Char">
    <w:name w:val="Nadpis 4 Char"/>
    <w:basedOn w:val="Standardnpsmoodstavce"/>
    <w:link w:val="Nadpis4"/>
    <w:uiPriority w:val="9"/>
    <w:rsid w:val="0057110D"/>
    <w:rPr>
      <w:rFonts w:ascii="Arial" w:eastAsia="Arial" w:hAnsi="Arial" w:cs="Times New Roman"/>
      <w:b/>
      <w:szCs w:val="24"/>
      <w:lang w:eastAsia="cs-CZ"/>
    </w:rPr>
  </w:style>
  <w:style w:type="character" w:customStyle="1" w:styleId="Nadpis5Char">
    <w:name w:val="Nadpis 5 Char"/>
    <w:basedOn w:val="Standardnpsmoodstavce"/>
    <w:link w:val="Nadpis5"/>
    <w:uiPriority w:val="9"/>
    <w:semiHidden/>
    <w:rsid w:val="0057110D"/>
    <w:rPr>
      <w:rFonts w:ascii="Arial" w:eastAsia="Arial" w:hAnsi="Arial" w:cs="Times New Roman"/>
      <w:b/>
      <w:lang w:eastAsia="cs-CZ"/>
    </w:rPr>
  </w:style>
  <w:style w:type="character" w:customStyle="1" w:styleId="Nadpis6Char">
    <w:name w:val="Nadpis 6 Char"/>
    <w:basedOn w:val="Standardnpsmoodstavce"/>
    <w:link w:val="Nadpis6"/>
    <w:uiPriority w:val="9"/>
    <w:semiHidden/>
    <w:rsid w:val="0057110D"/>
    <w:rPr>
      <w:rFonts w:ascii="Arial" w:eastAsia="Arial" w:hAnsi="Arial" w:cs="Times New Roman"/>
      <w:b/>
      <w:sz w:val="20"/>
      <w:szCs w:val="20"/>
      <w:lang w:eastAsia="cs-CZ"/>
    </w:rPr>
  </w:style>
  <w:style w:type="table" w:customStyle="1" w:styleId="NormalTable0">
    <w:name w:val="Normal Table0"/>
    <w:rsid w:val="0057110D"/>
    <w:pPr>
      <w:spacing w:after="0" w:line="240" w:lineRule="auto"/>
    </w:pPr>
    <w:rPr>
      <w:rFonts w:ascii="Times New Roman" w:eastAsia="Times New Roman" w:hAnsi="Times New Roman" w:cs="Times New Roman"/>
      <w:sz w:val="24"/>
      <w:szCs w:val="24"/>
      <w:lang w:eastAsia="cs-CZ"/>
    </w:rPr>
    <w:tblPr>
      <w:tblCellMar>
        <w:top w:w="0" w:type="dxa"/>
        <w:left w:w="0" w:type="dxa"/>
        <w:bottom w:w="0" w:type="dxa"/>
        <w:right w:w="0" w:type="dxa"/>
      </w:tblCellMar>
    </w:tblPr>
  </w:style>
  <w:style w:type="paragraph" w:styleId="Nzev">
    <w:name w:val="Title"/>
    <w:basedOn w:val="Normln"/>
    <w:next w:val="Normln"/>
    <w:link w:val="NzevChar"/>
    <w:uiPriority w:val="10"/>
    <w:qFormat/>
    <w:rsid w:val="0057110D"/>
    <w:pPr>
      <w:keepNext/>
      <w:keepLines/>
      <w:spacing w:before="480"/>
    </w:pPr>
    <w:rPr>
      <w:b/>
      <w:sz w:val="72"/>
      <w:szCs w:val="72"/>
    </w:rPr>
  </w:style>
  <w:style w:type="character" w:customStyle="1" w:styleId="NzevChar">
    <w:name w:val="Název Char"/>
    <w:basedOn w:val="Standardnpsmoodstavce"/>
    <w:link w:val="Nzev"/>
    <w:uiPriority w:val="10"/>
    <w:rsid w:val="0057110D"/>
    <w:rPr>
      <w:rFonts w:ascii="Arial" w:eastAsia="Arial" w:hAnsi="Arial" w:cs="Times New Roman"/>
      <w:b/>
      <w:sz w:val="72"/>
      <w:szCs w:val="72"/>
      <w:lang w:eastAsia="cs-CZ"/>
    </w:rPr>
  </w:style>
  <w:style w:type="paragraph" w:styleId="Podnadpis">
    <w:name w:val="Subtitle"/>
    <w:basedOn w:val="Normln"/>
    <w:next w:val="Normln"/>
    <w:link w:val="PodnadpisChar"/>
    <w:uiPriority w:val="11"/>
    <w:qFormat/>
    <w:rsid w:val="0057110D"/>
    <w:pPr>
      <w:pBdr>
        <w:top w:val="nil"/>
        <w:left w:val="nil"/>
        <w:bottom w:val="nil"/>
        <w:right w:val="nil"/>
        <w:between w:val="nil"/>
      </w:pBdr>
      <w:spacing w:after="60"/>
      <w:jc w:val="center"/>
    </w:pPr>
    <w:rPr>
      <w:rFonts w:ascii="Cambria" w:eastAsia="Cambria" w:hAnsi="Cambria" w:cs="Cambria"/>
      <w:color w:val="000000"/>
    </w:rPr>
  </w:style>
  <w:style w:type="character" w:customStyle="1" w:styleId="PodnadpisChar">
    <w:name w:val="Podnadpis Char"/>
    <w:basedOn w:val="Standardnpsmoodstavce"/>
    <w:link w:val="Podnadpis"/>
    <w:uiPriority w:val="11"/>
    <w:rsid w:val="0057110D"/>
    <w:rPr>
      <w:rFonts w:ascii="Cambria" w:eastAsia="Cambria" w:hAnsi="Cambria" w:cs="Cambria"/>
      <w:color w:val="000000"/>
      <w:szCs w:val="24"/>
      <w:lang w:eastAsia="cs-CZ"/>
    </w:rPr>
  </w:style>
  <w:style w:type="paragraph" w:styleId="Textkomente">
    <w:name w:val="annotation text"/>
    <w:basedOn w:val="Normln"/>
    <w:link w:val="TextkomenteChar"/>
    <w:uiPriority w:val="99"/>
    <w:unhideWhenUsed/>
    <w:rsid w:val="0057110D"/>
    <w:rPr>
      <w:sz w:val="20"/>
      <w:szCs w:val="20"/>
    </w:rPr>
  </w:style>
  <w:style w:type="character" w:customStyle="1" w:styleId="TextkomenteChar">
    <w:name w:val="Text komentáře Char"/>
    <w:basedOn w:val="Standardnpsmoodstavce"/>
    <w:link w:val="Textkomente"/>
    <w:uiPriority w:val="99"/>
    <w:rsid w:val="0057110D"/>
    <w:rPr>
      <w:rFonts w:ascii="Arial" w:eastAsia="Arial" w:hAnsi="Arial" w:cs="Times New Roman"/>
      <w:sz w:val="20"/>
      <w:szCs w:val="20"/>
      <w:lang w:eastAsia="cs-CZ"/>
    </w:rPr>
  </w:style>
  <w:style w:type="character" w:styleId="Odkaznakoment">
    <w:name w:val="annotation reference"/>
    <w:basedOn w:val="Standardnpsmoodstavce"/>
    <w:uiPriority w:val="99"/>
    <w:semiHidden/>
    <w:unhideWhenUsed/>
    <w:rsid w:val="0057110D"/>
    <w:rPr>
      <w:sz w:val="16"/>
      <w:szCs w:val="16"/>
    </w:rPr>
  </w:style>
  <w:style w:type="paragraph" w:styleId="Textbubliny">
    <w:name w:val="Balloon Text"/>
    <w:basedOn w:val="Normln"/>
    <w:link w:val="TextbublinyChar"/>
    <w:uiPriority w:val="99"/>
    <w:semiHidden/>
    <w:unhideWhenUsed/>
    <w:rsid w:val="0057110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7110D"/>
    <w:rPr>
      <w:rFonts w:ascii="Segoe UI" w:eastAsia="Arial"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57110D"/>
    <w:rPr>
      <w:b/>
      <w:bCs/>
    </w:rPr>
  </w:style>
  <w:style w:type="character" w:customStyle="1" w:styleId="PedmtkomenteChar">
    <w:name w:val="Předmět komentáře Char"/>
    <w:basedOn w:val="TextkomenteChar"/>
    <w:link w:val="Pedmtkomente"/>
    <w:uiPriority w:val="99"/>
    <w:semiHidden/>
    <w:rsid w:val="0057110D"/>
    <w:rPr>
      <w:rFonts w:ascii="Arial" w:eastAsia="Arial" w:hAnsi="Arial" w:cs="Times New Roman"/>
      <w:b/>
      <w:bCs/>
      <w:sz w:val="20"/>
      <w:szCs w:val="20"/>
      <w:lang w:eastAsia="cs-CZ"/>
    </w:rPr>
  </w:style>
  <w:style w:type="paragraph" w:customStyle="1" w:styleId="Default">
    <w:name w:val="Default"/>
    <w:rsid w:val="0057110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34"/>
    <w:qFormat/>
    <w:rsid w:val="0057110D"/>
    <w:pPr>
      <w:ind w:left="720"/>
      <w:contextualSpacing/>
    </w:pPr>
  </w:style>
  <w:style w:type="paragraph" w:customStyle="1" w:styleId="Standard">
    <w:name w:val="Standard"/>
    <w:rsid w:val="0057110D"/>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styleId="Zkladntext">
    <w:name w:val="Body Text"/>
    <w:basedOn w:val="Normln"/>
    <w:link w:val="ZkladntextChar"/>
    <w:rsid w:val="0057110D"/>
    <w:rPr>
      <w:rFonts w:cs="Arial"/>
      <w:szCs w:val="22"/>
    </w:rPr>
  </w:style>
  <w:style w:type="character" w:customStyle="1" w:styleId="ZkladntextChar">
    <w:name w:val="Základní text Char"/>
    <w:basedOn w:val="Standardnpsmoodstavce"/>
    <w:link w:val="Zkladntext"/>
    <w:rsid w:val="0057110D"/>
    <w:rPr>
      <w:rFonts w:ascii="Arial" w:eastAsia="Arial" w:hAnsi="Arial" w:cs="Arial"/>
      <w:lang w:eastAsia="cs-CZ"/>
    </w:rPr>
  </w:style>
  <w:style w:type="character" w:styleId="Znakapoznpodarou">
    <w:name w:val="footnote reference"/>
    <w:aliases w:val="PGI Fußnote Ziffer,Footnote symbol,Footnote reference number,Times 10 Point,Exposant 3 Point,Ref,de nota al pie,note TESI,SUPERS,EN Footnote text,EN Footnote Reference,Voetnootverwijzing,Footnote number,fr,o,Footnotemark,FR,E,4_G"/>
    <w:basedOn w:val="Standardnpsmoodstavce"/>
    <w:uiPriority w:val="99"/>
    <w:rsid w:val="0057110D"/>
    <w:rPr>
      <w:vertAlign w:val="superscript"/>
    </w:rPr>
  </w:style>
  <w:style w:type="paragraph" w:styleId="Textpoznpodarou">
    <w:name w:val="footnote text"/>
    <w:aliases w:val="Footnote,Text poznámky pod čiarou 007,pozn. pod čarou,Schriftart: 9 pt,Schriftart: 10 pt,Schriftart: 8 pt,Podrozdział,Podrozdzia3,Footnote Text Char1,Footnote Text Char Char,Footnote Text Char3 Char Char,Footnote Text Char,Geneva 9"/>
    <w:basedOn w:val="Normln"/>
    <w:link w:val="TextpoznpodarouChar"/>
    <w:qFormat/>
    <w:rsid w:val="0057110D"/>
    <w:pPr>
      <w:widowControl w:val="0"/>
      <w:autoSpaceDE w:val="0"/>
      <w:autoSpaceDN w:val="0"/>
    </w:pPr>
    <w:rPr>
      <w:rFonts w:cs="Arial"/>
      <w:sz w:val="20"/>
      <w:szCs w:val="20"/>
    </w:rPr>
  </w:style>
  <w:style w:type="character" w:customStyle="1" w:styleId="TextpoznpodarouChar">
    <w:name w:val="Text pozn. pod čarou Char"/>
    <w:aliases w:val="Footnote Char,Text poznámky pod čiarou 007 Char,pozn. pod čarou Char,Schriftart: 9 pt Char,Schriftart: 10 pt Char,Schriftart: 8 pt Char,Podrozdział Char,Podrozdzia3 Char,Footnote Text Char1 Char,Footnote Text Char Char Char"/>
    <w:basedOn w:val="Standardnpsmoodstavce"/>
    <w:link w:val="Textpoznpodarou"/>
    <w:rsid w:val="0057110D"/>
    <w:rPr>
      <w:rFonts w:ascii="Arial" w:eastAsia="Arial" w:hAnsi="Arial" w:cs="Arial"/>
      <w:sz w:val="20"/>
      <w:szCs w:val="20"/>
      <w:lang w:eastAsia="cs-CZ"/>
    </w:rPr>
  </w:style>
  <w:style w:type="table" w:styleId="Mkatabulky">
    <w:name w:val="Table Grid"/>
    <w:basedOn w:val="Normlntabulka"/>
    <w:uiPriority w:val="39"/>
    <w:rsid w:val="005711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34"/>
    <w:locked/>
    <w:rsid w:val="0057110D"/>
    <w:rPr>
      <w:rFonts w:ascii="Arial" w:eastAsia="Arial" w:hAnsi="Arial" w:cs="Times New Roman"/>
      <w:szCs w:val="24"/>
      <w:lang w:eastAsia="cs-CZ"/>
    </w:rPr>
  </w:style>
  <w:style w:type="table" w:styleId="Tmavtabulkasmkou5zvraznn3">
    <w:name w:val="Grid Table 5 Dark Accent 3"/>
    <w:basedOn w:val="Normlntabulka"/>
    <w:uiPriority w:val="50"/>
    <w:rsid w:val="0057110D"/>
    <w:pPr>
      <w:spacing w:after="0" w:line="240" w:lineRule="auto"/>
    </w:pPr>
    <w:rPr>
      <w:rFonts w:ascii="Calibri" w:eastAsia="Calibri" w:hAnsi="Calibri" w:cs="Times New Roman"/>
      <w:sz w:val="20"/>
      <w:szCs w:val="20"/>
      <w:lang w:eastAsia="cs-CZ"/>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Normlnweb">
    <w:name w:val="Normal (Web)"/>
    <w:basedOn w:val="Normln"/>
    <w:uiPriority w:val="99"/>
    <w:semiHidden/>
    <w:unhideWhenUsed/>
    <w:rsid w:val="0057110D"/>
    <w:pPr>
      <w:spacing w:before="100" w:beforeAutospacing="1" w:after="100" w:afterAutospacing="1" w:line="240" w:lineRule="auto"/>
      <w:jc w:val="left"/>
    </w:pPr>
    <w:rPr>
      <w:rFonts w:ascii="Times New Roman" w:eastAsiaTheme="minorEastAsia" w:hAnsi="Times New Roman"/>
      <w:sz w:val="24"/>
    </w:rPr>
  </w:style>
  <w:style w:type="table" w:customStyle="1" w:styleId="Mkatabulky1">
    <w:name w:val="Mřížka tabulky1"/>
    <w:basedOn w:val="Normlntabulka"/>
    <w:next w:val="Mkatabulky"/>
    <w:uiPriority w:val="39"/>
    <w:rsid w:val="005711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7110D"/>
    <w:pPr>
      <w:tabs>
        <w:tab w:val="center" w:pos="4536"/>
        <w:tab w:val="right" w:pos="9072"/>
      </w:tabs>
      <w:spacing w:before="0" w:after="0" w:line="240" w:lineRule="auto"/>
    </w:pPr>
  </w:style>
  <w:style w:type="character" w:customStyle="1" w:styleId="ZhlavChar">
    <w:name w:val="Záhlaví Char"/>
    <w:basedOn w:val="Standardnpsmoodstavce"/>
    <w:link w:val="Zhlav"/>
    <w:uiPriority w:val="99"/>
    <w:rsid w:val="0057110D"/>
    <w:rPr>
      <w:rFonts w:ascii="Arial" w:eastAsia="Arial" w:hAnsi="Arial" w:cs="Times New Roman"/>
      <w:szCs w:val="24"/>
      <w:lang w:eastAsia="cs-CZ"/>
    </w:rPr>
  </w:style>
  <w:style w:type="paragraph" w:styleId="Zpat">
    <w:name w:val="footer"/>
    <w:basedOn w:val="Normln"/>
    <w:link w:val="ZpatChar"/>
    <w:uiPriority w:val="99"/>
    <w:unhideWhenUsed/>
    <w:rsid w:val="0057110D"/>
    <w:pPr>
      <w:tabs>
        <w:tab w:val="center" w:pos="4536"/>
        <w:tab w:val="right" w:pos="9072"/>
      </w:tabs>
      <w:spacing w:before="0" w:after="0" w:line="240" w:lineRule="auto"/>
    </w:pPr>
  </w:style>
  <w:style w:type="character" w:customStyle="1" w:styleId="ZpatChar">
    <w:name w:val="Zápatí Char"/>
    <w:basedOn w:val="Standardnpsmoodstavce"/>
    <w:link w:val="Zpat"/>
    <w:uiPriority w:val="99"/>
    <w:rsid w:val="0057110D"/>
    <w:rPr>
      <w:rFonts w:ascii="Arial" w:eastAsia="Arial" w:hAnsi="Arial" w:cs="Times New Roman"/>
      <w:szCs w:val="24"/>
      <w:lang w:eastAsia="cs-CZ"/>
    </w:rPr>
  </w:style>
  <w:style w:type="table" w:customStyle="1" w:styleId="Mkatabulky2">
    <w:name w:val="Mřížka tabulky2"/>
    <w:basedOn w:val="Normlntabulka"/>
    <w:next w:val="Mkatabulky"/>
    <w:uiPriority w:val="39"/>
    <w:rsid w:val="005711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5711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57110D"/>
    <w:rPr>
      <w:color w:val="0563C1" w:themeColor="hyperlink"/>
      <w:u w:val="single"/>
    </w:rPr>
  </w:style>
  <w:style w:type="paragraph" w:customStyle="1" w:styleId="Odstavecseseznamem1">
    <w:name w:val="Odstavec se seznamem1"/>
    <w:basedOn w:val="Normln"/>
    <w:rsid w:val="0057110D"/>
    <w:pPr>
      <w:suppressAutoHyphens/>
      <w:spacing w:before="0" w:after="0" w:line="100" w:lineRule="atLeast"/>
      <w:ind w:left="720"/>
      <w:jc w:val="left"/>
    </w:pPr>
    <w:rPr>
      <w:rFonts w:ascii="Calibri" w:eastAsia="SimSun" w:hAnsi="Calibri" w:cs="Calibri"/>
      <w:szCs w:val="22"/>
      <w:lang w:eastAsia="ar-SA"/>
    </w:rPr>
  </w:style>
  <w:style w:type="paragraph" w:styleId="Nadpisobsahu">
    <w:name w:val="TOC Heading"/>
    <w:basedOn w:val="Nadpis1"/>
    <w:next w:val="Normln"/>
    <w:uiPriority w:val="39"/>
    <w:unhideWhenUsed/>
    <w:qFormat/>
    <w:rsid w:val="007F18EF"/>
    <w:pPr>
      <w:numPr>
        <w:numId w:val="0"/>
      </w:numPr>
      <w:spacing w:before="240"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Obsah1">
    <w:name w:val="toc 1"/>
    <w:basedOn w:val="Normln"/>
    <w:next w:val="Normln"/>
    <w:autoRedefine/>
    <w:uiPriority w:val="39"/>
    <w:unhideWhenUsed/>
    <w:rsid w:val="00D17CC7"/>
    <w:pPr>
      <w:tabs>
        <w:tab w:val="left" w:pos="440"/>
        <w:tab w:val="right" w:leader="dot" w:pos="9060"/>
      </w:tabs>
      <w:spacing w:after="100"/>
    </w:pPr>
  </w:style>
  <w:style w:type="paragraph" w:styleId="Obsah2">
    <w:name w:val="toc 2"/>
    <w:basedOn w:val="Normln"/>
    <w:next w:val="Normln"/>
    <w:autoRedefine/>
    <w:uiPriority w:val="39"/>
    <w:unhideWhenUsed/>
    <w:rsid w:val="007F18EF"/>
    <w:pPr>
      <w:spacing w:after="100"/>
      <w:ind w:left="220"/>
    </w:pPr>
  </w:style>
  <w:style w:type="paragraph" w:styleId="Obsah3">
    <w:name w:val="toc 3"/>
    <w:basedOn w:val="Normln"/>
    <w:next w:val="Normln"/>
    <w:autoRedefine/>
    <w:uiPriority w:val="39"/>
    <w:unhideWhenUsed/>
    <w:rsid w:val="007F18EF"/>
    <w:pPr>
      <w:spacing w:after="100"/>
      <w:ind w:left="440"/>
    </w:pPr>
  </w:style>
  <w:style w:type="paragraph" w:styleId="Revize">
    <w:name w:val="Revision"/>
    <w:hidden/>
    <w:uiPriority w:val="99"/>
    <w:semiHidden/>
    <w:rsid w:val="00E83960"/>
    <w:pPr>
      <w:spacing w:after="0" w:line="240" w:lineRule="auto"/>
    </w:pPr>
    <w:rPr>
      <w:rFonts w:ascii="Arial" w:eastAsia="Arial"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316782">
      <w:bodyDiv w:val="1"/>
      <w:marLeft w:val="0"/>
      <w:marRight w:val="0"/>
      <w:marTop w:val="0"/>
      <w:marBottom w:val="0"/>
      <w:divBdr>
        <w:top w:val="none" w:sz="0" w:space="0" w:color="auto"/>
        <w:left w:val="none" w:sz="0" w:space="0" w:color="auto"/>
        <w:bottom w:val="none" w:sz="0" w:space="0" w:color="auto"/>
        <w:right w:val="none" w:sz="0" w:space="0" w:color="auto"/>
      </w:divBdr>
    </w:div>
    <w:div w:id="524951740">
      <w:bodyDiv w:val="1"/>
      <w:marLeft w:val="0"/>
      <w:marRight w:val="0"/>
      <w:marTop w:val="0"/>
      <w:marBottom w:val="0"/>
      <w:divBdr>
        <w:top w:val="none" w:sz="0" w:space="0" w:color="auto"/>
        <w:left w:val="none" w:sz="0" w:space="0" w:color="auto"/>
        <w:bottom w:val="none" w:sz="0" w:space="0" w:color="auto"/>
        <w:right w:val="none" w:sz="0" w:space="0" w:color="auto"/>
      </w:divBdr>
    </w:div>
    <w:div w:id="606814076">
      <w:bodyDiv w:val="1"/>
      <w:marLeft w:val="0"/>
      <w:marRight w:val="0"/>
      <w:marTop w:val="0"/>
      <w:marBottom w:val="0"/>
      <w:divBdr>
        <w:top w:val="none" w:sz="0" w:space="0" w:color="auto"/>
        <w:left w:val="none" w:sz="0" w:space="0" w:color="auto"/>
        <w:bottom w:val="none" w:sz="0" w:space="0" w:color="auto"/>
        <w:right w:val="none" w:sz="0" w:space="0" w:color="auto"/>
      </w:divBdr>
    </w:div>
    <w:div w:id="690450783">
      <w:bodyDiv w:val="1"/>
      <w:marLeft w:val="0"/>
      <w:marRight w:val="0"/>
      <w:marTop w:val="0"/>
      <w:marBottom w:val="0"/>
      <w:divBdr>
        <w:top w:val="none" w:sz="0" w:space="0" w:color="auto"/>
        <w:left w:val="none" w:sz="0" w:space="0" w:color="auto"/>
        <w:bottom w:val="none" w:sz="0" w:space="0" w:color="auto"/>
        <w:right w:val="none" w:sz="0" w:space="0" w:color="auto"/>
      </w:divBdr>
    </w:div>
    <w:div w:id="967711244">
      <w:bodyDiv w:val="1"/>
      <w:marLeft w:val="0"/>
      <w:marRight w:val="0"/>
      <w:marTop w:val="0"/>
      <w:marBottom w:val="0"/>
      <w:divBdr>
        <w:top w:val="none" w:sz="0" w:space="0" w:color="auto"/>
        <w:left w:val="none" w:sz="0" w:space="0" w:color="auto"/>
        <w:bottom w:val="none" w:sz="0" w:space="0" w:color="auto"/>
        <w:right w:val="none" w:sz="0" w:space="0" w:color="auto"/>
      </w:divBdr>
    </w:div>
    <w:div w:id="1190989597">
      <w:bodyDiv w:val="1"/>
      <w:marLeft w:val="0"/>
      <w:marRight w:val="0"/>
      <w:marTop w:val="0"/>
      <w:marBottom w:val="0"/>
      <w:divBdr>
        <w:top w:val="none" w:sz="0" w:space="0" w:color="auto"/>
        <w:left w:val="none" w:sz="0" w:space="0" w:color="auto"/>
        <w:bottom w:val="none" w:sz="0" w:space="0" w:color="auto"/>
        <w:right w:val="none" w:sz="0" w:space="0" w:color="auto"/>
      </w:divBdr>
    </w:div>
    <w:div w:id="1565800904">
      <w:bodyDiv w:val="1"/>
      <w:marLeft w:val="0"/>
      <w:marRight w:val="0"/>
      <w:marTop w:val="0"/>
      <w:marBottom w:val="0"/>
      <w:divBdr>
        <w:top w:val="none" w:sz="0" w:space="0" w:color="auto"/>
        <w:left w:val="none" w:sz="0" w:space="0" w:color="auto"/>
        <w:bottom w:val="none" w:sz="0" w:space="0" w:color="auto"/>
        <w:right w:val="none" w:sz="0" w:space="0" w:color="auto"/>
      </w:divBdr>
    </w:div>
    <w:div w:id="1774277135">
      <w:bodyDiv w:val="1"/>
      <w:marLeft w:val="0"/>
      <w:marRight w:val="0"/>
      <w:marTop w:val="0"/>
      <w:marBottom w:val="0"/>
      <w:divBdr>
        <w:top w:val="none" w:sz="0" w:space="0" w:color="auto"/>
        <w:left w:val="none" w:sz="0" w:space="0" w:color="auto"/>
        <w:bottom w:val="none" w:sz="0" w:space="0" w:color="auto"/>
        <w:right w:val="none" w:sz="0" w:space="0" w:color="auto"/>
      </w:divBdr>
      <w:divsChild>
        <w:div w:id="1632662248">
          <w:marLeft w:val="720"/>
          <w:marRight w:val="0"/>
          <w:marTop w:val="0"/>
          <w:marBottom w:val="0"/>
          <w:divBdr>
            <w:top w:val="none" w:sz="0" w:space="0" w:color="auto"/>
            <w:left w:val="none" w:sz="0" w:space="0" w:color="auto"/>
            <w:bottom w:val="none" w:sz="0" w:space="0" w:color="auto"/>
            <w:right w:val="none" w:sz="0" w:space="0" w:color="auto"/>
          </w:divBdr>
        </w:div>
      </w:divsChild>
    </w:div>
    <w:div w:id="1960330127">
      <w:bodyDiv w:val="1"/>
      <w:marLeft w:val="0"/>
      <w:marRight w:val="0"/>
      <w:marTop w:val="0"/>
      <w:marBottom w:val="0"/>
      <w:divBdr>
        <w:top w:val="none" w:sz="0" w:space="0" w:color="auto"/>
        <w:left w:val="none" w:sz="0" w:space="0" w:color="auto"/>
        <w:bottom w:val="none" w:sz="0" w:space="0" w:color="auto"/>
        <w:right w:val="none" w:sz="0" w:space="0" w:color="auto"/>
      </w:divBdr>
    </w:div>
    <w:div w:id="202527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08F60-B479-44B6-8575-87D5ACEDE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11526</Words>
  <Characters>68006</Characters>
  <Application>Microsoft Office Word</Application>
  <DocSecurity>0</DocSecurity>
  <Lines>566</Lines>
  <Paragraphs>158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MZe ČR</Company>
  <LinksUpToDate>false</LinksUpToDate>
  <CharactersWithSpaces>79374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Randusová Alžběta</dc:creator>
  <cp:keywords/>
  <dc:description/>
  <cp:lastModifiedBy>Nováková Marta</cp:lastModifiedBy>
  <cp:revision>2</cp:revision>
  <cp:lastPrinted>2022-09-26T11:46:00Z</cp:lastPrinted>
  <dcterms:created xsi:type="dcterms:W3CDTF">2022-10-10T11:32:00Z</dcterms:created>
  <dcterms:modified xsi:type="dcterms:W3CDTF">2022-10-10T11:32:00Z</dcterms:modified>
</cp:coreProperties>
</file>