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06A46E" w14:textId="77777777" w:rsidR="00063E72" w:rsidRDefault="00063E72" w:rsidP="00063E72">
      <w:pPr>
        <w:spacing w:before="1680"/>
        <w:rPr>
          <w:rFonts w:eastAsia="Batang"/>
          <w:b/>
          <w:color w:val="0070C0"/>
          <w:sz w:val="48"/>
          <w:szCs w:val="48"/>
          <w:lang w:eastAsia="ko-KR"/>
        </w:rPr>
      </w:pPr>
      <w:bookmarkStart w:id="0" w:name="_GoBack"/>
      <w:bookmarkEnd w:id="0"/>
    </w:p>
    <w:p w14:paraId="60DF0BE4" w14:textId="77777777" w:rsidR="7282688E" w:rsidRDefault="7282688E" w:rsidP="7282688E">
      <w:pPr>
        <w:spacing w:before="1680"/>
        <w:rPr>
          <w:rFonts w:eastAsia="Batang"/>
          <w:b/>
          <w:bCs/>
          <w:noProof/>
          <w:color w:val="0070C0"/>
          <w:lang w:eastAsia="ko-KR"/>
        </w:rPr>
      </w:pPr>
    </w:p>
    <w:p w14:paraId="67D81473" w14:textId="77777777" w:rsidR="00063E72" w:rsidRDefault="001D6A45" w:rsidP="001900A4">
      <w:pPr>
        <w:spacing w:before="2400"/>
        <w:rPr>
          <w:rFonts w:eastAsia="Batang"/>
          <w:b/>
          <w:noProof/>
          <w:color w:val="0070C0"/>
          <w:sz w:val="48"/>
          <w:szCs w:val="50"/>
          <w:lang w:eastAsia="ko-KR"/>
        </w:rPr>
      </w:pPr>
      <w:r>
        <w:rPr>
          <w:rFonts w:eastAsia="Batang"/>
          <w:b/>
          <w:noProof/>
          <w:color w:val="0070C0"/>
          <w:sz w:val="48"/>
          <w:szCs w:val="50"/>
          <w:lang w:eastAsia="ko-KR"/>
        </w:rPr>
        <w:t xml:space="preserve">Analýza </w:t>
      </w:r>
      <w:r w:rsidR="00694C12" w:rsidRPr="00694C12">
        <w:rPr>
          <w:rFonts w:eastAsia="Batang"/>
          <w:b/>
          <w:noProof/>
          <w:color w:val="0070C0"/>
          <w:sz w:val="48"/>
          <w:szCs w:val="50"/>
          <w:lang w:eastAsia="ko-KR"/>
        </w:rPr>
        <w:t>mezinárodní spolupráce ve VaV</w:t>
      </w:r>
      <w:r w:rsidR="00F300E8">
        <w:rPr>
          <w:rFonts w:eastAsia="Batang"/>
          <w:b/>
          <w:noProof/>
          <w:color w:val="0070C0"/>
          <w:sz w:val="48"/>
          <w:szCs w:val="50"/>
          <w:lang w:eastAsia="ko-KR"/>
        </w:rPr>
        <w:t>aI</w:t>
      </w:r>
      <w:r w:rsidR="009B66B5">
        <w:rPr>
          <w:rFonts w:eastAsia="Batang"/>
          <w:b/>
          <w:noProof/>
          <w:color w:val="0070C0"/>
          <w:sz w:val="48"/>
          <w:szCs w:val="50"/>
          <w:lang w:eastAsia="ko-KR"/>
        </w:rPr>
        <w:t xml:space="preserve"> a </w:t>
      </w:r>
      <w:r>
        <w:rPr>
          <w:rFonts w:eastAsia="Batang"/>
          <w:b/>
          <w:noProof/>
          <w:color w:val="0070C0"/>
          <w:sz w:val="48"/>
          <w:szCs w:val="50"/>
          <w:lang w:eastAsia="ko-KR"/>
        </w:rPr>
        <w:t>návrh doporučení ke zlepšení účasti ČR</w:t>
      </w:r>
      <w:r w:rsidR="009B66B5">
        <w:rPr>
          <w:rFonts w:eastAsia="Batang"/>
          <w:b/>
          <w:noProof/>
          <w:color w:val="0070C0"/>
          <w:sz w:val="48"/>
          <w:szCs w:val="50"/>
          <w:lang w:eastAsia="ko-KR"/>
        </w:rPr>
        <w:t xml:space="preserve"> v </w:t>
      </w:r>
      <w:r>
        <w:rPr>
          <w:rFonts w:eastAsia="Batang"/>
          <w:b/>
          <w:noProof/>
          <w:color w:val="0070C0"/>
          <w:sz w:val="48"/>
          <w:szCs w:val="50"/>
          <w:lang w:eastAsia="ko-KR"/>
        </w:rPr>
        <w:t>Horizontu Evropa</w:t>
      </w:r>
    </w:p>
    <w:p w14:paraId="67956BD2" w14:textId="77777777" w:rsidR="00063E72" w:rsidRDefault="00063E72" w:rsidP="00063E72">
      <w:pPr>
        <w:spacing w:after="0"/>
        <w:ind w:left="1418"/>
        <w:rPr>
          <w:rFonts w:eastAsia="Times New Roman"/>
          <w:szCs w:val="24"/>
          <w:lang w:eastAsia="cs-CZ"/>
        </w:rPr>
      </w:pPr>
    </w:p>
    <w:p w14:paraId="6A5654A4" w14:textId="77777777" w:rsidR="00063E72" w:rsidRDefault="00063E72" w:rsidP="00063E72">
      <w:pPr>
        <w:spacing w:after="0"/>
        <w:ind w:left="1418"/>
        <w:rPr>
          <w:rFonts w:eastAsia="Times New Roman"/>
          <w:szCs w:val="24"/>
          <w:lang w:eastAsia="cs-CZ"/>
        </w:rPr>
      </w:pPr>
    </w:p>
    <w:p w14:paraId="1BC061CC" w14:textId="77777777" w:rsidR="00063E72" w:rsidRPr="00C868FC" w:rsidRDefault="00063E72" w:rsidP="00063E72">
      <w:pPr>
        <w:spacing w:before="480"/>
        <w:ind w:left="1416"/>
        <w:rPr>
          <w:rFonts w:eastAsia="Times New Roman"/>
          <w:szCs w:val="24"/>
          <w:lang w:eastAsia="cs-CZ"/>
        </w:rPr>
        <w:sectPr w:rsidR="00063E72" w:rsidRPr="00C868FC" w:rsidSect="00FA11FB">
          <w:headerReference w:type="default" r:id="rId11"/>
          <w:footerReference w:type="default" r:id="rId12"/>
          <w:headerReference w:type="first" r:id="rId13"/>
          <w:pgSz w:w="11906" w:h="16838"/>
          <w:pgMar w:top="1417" w:right="1417" w:bottom="1417" w:left="1417" w:header="708" w:footer="708" w:gutter="0"/>
          <w:cols w:space="708"/>
          <w:titlePg/>
          <w:docGrid w:linePitch="360"/>
        </w:sectPr>
      </w:pPr>
    </w:p>
    <w:p w14:paraId="3E7491DF" w14:textId="77777777" w:rsidR="00063E72" w:rsidRPr="001B51C7" w:rsidRDefault="001D6A45" w:rsidP="00FA14DC">
      <w:pPr>
        <w:spacing w:before="5280"/>
        <w:rPr>
          <w:rFonts w:eastAsia="Times New Roman"/>
          <w:b/>
          <w:sz w:val="28"/>
          <w:szCs w:val="24"/>
          <w:lang w:eastAsia="cs-CZ"/>
        </w:rPr>
      </w:pPr>
      <w:r w:rsidRPr="001D6A45">
        <w:rPr>
          <w:rFonts w:eastAsia="Times New Roman"/>
          <w:b/>
          <w:sz w:val="32"/>
          <w:szCs w:val="24"/>
          <w:lang w:eastAsia="cs-CZ"/>
        </w:rPr>
        <w:lastRenderedPageBreak/>
        <w:t>Analýza mezinárodní spolupráce ve VaV</w:t>
      </w:r>
      <w:r w:rsidR="00F168D7">
        <w:rPr>
          <w:rFonts w:eastAsia="Times New Roman"/>
          <w:b/>
          <w:sz w:val="32"/>
          <w:szCs w:val="24"/>
          <w:lang w:eastAsia="cs-CZ"/>
        </w:rPr>
        <w:t>aI</w:t>
      </w:r>
      <w:r w:rsidR="009B66B5">
        <w:rPr>
          <w:rFonts w:eastAsia="Times New Roman"/>
          <w:b/>
          <w:sz w:val="32"/>
          <w:szCs w:val="24"/>
          <w:lang w:eastAsia="cs-CZ"/>
        </w:rPr>
        <w:t xml:space="preserve"> a </w:t>
      </w:r>
      <w:r w:rsidRPr="001D6A45">
        <w:rPr>
          <w:rFonts w:eastAsia="Times New Roman"/>
          <w:b/>
          <w:sz w:val="32"/>
          <w:szCs w:val="24"/>
          <w:lang w:eastAsia="cs-CZ"/>
        </w:rPr>
        <w:t>návrh doporučení ke zlepšení účasti ČR</w:t>
      </w:r>
      <w:r w:rsidR="009B66B5">
        <w:rPr>
          <w:rFonts w:eastAsia="Times New Roman"/>
          <w:b/>
          <w:sz w:val="32"/>
          <w:szCs w:val="24"/>
          <w:lang w:eastAsia="cs-CZ"/>
        </w:rPr>
        <w:t xml:space="preserve"> v </w:t>
      </w:r>
      <w:r w:rsidRPr="001D6A45">
        <w:rPr>
          <w:rFonts w:eastAsia="Times New Roman"/>
          <w:b/>
          <w:sz w:val="32"/>
          <w:szCs w:val="24"/>
          <w:lang w:eastAsia="cs-CZ"/>
        </w:rPr>
        <w:t>Horizontu Evropa</w:t>
      </w:r>
    </w:p>
    <w:p w14:paraId="190CEBC9" w14:textId="77777777" w:rsidR="00063E72" w:rsidRDefault="00063E72" w:rsidP="00063E72">
      <w:pPr>
        <w:rPr>
          <w:rFonts w:eastAsia="Times New Roman"/>
          <w:sz w:val="28"/>
          <w:szCs w:val="24"/>
          <w:lang w:eastAsia="cs-CZ"/>
        </w:rPr>
      </w:pPr>
    </w:p>
    <w:p w14:paraId="1FBE3458" w14:textId="77777777" w:rsidR="003B040B" w:rsidRDefault="001D43B9" w:rsidP="00694C12">
      <w:pPr>
        <w:rPr>
          <w:rFonts w:eastAsia="Times New Roman"/>
          <w:sz w:val="28"/>
          <w:szCs w:val="24"/>
          <w:lang w:eastAsia="cs-CZ"/>
        </w:rPr>
      </w:pPr>
      <w:r>
        <w:rPr>
          <w:rFonts w:eastAsia="Times New Roman"/>
          <w:szCs w:val="24"/>
          <w:lang w:eastAsia="cs-CZ"/>
        </w:rPr>
        <w:t>Zpracování této studie bylo podpořeno Ministerstvem školství, mládeže</w:t>
      </w:r>
      <w:r w:rsidR="009B66B5">
        <w:rPr>
          <w:rFonts w:eastAsia="Times New Roman"/>
          <w:szCs w:val="24"/>
          <w:lang w:eastAsia="cs-CZ"/>
        </w:rPr>
        <w:t xml:space="preserve"> a </w:t>
      </w:r>
      <w:r>
        <w:rPr>
          <w:rFonts w:eastAsia="Times New Roman"/>
          <w:szCs w:val="24"/>
          <w:lang w:eastAsia="cs-CZ"/>
        </w:rPr>
        <w:t>tělovýchovy</w:t>
      </w:r>
      <w:r w:rsidR="009B66B5">
        <w:rPr>
          <w:rFonts w:eastAsia="Times New Roman"/>
          <w:szCs w:val="24"/>
          <w:lang w:eastAsia="cs-CZ"/>
        </w:rPr>
        <w:t xml:space="preserve"> v </w:t>
      </w:r>
      <w:r>
        <w:rPr>
          <w:rFonts w:eastAsia="Times New Roman"/>
          <w:szCs w:val="24"/>
          <w:lang w:eastAsia="cs-CZ"/>
        </w:rPr>
        <w:t>projekt</w:t>
      </w:r>
      <w:r w:rsidR="001D6A45">
        <w:rPr>
          <w:rFonts w:eastAsia="Times New Roman"/>
          <w:szCs w:val="24"/>
          <w:lang w:eastAsia="cs-CZ"/>
        </w:rPr>
        <w:t>ech</w:t>
      </w:r>
      <w:r w:rsidRPr="00EE1C5B">
        <w:rPr>
          <w:rFonts w:eastAsia="Times New Roman"/>
          <w:szCs w:val="24"/>
          <w:lang w:eastAsia="cs-CZ"/>
        </w:rPr>
        <w:t xml:space="preserve"> </w:t>
      </w:r>
      <w:r w:rsidR="00694C12" w:rsidRPr="00694C12">
        <w:rPr>
          <w:rFonts w:eastAsia="Times New Roman"/>
          <w:szCs w:val="24"/>
          <w:lang w:eastAsia="cs-CZ"/>
        </w:rPr>
        <w:t>sdílených činností</w:t>
      </w:r>
      <w:r w:rsidR="00694C12">
        <w:rPr>
          <w:rFonts w:eastAsia="Times New Roman"/>
          <w:szCs w:val="24"/>
          <w:lang w:eastAsia="cs-CZ"/>
        </w:rPr>
        <w:t xml:space="preserve"> </w:t>
      </w:r>
      <w:r w:rsidR="00694C12" w:rsidRPr="00694C12">
        <w:rPr>
          <w:rFonts w:eastAsia="Times New Roman"/>
          <w:szCs w:val="24"/>
          <w:lang w:eastAsia="cs-CZ"/>
        </w:rPr>
        <w:t>„</w:t>
      </w:r>
      <w:bookmarkStart w:id="1" w:name="_Hlk100567990"/>
      <w:r w:rsidR="00694C12">
        <w:rPr>
          <w:rFonts w:eastAsia="Times New Roman"/>
          <w:szCs w:val="24"/>
          <w:lang w:eastAsia="cs-CZ"/>
        </w:rPr>
        <w:t>S</w:t>
      </w:r>
      <w:r w:rsidR="00694C12" w:rsidRPr="00694C12">
        <w:rPr>
          <w:rFonts w:eastAsia="Times New Roman"/>
          <w:szCs w:val="24"/>
          <w:lang w:eastAsia="cs-CZ"/>
        </w:rPr>
        <w:t>trategická inteligence pro výzkum</w:t>
      </w:r>
      <w:r w:rsidR="009B66B5">
        <w:rPr>
          <w:rFonts w:eastAsia="Times New Roman"/>
          <w:szCs w:val="24"/>
          <w:lang w:eastAsia="cs-CZ"/>
        </w:rPr>
        <w:t xml:space="preserve"> a </w:t>
      </w:r>
      <w:r w:rsidR="00694C12" w:rsidRPr="00694C12">
        <w:rPr>
          <w:rFonts w:eastAsia="Times New Roman"/>
          <w:szCs w:val="24"/>
          <w:lang w:eastAsia="cs-CZ"/>
        </w:rPr>
        <w:t>inovace“</w:t>
      </w:r>
      <w:r w:rsidR="00694C12">
        <w:rPr>
          <w:rFonts w:eastAsia="Times New Roman"/>
          <w:szCs w:val="24"/>
          <w:lang w:eastAsia="cs-CZ"/>
        </w:rPr>
        <w:t xml:space="preserve"> </w:t>
      </w:r>
      <w:r w:rsidR="00694C12" w:rsidRPr="00694C12">
        <w:rPr>
          <w:rFonts w:eastAsia="Times New Roman"/>
          <w:szCs w:val="24"/>
          <w:lang w:eastAsia="cs-CZ"/>
        </w:rPr>
        <w:t>(MS2104)</w:t>
      </w:r>
      <w:bookmarkEnd w:id="1"/>
      <w:r w:rsidR="009B66B5">
        <w:rPr>
          <w:rFonts w:eastAsia="Times New Roman"/>
          <w:szCs w:val="24"/>
          <w:lang w:eastAsia="cs-CZ"/>
        </w:rPr>
        <w:t xml:space="preserve"> a </w:t>
      </w:r>
      <w:r w:rsidR="001D6A45">
        <w:rPr>
          <w:rFonts w:eastAsia="Times New Roman"/>
          <w:szCs w:val="24"/>
          <w:lang w:eastAsia="cs-CZ"/>
        </w:rPr>
        <w:t>„</w:t>
      </w:r>
      <w:r w:rsidR="001D6A45" w:rsidRPr="001D6A45">
        <w:rPr>
          <w:rFonts w:eastAsia="Times New Roman"/>
          <w:szCs w:val="24"/>
          <w:lang w:eastAsia="cs-CZ"/>
        </w:rPr>
        <w:t>Prohloubení integrace výzkumného</w:t>
      </w:r>
      <w:r w:rsidR="009B66B5">
        <w:rPr>
          <w:rFonts w:eastAsia="Times New Roman"/>
          <w:szCs w:val="24"/>
          <w:lang w:eastAsia="cs-CZ"/>
        </w:rPr>
        <w:t xml:space="preserve"> a </w:t>
      </w:r>
      <w:r w:rsidR="001D6A45" w:rsidRPr="001D6A45">
        <w:rPr>
          <w:rFonts w:eastAsia="Times New Roman"/>
          <w:szCs w:val="24"/>
          <w:lang w:eastAsia="cs-CZ"/>
        </w:rPr>
        <w:t>inovačního ekosystému ČR do Evropského výzkumného prostoru</w:t>
      </w:r>
      <w:r w:rsidR="009B66B5">
        <w:rPr>
          <w:rFonts w:eastAsia="Times New Roman"/>
          <w:szCs w:val="24"/>
          <w:lang w:eastAsia="cs-CZ"/>
        </w:rPr>
        <w:t xml:space="preserve"> a </w:t>
      </w:r>
      <w:r w:rsidR="001D6A45" w:rsidRPr="001D6A45">
        <w:rPr>
          <w:rFonts w:eastAsia="Times New Roman"/>
          <w:szCs w:val="24"/>
          <w:lang w:eastAsia="cs-CZ"/>
        </w:rPr>
        <w:t>podpora intenzivní mezinárodní spolupráce výzkumných organizací</w:t>
      </w:r>
      <w:r w:rsidR="003043E8">
        <w:rPr>
          <w:rFonts w:eastAsia="Times New Roman"/>
          <w:szCs w:val="24"/>
          <w:lang w:eastAsia="cs-CZ"/>
        </w:rPr>
        <w:t xml:space="preserve"> a </w:t>
      </w:r>
      <w:r w:rsidR="001D6A45" w:rsidRPr="001D6A45">
        <w:rPr>
          <w:rFonts w:eastAsia="Times New Roman"/>
          <w:szCs w:val="24"/>
          <w:lang w:eastAsia="cs-CZ"/>
        </w:rPr>
        <w:t>podniků ČR ve výzkumu, vývoji</w:t>
      </w:r>
      <w:r w:rsidR="009B66B5">
        <w:rPr>
          <w:rFonts w:eastAsia="Times New Roman"/>
          <w:szCs w:val="24"/>
          <w:lang w:eastAsia="cs-CZ"/>
        </w:rPr>
        <w:t xml:space="preserve"> a </w:t>
      </w:r>
      <w:r w:rsidR="001D6A45" w:rsidRPr="001D6A45">
        <w:rPr>
          <w:rFonts w:eastAsia="Times New Roman"/>
          <w:szCs w:val="24"/>
          <w:lang w:eastAsia="cs-CZ"/>
        </w:rPr>
        <w:t>inovacích</w:t>
      </w:r>
      <w:r w:rsidR="001D6A45">
        <w:rPr>
          <w:rFonts w:eastAsia="Times New Roman"/>
          <w:szCs w:val="24"/>
          <w:lang w:eastAsia="cs-CZ"/>
        </w:rPr>
        <w:t>“</w:t>
      </w:r>
      <w:r w:rsidR="004237F6">
        <w:rPr>
          <w:rFonts w:eastAsia="Times New Roman"/>
          <w:szCs w:val="24"/>
          <w:lang w:eastAsia="cs-CZ"/>
        </w:rPr>
        <w:t>(MS2103)</w:t>
      </w:r>
      <w:r w:rsidR="004B30DF">
        <w:rPr>
          <w:rFonts w:eastAsia="Times New Roman"/>
          <w:szCs w:val="24"/>
          <w:lang w:eastAsia="cs-CZ"/>
        </w:rPr>
        <w:t>.</w:t>
      </w:r>
      <w:r w:rsidR="00970811">
        <w:rPr>
          <w:rFonts w:eastAsia="Times New Roman"/>
          <w:szCs w:val="24"/>
          <w:lang w:eastAsia="cs-CZ"/>
        </w:rPr>
        <w:t xml:space="preserve"> Na přípravě studie kromě řešitelů CZERA</w:t>
      </w:r>
      <w:r w:rsidR="009B66B5">
        <w:rPr>
          <w:rFonts w:eastAsia="Times New Roman"/>
          <w:szCs w:val="24"/>
          <w:lang w:eastAsia="cs-CZ"/>
        </w:rPr>
        <w:t xml:space="preserve"> a </w:t>
      </w:r>
      <w:r w:rsidR="00970811">
        <w:rPr>
          <w:rFonts w:eastAsia="Times New Roman"/>
          <w:szCs w:val="24"/>
          <w:lang w:eastAsia="cs-CZ"/>
        </w:rPr>
        <w:t>STRATIN+ spolupracovali</w:t>
      </w:r>
      <w:r w:rsidR="009B66B5">
        <w:rPr>
          <w:rFonts w:eastAsia="Times New Roman"/>
          <w:szCs w:val="24"/>
          <w:lang w:eastAsia="cs-CZ"/>
        </w:rPr>
        <w:t xml:space="preserve"> i </w:t>
      </w:r>
      <w:r w:rsidR="00970811">
        <w:rPr>
          <w:rFonts w:eastAsia="Times New Roman"/>
          <w:szCs w:val="24"/>
          <w:lang w:eastAsia="cs-CZ"/>
        </w:rPr>
        <w:t>řešitelé projektu CZELO</w:t>
      </w:r>
    </w:p>
    <w:p w14:paraId="5EEAE1E5" w14:textId="77777777" w:rsidR="003D2804" w:rsidRDefault="003D2804" w:rsidP="00063E72">
      <w:pPr>
        <w:rPr>
          <w:rFonts w:eastAsia="Times New Roman"/>
          <w:sz w:val="28"/>
          <w:szCs w:val="24"/>
          <w:lang w:eastAsia="cs-CZ"/>
        </w:rPr>
      </w:pPr>
    </w:p>
    <w:p w14:paraId="73E8E46E" w14:textId="77777777" w:rsidR="00063E72" w:rsidRPr="009C3063" w:rsidRDefault="00063E72" w:rsidP="00063E72">
      <w:pPr>
        <w:rPr>
          <w:rFonts w:eastAsia="Times New Roman"/>
          <w:b/>
          <w:szCs w:val="24"/>
          <w:lang w:eastAsia="cs-CZ"/>
        </w:rPr>
      </w:pPr>
      <w:r w:rsidRPr="009C3063">
        <w:rPr>
          <w:rFonts w:eastAsia="Times New Roman"/>
          <w:b/>
          <w:szCs w:val="24"/>
          <w:lang w:eastAsia="cs-CZ"/>
        </w:rPr>
        <w:t>Autoři</w:t>
      </w:r>
    </w:p>
    <w:p w14:paraId="489052C9" w14:textId="1850C949" w:rsidR="00C15348" w:rsidRDefault="0099612B" w:rsidP="00B43E5B">
      <w:pPr>
        <w:spacing w:before="60" w:after="0"/>
        <w:rPr>
          <w:rFonts w:eastAsia="Times New Roman"/>
          <w:szCs w:val="24"/>
          <w:lang w:eastAsia="cs-CZ"/>
        </w:rPr>
      </w:pPr>
      <w:r>
        <w:rPr>
          <w:rFonts w:eastAsia="Times New Roman"/>
          <w:szCs w:val="24"/>
          <w:lang w:eastAsia="cs-CZ"/>
        </w:rPr>
        <w:t>Naďa Koníčková</w:t>
      </w:r>
      <w:r w:rsidR="00F519BB">
        <w:rPr>
          <w:rFonts w:eastAsia="Times New Roman"/>
          <w:szCs w:val="24"/>
          <w:lang w:eastAsia="cs-CZ"/>
        </w:rPr>
        <w:t xml:space="preserve">, </w:t>
      </w:r>
      <w:r>
        <w:rPr>
          <w:rFonts w:eastAsia="Times New Roman"/>
          <w:szCs w:val="24"/>
          <w:lang w:eastAsia="cs-CZ"/>
        </w:rPr>
        <w:t>Michal Pazour</w:t>
      </w:r>
      <w:r w:rsidR="003608A6">
        <w:rPr>
          <w:rFonts w:eastAsia="Times New Roman"/>
          <w:szCs w:val="24"/>
          <w:lang w:eastAsia="cs-CZ"/>
        </w:rPr>
        <w:t xml:space="preserve">, </w:t>
      </w:r>
      <w:r>
        <w:rPr>
          <w:rFonts w:eastAsia="Times New Roman"/>
          <w:szCs w:val="24"/>
          <w:lang w:eastAsia="cs-CZ"/>
        </w:rPr>
        <w:t>Daniel Frank</w:t>
      </w:r>
      <w:r w:rsidR="003608A6">
        <w:rPr>
          <w:rFonts w:eastAsia="Times New Roman"/>
          <w:szCs w:val="24"/>
          <w:lang w:eastAsia="cs-CZ"/>
        </w:rPr>
        <w:t xml:space="preserve">, </w:t>
      </w:r>
      <w:r>
        <w:rPr>
          <w:rFonts w:eastAsia="Times New Roman"/>
          <w:szCs w:val="24"/>
          <w:lang w:eastAsia="cs-CZ"/>
        </w:rPr>
        <w:t>Zdeněk Kučera</w:t>
      </w:r>
      <w:r w:rsidR="003608A6">
        <w:rPr>
          <w:rFonts w:eastAsia="Times New Roman"/>
          <w:szCs w:val="24"/>
          <w:lang w:eastAsia="cs-CZ"/>
        </w:rPr>
        <w:t xml:space="preserve">, </w:t>
      </w:r>
      <w:r w:rsidR="009A5B0D">
        <w:rPr>
          <w:rFonts w:eastAsia="Times New Roman"/>
          <w:szCs w:val="24"/>
          <w:lang w:eastAsia="cs-CZ"/>
        </w:rPr>
        <w:t>Lenka Chvojková</w:t>
      </w:r>
      <w:r w:rsidR="003608A6">
        <w:rPr>
          <w:rFonts w:eastAsia="Times New Roman"/>
          <w:szCs w:val="24"/>
          <w:lang w:eastAsia="cs-CZ"/>
        </w:rPr>
        <w:t xml:space="preserve">, </w:t>
      </w:r>
      <w:r w:rsidR="009A5B0D">
        <w:rPr>
          <w:rFonts w:eastAsia="Times New Roman"/>
          <w:szCs w:val="24"/>
          <w:lang w:eastAsia="cs-CZ"/>
        </w:rPr>
        <w:t>Aneta Kašlíková</w:t>
      </w:r>
      <w:r w:rsidR="003608A6">
        <w:rPr>
          <w:rFonts w:eastAsia="Times New Roman"/>
          <w:szCs w:val="24"/>
          <w:lang w:eastAsia="cs-CZ"/>
        </w:rPr>
        <w:t xml:space="preserve">, </w:t>
      </w:r>
      <w:r w:rsidR="7296E4DB" w:rsidRPr="00B43E5B">
        <w:rPr>
          <w:rFonts w:eastAsia="Times New Roman"/>
          <w:szCs w:val="24"/>
          <w:lang w:eastAsia="cs-CZ"/>
        </w:rPr>
        <w:t>Inka Vaverková</w:t>
      </w:r>
      <w:r w:rsidR="003608A6">
        <w:rPr>
          <w:rFonts w:eastAsia="Times New Roman"/>
          <w:szCs w:val="24"/>
          <w:lang w:eastAsia="cs-CZ"/>
        </w:rPr>
        <w:t xml:space="preserve">, </w:t>
      </w:r>
      <w:r w:rsidR="5592521F" w:rsidRPr="00B43E5B">
        <w:rPr>
          <w:rFonts w:eastAsia="Times New Roman"/>
          <w:szCs w:val="24"/>
          <w:lang w:eastAsia="cs-CZ"/>
        </w:rPr>
        <w:t>Jiří Vaněček</w:t>
      </w:r>
      <w:r w:rsidR="003608A6">
        <w:rPr>
          <w:rFonts w:eastAsia="Times New Roman"/>
          <w:szCs w:val="24"/>
          <w:lang w:eastAsia="cs-CZ"/>
        </w:rPr>
        <w:t xml:space="preserve">, </w:t>
      </w:r>
      <w:r w:rsidR="5592521F" w:rsidRPr="00B43E5B">
        <w:rPr>
          <w:rFonts w:eastAsia="Times New Roman"/>
          <w:szCs w:val="24"/>
          <w:lang w:eastAsia="cs-CZ"/>
        </w:rPr>
        <w:t>Lyudm</w:t>
      </w:r>
      <w:r w:rsidR="003A433D" w:rsidRPr="00B43E5B">
        <w:rPr>
          <w:rFonts w:eastAsia="Times New Roman"/>
          <w:szCs w:val="24"/>
          <w:lang w:eastAsia="cs-CZ"/>
        </w:rPr>
        <w:t>y</w:t>
      </w:r>
      <w:r w:rsidR="5592521F" w:rsidRPr="00B43E5B">
        <w:rPr>
          <w:rFonts w:eastAsia="Times New Roman"/>
          <w:szCs w:val="24"/>
          <w:lang w:eastAsia="cs-CZ"/>
        </w:rPr>
        <w:t>la Tysyachna</w:t>
      </w:r>
      <w:r w:rsidR="003608A6">
        <w:rPr>
          <w:rFonts w:eastAsia="Times New Roman"/>
          <w:szCs w:val="24"/>
          <w:lang w:eastAsia="cs-CZ"/>
        </w:rPr>
        <w:t xml:space="preserve">, </w:t>
      </w:r>
      <w:r w:rsidR="3E8665BB" w:rsidRPr="00B43E5B">
        <w:rPr>
          <w:rFonts w:eastAsia="Times New Roman"/>
          <w:szCs w:val="24"/>
          <w:lang w:eastAsia="cs-CZ"/>
        </w:rPr>
        <w:t>Ondřej Daniel</w:t>
      </w:r>
      <w:r w:rsidR="00B90AF8">
        <w:rPr>
          <w:rFonts w:eastAsia="Times New Roman"/>
          <w:szCs w:val="24"/>
          <w:lang w:eastAsia="cs-CZ"/>
        </w:rPr>
        <w:t>, Petr Pracna</w:t>
      </w:r>
      <w:r w:rsidR="00D371D2">
        <w:rPr>
          <w:rFonts w:eastAsia="Times New Roman"/>
          <w:szCs w:val="24"/>
          <w:lang w:eastAsia="cs-CZ"/>
        </w:rPr>
        <w:t xml:space="preserve"> </w:t>
      </w:r>
      <w:r w:rsidR="00D371D2" w:rsidRPr="00D371D2">
        <w:rPr>
          <w:rFonts w:eastAsia="Times New Roman"/>
          <w:i/>
          <w:iCs/>
          <w:szCs w:val="24"/>
          <w:lang w:eastAsia="cs-CZ"/>
        </w:rPr>
        <w:t>(Technologické centrum AV</w:t>
      </w:r>
      <w:r w:rsidR="00B90AF8">
        <w:rPr>
          <w:rFonts w:eastAsia="Times New Roman"/>
          <w:i/>
          <w:iCs/>
          <w:szCs w:val="24"/>
          <w:lang w:eastAsia="cs-CZ"/>
        </w:rPr>
        <w:t> </w:t>
      </w:r>
      <w:r w:rsidR="00D371D2" w:rsidRPr="00D371D2">
        <w:rPr>
          <w:rFonts w:eastAsia="Times New Roman"/>
          <w:i/>
          <w:iCs/>
          <w:szCs w:val="24"/>
          <w:lang w:eastAsia="cs-CZ"/>
        </w:rPr>
        <w:t>ČR)</w:t>
      </w:r>
    </w:p>
    <w:p w14:paraId="63C4C88D" w14:textId="77777777" w:rsidR="00E20F51" w:rsidRDefault="00E20F51" w:rsidP="00B43E5B">
      <w:pPr>
        <w:spacing w:before="60" w:after="0"/>
        <w:rPr>
          <w:rFonts w:eastAsia="Times New Roman"/>
          <w:szCs w:val="24"/>
          <w:lang w:eastAsia="cs-CZ"/>
        </w:rPr>
      </w:pPr>
    </w:p>
    <w:p w14:paraId="0F4EB9C5" w14:textId="45701120" w:rsidR="009B2508" w:rsidRDefault="004B2889" w:rsidP="00B43E5B">
      <w:pPr>
        <w:spacing w:before="60" w:after="0"/>
        <w:rPr>
          <w:rFonts w:eastAsia="Times New Roman"/>
          <w:szCs w:val="24"/>
          <w:lang w:eastAsia="cs-CZ"/>
        </w:rPr>
      </w:pPr>
      <w:r>
        <w:rPr>
          <w:rFonts w:eastAsia="Times New Roman"/>
          <w:szCs w:val="24"/>
          <w:lang w:eastAsia="cs-CZ"/>
        </w:rPr>
        <w:t>Anna Donovalová</w:t>
      </w:r>
      <w:r w:rsidR="003608A6">
        <w:rPr>
          <w:rFonts w:eastAsia="Times New Roman"/>
          <w:szCs w:val="24"/>
          <w:lang w:eastAsia="cs-CZ"/>
        </w:rPr>
        <w:t xml:space="preserve">, </w:t>
      </w:r>
      <w:r w:rsidR="009B2508">
        <w:rPr>
          <w:rFonts w:eastAsia="Times New Roman"/>
          <w:szCs w:val="24"/>
          <w:lang w:eastAsia="cs-CZ"/>
        </w:rPr>
        <w:t xml:space="preserve">Marcela </w:t>
      </w:r>
      <w:r w:rsidR="009A1D9B">
        <w:rPr>
          <w:rFonts w:eastAsia="Times New Roman"/>
          <w:szCs w:val="24"/>
          <w:lang w:eastAsia="cs-CZ"/>
        </w:rPr>
        <w:t>Linková</w:t>
      </w:r>
      <w:r w:rsidR="00D371D2">
        <w:rPr>
          <w:rFonts w:eastAsia="Times New Roman"/>
          <w:szCs w:val="24"/>
          <w:lang w:eastAsia="cs-CZ"/>
        </w:rPr>
        <w:t xml:space="preserve"> </w:t>
      </w:r>
      <w:r w:rsidR="00D371D2" w:rsidRPr="00D371D2">
        <w:rPr>
          <w:rFonts w:eastAsia="Times New Roman"/>
          <w:i/>
          <w:iCs/>
          <w:szCs w:val="24"/>
          <w:lang w:eastAsia="cs-CZ"/>
        </w:rPr>
        <w:t>(Sociologický ústav AV ČR – NKC Gender a věda)</w:t>
      </w:r>
    </w:p>
    <w:p w14:paraId="5A39674C" w14:textId="77777777" w:rsidR="00E20F51" w:rsidRDefault="00E20F51" w:rsidP="00B43E5B">
      <w:pPr>
        <w:spacing w:before="60" w:after="0"/>
        <w:rPr>
          <w:rFonts w:eastAsia="Times New Roman"/>
          <w:szCs w:val="24"/>
          <w:lang w:eastAsia="cs-CZ"/>
        </w:rPr>
      </w:pPr>
    </w:p>
    <w:p w14:paraId="673CB94E" w14:textId="348F388E" w:rsidR="009A1D9B" w:rsidRDefault="006A3485" w:rsidP="00B43E5B">
      <w:pPr>
        <w:spacing w:before="60" w:after="0"/>
        <w:rPr>
          <w:rFonts w:eastAsia="Times New Roman"/>
          <w:i/>
          <w:iCs/>
          <w:szCs w:val="24"/>
          <w:lang w:eastAsia="cs-CZ"/>
        </w:rPr>
      </w:pPr>
      <w:r>
        <w:rPr>
          <w:rFonts w:eastAsia="Times New Roman"/>
          <w:szCs w:val="24"/>
          <w:lang w:eastAsia="cs-CZ"/>
        </w:rPr>
        <w:t>Lenka Procházková</w:t>
      </w:r>
      <w:r w:rsidR="00D371D2">
        <w:rPr>
          <w:rFonts w:eastAsia="Times New Roman"/>
          <w:szCs w:val="24"/>
          <w:lang w:eastAsia="cs-CZ"/>
        </w:rPr>
        <w:t xml:space="preserve"> </w:t>
      </w:r>
      <w:r w:rsidR="00D371D2" w:rsidRPr="00D371D2">
        <w:rPr>
          <w:rFonts w:eastAsia="Times New Roman"/>
          <w:i/>
          <w:iCs/>
          <w:szCs w:val="24"/>
          <w:lang w:eastAsia="cs-CZ"/>
        </w:rPr>
        <w:t>(Dům zahraniční</w:t>
      </w:r>
      <w:r w:rsidR="00B90AF8">
        <w:rPr>
          <w:rFonts w:eastAsia="Times New Roman"/>
          <w:i/>
          <w:iCs/>
          <w:szCs w:val="24"/>
          <w:lang w:eastAsia="cs-CZ"/>
        </w:rPr>
        <w:t xml:space="preserve"> spolupráce </w:t>
      </w:r>
      <w:r w:rsidR="00D371D2" w:rsidRPr="00D371D2">
        <w:rPr>
          <w:rFonts w:eastAsia="Times New Roman"/>
          <w:i/>
          <w:iCs/>
          <w:szCs w:val="24"/>
          <w:lang w:eastAsia="cs-CZ"/>
        </w:rPr>
        <w:t>– Kancelář CZELO)</w:t>
      </w:r>
    </w:p>
    <w:p w14:paraId="1F9DD85A" w14:textId="77777777" w:rsidR="006B49C7" w:rsidRDefault="006B49C7" w:rsidP="00B43E5B">
      <w:pPr>
        <w:spacing w:before="60" w:after="0"/>
        <w:rPr>
          <w:rFonts w:eastAsia="Times New Roman"/>
          <w:i/>
          <w:iCs/>
          <w:szCs w:val="24"/>
          <w:lang w:eastAsia="cs-CZ"/>
        </w:rPr>
      </w:pPr>
    </w:p>
    <w:p w14:paraId="0581C792" w14:textId="77777777" w:rsidR="006B49C7" w:rsidRDefault="006B49C7" w:rsidP="00B43E5B">
      <w:pPr>
        <w:spacing w:before="60" w:after="0"/>
        <w:rPr>
          <w:rFonts w:eastAsia="Times New Roman"/>
          <w:szCs w:val="24"/>
          <w:lang w:eastAsia="cs-CZ"/>
        </w:rPr>
      </w:pPr>
    </w:p>
    <w:p w14:paraId="5ED1DB78" w14:textId="77777777" w:rsidR="006B49C7" w:rsidRDefault="006B49C7" w:rsidP="00B43E5B">
      <w:pPr>
        <w:spacing w:before="60" w:after="0"/>
        <w:rPr>
          <w:rFonts w:eastAsia="Times New Roman"/>
          <w:szCs w:val="24"/>
          <w:lang w:eastAsia="cs-CZ"/>
        </w:rPr>
      </w:pPr>
    </w:p>
    <w:p w14:paraId="33DD639C" w14:textId="77777777" w:rsidR="00252E90" w:rsidRDefault="00252E90" w:rsidP="00B43E5B">
      <w:pPr>
        <w:spacing w:before="60" w:after="0"/>
        <w:rPr>
          <w:rFonts w:eastAsia="Times New Roman"/>
          <w:szCs w:val="24"/>
          <w:lang w:eastAsia="cs-CZ"/>
        </w:rPr>
      </w:pPr>
    </w:p>
    <w:p w14:paraId="4F43296B" w14:textId="77777777" w:rsidR="00252E90" w:rsidRDefault="00252E90" w:rsidP="00B43E5B">
      <w:pPr>
        <w:spacing w:before="60" w:after="0"/>
        <w:rPr>
          <w:rFonts w:eastAsia="Times New Roman"/>
          <w:szCs w:val="24"/>
          <w:lang w:eastAsia="cs-CZ"/>
        </w:rPr>
      </w:pPr>
    </w:p>
    <w:p w14:paraId="5E98CE3A" w14:textId="77777777" w:rsidR="006B49C7" w:rsidRPr="006B49C7" w:rsidRDefault="006B49C7" w:rsidP="00B43E5B">
      <w:pPr>
        <w:spacing w:before="60" w:after="0"/>
        <w:rPr>
          <w:rFonts w:eastAsia="Times New Roman"/>
          <w:szCs w:val="24"/>
          <w:lang w:eastAsia="cs-CZ"/>
        </w:rPr>
      </w:pPr>
      <w:r>
        <w:rPr>
          <w:rStyle w:val="Zdraznn"/>
          <w:rFonts w:ascii="Arial" w:hAnsi="Arial" w:cs="Arial"/>
          <w:color w:val="777777"/>
          <w:sz w:val="18"/>
          <w:szCs w:val="18"/>
          <w:bdr w:val="none" w:sz="0" w:space="0" w:color="auto" w:frame="1"/>
        </w:rPr>
        <w:t>Technologické centrum AV ČR je neziskové zájmové sdružení právnických osob, které není pracovištěm Akademie věd ČR</w:t>
      </w:r>
      <w:r w:rsidR="00252E90">
        <w:rPr>
          <w:rStyle w:val="Zdraznn"/>
          <w:rFonts w:ascii="Arial" w:hAnsi="Arial" w:cs="Arial"/>
          <w:color w:val="777777"/>
          <w:sz w:val="18"/>
          <w:szCs w:val="18"/>
          <w:bdr w:val="none" w:sz="0" w:space="0" w:color="auto" w:frame="1"/>
        </w:rPr>
        <w:t xml:space="preserve"> </w:t>
      </w:r>
      <w:r>
        <w:rPr>
          <w:rStyle w:val="Zdraznn"/>
          <w:rFonts w:ascii="Arial" w:hAnsi="Arial" w:cs="Arial"/>
          <w:color w:val="777777"/>
          <w:sz w:val="18"/>
          <w:szCs w:val="18"/>
          <w:bdr w:val="none" w:sz="0" w:space="0" w:color="auto" w:frame="1"/>
        </w:rPr>
        <w:t>podle zákona č. 283/1992 Sb. a není financováno z rozpočtu Akademie věd ČR. Výstupy Technologického centra AV ČR</w:t>
      </w:r>
      <w:r w:rsidR="00252E90">
        <w:rPr>
          <w:rStyle w:val="Zdraznn"/>
          <w:rFonts w:ascii="Arial" w:hAnsi="Arial" w:cs="Arial"/>
          <w:color w:val="777777"/>
          <w:sz w:val="18"/>
          <w:szCs w:val="18"/>
          <w:bdr w:val="none" w:sz="0" w:space="0" w:color="auto" w:frame="1"/>
        </w:rPr>
        <w:t xml:space="preserve"> </w:t>
      </w:r>
      <w:r>
        <w:rPr>
          <w:rStyle w:val="Zdraznn"/>
          <w:rFonts w:ascii="Arial" w:hAnsi="Arial" w:cs="Arial"/>
          <w:color w:val="777777"/>
          <w:sz w:val="18"/>
          <w:szCs w:val="18"/>
          <w:bdr w:val="none" w:sz="0" w:space="0" w:color="auto" w:frame="1"/>
        </w:rPr>
        <w:t>obsahují nezávislé expertní názory a nevyjadřují tak oficiální postoj Akademie věd ČR ani jednotlivých členů sdružení.</w:t>
      </w:r>
    </w:p>
    <w:p w14:paraId="4D2093CC" w14:textId="77777777" w:rsidR="006B49C7" w:rsidRPr="006B49C7" w:rsidRDefault="006B49C7" w:rsidP="00B43E5B">
      <w:pPr>
        <w:spacing w:before="60" w:after="0"/>
        <w:rPr>
          <w:rFonts w:eastAsia="Times New Roman"/>
          <w:szCs w:val="24"/>
          <w:lang w:eastAsia="cs-CZ"/>
        </w:rPr>
        <w:sectPr w:rsidR="006B49C7" w:rsidRPr="006B49C7" w:rsidSect="00B90AF8">
          <w:footerReference w:type="even" r:id="rId14"/>
          <w:pgSz w:w="11906" w:h="16838"/>
          <w:pgMar w:top="1417" w:right="1417" w:bottom="1417" w:left="1417" w:header="708" w:footer="283" w:gutter="0"/>
          <w:cols w:space="708"/>
          <w:docGrid w:linePitch="360"/>
        </w:sectPr>
      </w:pPr>
    </w:p>
    <w:p w14:paraId="75D2C575" w14:textId="77777777" w:rsidR="003211CC" w:rsidRPr="00252E90" w:rsidRDefault="003211CC" w:rsidP="005515AB">
      <w:pPr>
        <w:pStyle w:val="Nadpisobsahu"/>
        <w:rPr>
          <w:rFonts w:asciiTheme="minorHAnsi" w:hAnsiTheme="minorHAnsi" w:cstheme="minorHAnsi"/>
          <w:b/>
          <w:bCs/>
          <w:sz w:val="28"/>
          <w:szCs w:val="28"/>
        </w:rPr>
      </w:pPr>
      <w:r w:rsidRPr="00252E90">
        <w:rPr>
          <w:rFonts w:asciiTheme="minorHAnsi" w:hAnsiTheme="minorHAnsi" w:cstheme="minorHAnsi"/>
          <w:b/>
          <w:bCs/>
          <w:sz w:val="28"/>
          <w:szCs w:val="28"/>
        </w:rPr>
        <w:lastRenderedPageBreak/>
        <w:t>Obsah</w:t>
      </w:r>
    </w:p>
    <w:p w14:paraId="31EE1D3B" w14:textId="5F4774EA" w:rsidR="00833870" w:rsidRDefault="00CA07C7">
      <w:pPr>
        <w:pStyle w:val="Obsah1"/>
        <w:rPr>
          <w:rFonts w:asciiTheme="minorHAnsi" w:eastAsiaTheme="minorEastAsia" w:hAnsiTheme="minorHAnsi" w:cstheme="minorBidi"/>
          <w:b w:val="0"/>
          <w:noProof/>
          <w:lang w:eastAsia="cs-CZ"/>
        </w:rPr>
      </w:pPr>
      <w:r>
        <w:fldChar w:fldCharType="begin"/>
      </w:r>
      <w:r>
        <w:instrText xml:space="preserve"> TOC \o "1-3" \h \z \u </w:instrText>
      </w:r>
      <w:r>
        <w:fldChar w:fldCharType="separate"/>
      </w:r>
      <w:hyperlink w:anchor="_Toc114572306" w:history="1">
        <w:r w:rsidR="00833870" w:rsidRPr="00441FBA">
          <w:rPr>
            <w:rStyle w:val="Hypertextovodkaz"/>
            <w:noProof/>
          </w:rPr>
          <w:t>1</w:t>
        </w:r>
        <w:r w:rsidR="00833870">
          <w:rPr>
            <w:rFonts w:asciiTheme="minorHAnsi" w:eastAsiaTheme="minorEastAsia" w:hAnsiTheme="minorHAnsi" w:cstheme="minorBidi"/>
            <w:b w:val="0"/>
            <w:noProof/>
            <w:lang w:eastAsia="cs-CZ"/>
          </w:rPr>
          <w:tab/>
        </w:r>
        <w:r w:rsidR="00833870" w:rsidRPr="00441FBA">
          <w:rPr>
            <w:rStyle w:val="Hypertextovodkaz"/>
            <w:noProof/>
          </w:rPr>
          <w:t>Úvod</w:t>
        </w:r>
        <w:r w:rsidR="00833870">
          <w:rPr>
            <w:noProof/>
            <w:webHidden/>
          </w:rPr>
          <w:tab/>
        </w:r>
        <w:r w:rsidR="00833870">
          <w:rPr>
            <w:noProof/>
            <w:webHidden/>
          </w:rPr>
          <w:fldChar w:fldCharType="begin"/>
        </w:r>
        <w:r w:rsidR="00833870">
          <w:rPr>
            <w:noProof/>
            <w:webHidden/>
          </w:rPr>
          <w:instrText xml:space="preserve"> PAGEREF _Toc114572306 \h </w:instrText>
        </w:r>
        <w:r w:rsidR="00833870">
          <w:rPr>
            <w:noProof/>
            <w:webHidden/>
          </w:rPr>
        </w:r>
        <w:r w:rsidR="00833870">
          <w:rPr>
            <w:noProof/>
            <w:webHidden/>
          </w:rPr>
          <w:fldChar w:fldCharType="separate"/>
        </w:r>
        <w:r w:rsidR="00DF283C">
          <w:rPr>
            <w:noProof/>
            <w:webHidden/>
          </w:rPr>
          <w:t>5</w:t>
        </w:r>
        <w:r w:rsidR="00833870">
          <w:rPr>
            <w:noProof/>
            <w:webHidden/>
          </w:rPr>
          <w:fldChar w:fldCharType="end"/>
        </w:r>
      </w:hyperlink>
    </w:p>
    <w:p w14:paraId="16E42080" w14:textId="308775CD" w:rsidR="00833870" w:rsidRDefault="00FA7752">
      <w:pPr>
        <w:pStyle w:val="Obsah1"/>
        <w:rPr>
          <w:rFonts w:asciiTheme="minorHAnsi" w:eastAsiaTheme="minorEastAsia" w:hAnsiTheme="minorHAnsi" w:cstheme="minorBidi"/>
          <w:b w:val="0"/>
          <w:noProof/>
          <w:lang w:eastAsia="cs-CZ"/>
        </w:rPr>
      </w:pPr>
      <w:hyperlink w:anchor="_Toc114572307" w:history="1">
        <w:r w:rsidR="00833870" w:rsidRPr="00441FBA">
          <w:rPr>
            <w:rStyle w:val="Hypertextovodkaz"/>
            <w:noProof/>
          </w:rPr>
          <w:t>2</w:t>
        </w:r>
        <w:r w:rsidR="00833870">
          <w:rPr>
            <w:rFonts w:asciiTheme="minorHAnsi" w:eastAsiaTheme="minorEastAsia" w:hAnsiTheme="minorHAnsi" w:cstheme="minorBidi"/>
            <w:b w:val="0"/>
            <w:noProof/>
            <w:lang w:eastAsia="cs-CZ"/>
          </w:rPr>
          <w:tab/>
        </w:r>
        <w:r w:rsidR="00833870" w:rsidRPr="00441FBA">
          <w:rPr>
            <w:rStyle w:val="Hypertextovodkaz"/>
            <w:noProof/>
          </w:rPr>
          <w:t>S</w:t>
        </w:r>
        <w:r w:rsidR="00BD3FA1">
          <w:rPr>
            <w:rStyle w:val="Hypertextovodkaz"/>
            <w:noProof/>
          </w:rPr>
          <w:t>ituace ČR</w:t>
        </w:r>
        <w:r w:rsidR="00833870">
          <w:rPr>
            <w:noProof/>
            <w:webHidden/>
          </w:rPr>
          <w:tab/>
        </w:r>
        <w:r w:rsidR="00833870">
          <w:rPr>
            <w:noProof/>
            <w:webHidden/>
          </w:rPr>
          <w:fldChar w:fldCharType="begin"/>
        </w:r>
        <w:r w:rsidR="00833870">
          <w:rPr>
            <w:noProof/>
            <w:webHidden/>
          </w:rPr>
          <w:instrText xml:space="preserve"> PAGEREF _Toc114572307 \h </w:instrText>
        </w:r>
        <w:r w:rsidR="00833870">
          <w:rPr>
            <w:noProof/>
            <w:webHidden/>
          </w:rPr>
        </w:r>
        <w:r w:rsidR="00833870">
          <w:rPr>
            <w:noProof/>
            <w:webHidden/>
          </w:rPr>
          <w:fldChar w:fldCharType="separate"/>
        </w:r>
        <w:r w:rsidR="00DF283C">
          <w:rPr>
            <w:noProof/>
            <w:webHidden/>
          </w:rPr>
          <w:t>7</w:t>
        </w:r>
        <w:r w:rsidR="00833870">
          <w:rPr>
            <w:noProof/>
            <w:webHidden/>
          </w:rPr>
          <w:fldChar w:fldCharType="end"/>
        </w:r>
      </w:hyperlink>
    </w:p>
    <w:p w14:paraId="48BF8D97" w14:textId="35B4C348" w:rsidR="00833870" w:rsidRDefault="00FA7752">
      <w:pPr>
        <w:pStyle w:val="Obsah2"/>
        <w:tabs>
          <w:tab w:val="left" w:pos="880"/>
          <w:tab w:val="right" w:leader="dot" w:pos="9060"/>
        </w:tabs>
        <w:rPr>
          <w:rFonts w:asciiTheme="minorHAnsi" w:eastAsiaTheme="minorEastAsia" w:hAnsiTheme="minorHAnsi" w:cstheme="minorBidi"/>
          <w:noProof/>
          <w:lang w:eastAsia="cs-CZ"/>
        </w:rPr>
      </w:pPr>
      <w:hyperlink w:anchor="_Toc114572308" w:history="1">
        <w:r w:rsidR="00833870" w:rsidRPr="00441FBA">
          <w:rPr>
            <w:rStyle w:val="Hypertextovodkaz"/>
            <w:rFonts w:eastAsia="Segoe UI"/>
            <w:noProof/>
          </w:rPr>
          <w:t>2.1</w:t>
        </w:r>
        <w:r w:rsidR="00833870">
          <w:rPr>
            <w:rFonts w:asciiTheme="minorHAnsi" w:eastAsiaTheme="minorEastAsia" w:hAnsiTheme="minorHAnsi" w:cstheme="minorBidi"/>
            <w:noProof/>
            <w:lang w:eastAsia="cs-CZ"/>
          </w:rPr>
          <w:tab/>
        </w:r>
        <w:r w:rsidR="00833870" w:rsidRPr="00441FBA">
          <w:rPr>
            <w:rStyle w:val="Hypertextovodkaz"/>
            <w:rFonts w:eastAsia="Segoe UI"/>
            <w:noProof/>
          </w:rPr>
          <w:t>Účast ČR</w:t>
        </w:r>
        <w:r w:rsidR="009B66B5">
          <w:rPr>
            <w:rStyle w:val="Hypertextovodkaz"/>
            <w:rFonts w:eastAsia="Segoe UI"/>
            <w:noProof/>
          </w:rPr>
          <w:t xml:space="preserve"> v </w:t>
        </w:r>
        <w:r w:rsidR="00833870" w:rsidRPr="00441FBA">
          <w:rPr>
            <w:rStyle w:val="Hypertextovodkaz"/>
            <w:rFonts w:eastAsia="Segoe UI"/>
            <w:noProof/>
          </w:rPr>
          <w:t>rámcových programech EU</w:t>
        </w:r>
        <w:r w:rsidR="00833870">
          <w:rPr>
            <w:noProof/>
            <w:webHidden/>
          </w:rPr>
          <w:tab/>
        </w:r>
        <w:r w:rsidR="00833870">
          <w:rPr>
            <w:noProof/>
            <w:webHidden/>
          </w:rPr>
          <w:fldChar w:fldCharType="begin"/>
        </w:r>
        <w:r w:rsidR="00833870">
          <w:rPr>
            <w:noProof/>
            <w:webHidden/>
          </w:rPr>
          <w:instrText xml:space="preserve"> PAGEREF _Toc114572308 \h </w:instrText>
        </w:r>
        <w:r w:rsidR="00833870">
          <w:rPr>
            <w:noProof/>
            <w:webHidden/>
          </w:rPr>
        </w:r>
        <w:r w:rsidR="00833870">
          <w:rPr>
            <w:noProof/>
            <w:webHidden/>
          </w:rPr>
          <w:fldChar w:fldCharType="separate"/>
        </w:r>
        <w:r w:rsidR="00DF283C">
          <w:rPr>
            <w:noProof/>
            <w:webHidden/>
          </w:rPr>
          <w:t>7</w:t>
        </w:r>
        <w:r w:rsidR="00833870">
          <w:rPr>
            <w:noProof/>
            <w:webHidden/>
          </w:rPr>
          <w:fldChar w:fldCharType="end"/>
        </w:r>
      </w:hyperlink>
    </w:p>
    <w:p w14:paraId="77A7B172" w14:textId="06CD543F" w:rsidR="00833870" w:rsidRDefault="00FA7752">
      <w:pPr>
        <w:pStyle w:val="Obsah2"/>
        <w:tabs>
          <w:tab w:val="left" w:pos="880"/>
          <w:tab w:val="right" w:leader="dot" w:pos="9060"/>
        </w:tabs>
        <w:rPr>
          <w:rFonts w:asciiTheme="minorHAnsi" w:eastAsiaTheme="minorEastAsia" w:hAnsiTheme="minorHAnsi" w:cstheme="minorBidi"/>
          <w:noProof/>
          <w:lang w:eastAsia="cs-CZ"/>
        </w:rPr>
      </w:pPr>
      <w:hyperlink w:anchor="_Toc114572309" w:history="1">
        <w:r w:rsidR="00833870" w:rsidRPr="00441FBA">
          <w:rPr>
            <w:rStyle w:val="Hypertextovodkaz"/>
            <w:rFonts w:eastAsia="Cambria"/>
            <w:noProof/>
          </w:rPr>
          <w:t>2.2</w:t>
        </w:r>
        <w:r w:rsidR="00833870">
          <w:rPr>
            <w:rFonts w:asciiTheme="minorHAnsi" w:eastAsiaTheme="minorEastAsia" w:hAnsiTheme="minorHAnsi" w:cstheme="minorBidi"/>
            <w:noProof/>
            <w:lang w:eastAsia="cs-CZ"/>
          </w:rPr>
          <w:tab/>
        </w:r>
        <w:r w:rsidR="00833870" w:rsidRPr="00441FBA">
          <w:rPr>
            <w:rStyle w:val="Hypertextovodkaz"/>
            <w:rFonts w:eastAsia="Cambria"/>
            <w:noProof/>
          </w:rPr>
          <w:t>Pozitivní trendy</w:t>
        </w:r>
        <w:r w:rsidR="009B66B5">
          <w:rPr>
            <w:rStyle w:val="Hypertextovodkaz"/>
            <w:rFonts w:eastAsia="Cambria"/>
            <w:noProof/>
          </w:rPr>
          <w:t xml:space="preserve"> v </w:t>
        </w:r>
        <w:r w:rsidR="00833870" w:rsidRPr="00441FBA">
          <w:rPr>
            <w:rStyle w:val="Hypertextovodkaz"/>
            <w:rFonts w:eastAsia="Cambria"/>
            <w:noProof/>
          </w:rPr>
          <w:t>účasti ČR</w:t>
        </w:r>
        <w:r w:rsidR="009B66B5">
          <w:rPr>
            <w:rStyle w:val="Hypertextovodkaz"/>
            <w:rFonts w:eastAsia="Cambria"/>
            <w:noProof/>
          </w:rPr>
          <w:t xml:space="preserve"> v </w:t>
        </w:r>
        <w:r w:rsidR="00833870" w:rsidRPr="00441FBA">
          <w:rPr>
            <w:rStyle w:val="Hypertextovodkaz"/>
            <w:rFonts w:eastAsia="Cambria"/>
            <w:noProof/>
          </w:rPr>
          <w:t>RP</w:t>
        </w:r>
        <w:r w:rsidR="00833870">
          <w:rPr>
            <w:noProof/>
            <w:webHidden/>
          </w:rPr>
          <w:tab/>
        </w:r>
        <w:r w:rsidR="00833870">
          <w:rPr>
            <w:noProof/>
            <w:webHidden/>
          </w:rPr>
          <w:fldChar w:fldCharType="begin"/>
        </w:r>
        <w:r w:rsidR="00833870">
          <w:rPr>
            <w:noProof/>
            <w:webHidden/>
          </w:rPr>
          <w:instrText xml:space="preserve"> PAGEREF _Toc114572309 \h </w:instrText>
        </w:r>
        <w:r w:rsidR="00833870">
          <w:rPr>
            <w:noProof/>
            <w:webHidden/>
          </w:rPr>
        </w:r>
        <w:r w:rsidR="00833870">
          <w:rPr>
            <w:noProof/>
            <w:webHidden/>
          </w:rPr>
          <w:fldChar w:fldCharType="separate"/>
        </w:r>
        <w:r w:rsidR="00DF283C">
          <w:rPr>
            <w:noProof/>
            <w:webHidden/>
          </w:rPr>
          <w:t>8</w:t>
        </w:r>
        <w:r w:rsidR="00833870">
          <w:rPr>
            <w:noProof/>
            <w:webHidden/>
          </w:rPr>
          <w:fldChar w:fldCharType="end"/>
        </w:r>
      </w:hyperlink>
    </w:p>
    <w:p w14:paraId="774F4936" w14:textId="2AD12B83" w:rsidR="00833870" w:rsidRDefault="00FA7752">
      <w:pPr>
        <w:pStyle w:val="Obsah2"/>
        <w:tabs>
          <w:tab w:val="left" w:pos="880"/>
          <w:tab w:val="right" w:leader="dot" w:pos="9060"/>
        </w:tabs>
        <w:rPr>
          <w:rFonts w:asciiTheme="minorHAnsi" w:eastAsiaTheme="minorEastAsia" w:hAnsiTheme="minorHAnsi" w:cstheme="minorBidi"/>
          <w:noProof/>
          <w:lang w:eastAsia="cs-CZ"/>
        </w:rPr>
      </w:pPr>
      <w:hyperlink w:anchor="_Toc114572310" w:history="1">
        <w:r w:rsidR="00833870" w:rsidRPr="00441FBA">
          <w:rPr>
            <w:rStyle w:val="Hypertextovodkaz"/>
            <w:rFonts w:eastAsia="Cambria"/>
            <w:noProof/>
          </w:rPr>
          <w:t>2.3</w:t>
        </w:r>
        <w:r w:rsidR="00833870">
          <w:rPr>
            <w:rFonts w:asciiTheme="minorHAnsi" w:eastAsiaTheme="minorEastAsia" w:hAnsiTheme="minorHAnsi" w:cstheme="minorBidi"/>
            <w:noProof/>
            <w:lang w:eastAsia="cs-CZ"/>
          </w:rPr>
          <w:tab/>
        </w:r>
        <w:r w:rsidR="00833870" w:rsidRPr="00441FBA">
          <w:rPr>
            <w:rStyle w:val="Hypertextovodkaz"/>
            <w:rFonts w:eastAsia="Cambria"/>
            <w:noProof/>
          </w:rPr>
          <w:t>Vliv spolupráce</w:t>
        </w:r>
        <w:r w:rsidR="009B66B5">
          <w:rPr>
            <w:rStyle w:val="Hypertextovodkaz"/>
            <w:rFonts w:eastAsia="Cambria"/>
            <w:noProof/>
          </w:rPr>
          <w:t xml:space="preserve"> s </w:t>
        </w:r>
        <w:r w:rsidR="00833870" w:rsidRPr="00441FBA">
          <w:rPr>
            <w:rStyle w:val="Hypertextovodkaz"/>
            <w:rFonts w:eastAsia="Cambria"/>
            <w:noProof/>
          </w:rPr>
          <w:t>TOP institucemi na úspěšnost</w:t>
        </w:r>
        <w:r w:rsidR="009B66B5">
          <w:rPr>
            <w:rStyle w:val="Hypertextovodkaz"/>
            <w:rFonts w:eastAsia="Cambria"/>
            <w:noProof/>
          </w:rPr>
          <w:t xml:space="preserve"> a </w:t>
        </w:r>
        <w:r w:rsidR="00833870" w:rsidRPr="00441FBA">
          <w:rPr>
            <w:rStyle w:val="Hypertextovodkaz"/>
            <w:rFonts w:eastAsia="Cambria"/>
            <w:noProof/>
          </w:rPr>
          <w:t>účasti</w:t>
        </w:r>
        <w:r w:rsidR="009B66B5">
          <w:rPr>
            <w:rStyle w:val="Hypertextovodkaz"/>
            <w:rFonts w:eastAsia="Cambria"/>
            <w:noProof/>
          </w:rPr>
          <w:t xml:space="preserve"> v </w:t>
        </w:r>
        <w:r w:rsidR="00833870" w:rsidRPr="00441FBA">
          <w:rPr>
            <w:rStyle w:val="Hypertextovodkaz"/>
            <w:rFonts w:eastAsia="Cambria"/>
            <w:noProof/>
          </w:rPr>
          <w:t>RP</w:t>
        </w:r>
        <w:r w:rsidR="00833870">
          <w:rPr>
            <w:noProof/>
            <w:webHidden/>
          </w:rPr>
          <w:tab/>
        </w:r>
        <w:r w:rsidR="00833870">
          <w:rPr>
            <w:noProof/>
            <w:webHidden/>
          </w:rPr>
          <w:fldChar w:fldCharType="begin"/>
        </w:r>
        <w:r w:rsidR="00833870">
          <w:rPr>
            <w:noProof/>
            <w:webHidden/>
          </w:rPr>
          <w:instrText xml:space="preserve"> PAGEREF _Toc114572310 \h </w:instrText>
        </w:r>
        <w:r w:rsidR="00833870">
          <w:rPr>
            <w:noProof/>
            <w:webHidden/>
          </w:rPr>
        </w:r>
        <w:r w:rsidR="00833870">
          <w:rPr>
            <w:noProof/>
            <w:webHidden/>
          </w:rPr>
          <w:fldChar w:fldCharType="separate"/>
        </w:r>
        <w:r w:rsidR="00DF283C">
          <w:rPr>
            <w:noProof/>
            <w:webHidden/>
          </w:rPr>
          <w:t>8</w:t>
        </w:r>
        <w:r w:rsidR="00833870">
          <w:rPr>
            <w:noProof/>
            <w:webHidden/>
          </w:rPr>
          <w:fldChar w:fldCharType="end"/>
        </w:r>
      </w:hyperlink>
    </w:p>
    <w:p w14:paraId="37B8A4EA" w14:textId="2196AD3B" w:rsidR="00833870" w:rsidRDefault="00FA7752">
      <w:pPr>
        <w:pStyle w:val="Obsah2"/>
        <w:tabs>
          <w:tab w:val="left" w:pos="880"/>
          <w:tab w:val="right" w:leader="dot" w:pos="9060"/>
        </w:tabs>
        <w:rPr>
          <w:rFonts w:asciiTheme="minorHAnsi" w:eastAsiaTheme="minorEastAsia" w:hAnsiTheme="minorHAnsi" w:cstheme="minorBidi"/>
          <w:noProof/>
          <w:lang w:eastAsia="cs-CZ"/>
        </w:rPr>
      </w:pPr>
      <w:hyperlink w:anchor="_Toc114572311" w:history="1">
        <w:r w:rsidR="00833870" w:rsidRPr="00441FBA">
          <w:rPr>
            <w:rStyle w:val="Hypertextovodkaz"/>
            <w:noProof/>
          </w:rPr>
          <w:t>2.4</w:t>
        </w:r>
        <w:r w:rsidR="00833870">
          <w:rPr>
            <w:rFonts w:asciiTheme="minorHAnsi" w:eastAsiaTheme="minorEastAsia" w:hAnsiTheme="minorHAnsi" w:cstheme="minorBidi"/>
            <w:noProof/>
            <w:lang w:eastAsia="cs-CZ"/>
          </w:rPr>
          <w:tab/>
        </w:r>
        <w:r w:rsidR="00833870" w:rsidRPr="00441FBA">
          <w:rPr>
            <w:rStyle w:val="Hypertextovodkaz"/>
            <w:noProof/>
          </w:rPr>
          <w:t>Kvalita publikačních výsledků</w:t>
        </w:r>
        <w:r w:rsidR="009B66B5">
          <w:rPr>
            <w:rStyle w:val="Hypertextovodkaz"/>
            <w:noProof/>
          </w:rPr>
          <w:t xml:space="preserve"> z </w:t>
        </w:r>
        <w:r w:rsidR="00833870" w:rsidRPr="00441FBA">
          <w:rPr>
            <w:rStyle w:val="Hypertextovodkaz"/>
            <w:noProof/>
          </w:rPr>
          <w:t>projektů rámcových programů</w:t>
        </w:r>
        <w:r w:rsidR="00833870">
          <w:rPr>
            <w:noProof/>
            <w:webHidden/>
          </w:rPr>
          <w:tab/>
        </w:r>
        <w:r w:rsidR="00833870">
          <w:rPr>
            <w:noProof/>
            <w:webHidden/>
          </w:rPr>
          <w:fldChar w:fldCharType="begin"/>
        </w:r>
        <w:r w:rsidR="00833870">
          <w:rPr>
            <w:noProof/>
            <w:webHidden/>
          </w:rPr>
          <w:instrText xml:space="preserve"> PAGEREF _Toc114572311 \h </w:instrText>
        </w:r>
        <w:r w:rsidR="00833870">
          <w:rPr>
            <w:noProof/>
            <w:webHidden/>
          </w:rPr>
        </w:r>
        <w:r w:rsidR="00833870">
          <w:rPr>
            <w:noProof/>
            <w:webHidden/>
          </w:rPr>
          <w:fldChar w:fldCharType="separate"/>
        </w:r>
        <w:r w:rsidR="00DF283C">
          <w:rPr>
            <w:noProof/>
            <w:webHidden/>
          </w:rPr>
          <w:t>10</w:t>
        </w:r>
        <w:r w:rsidR="00833870">
          <w:rPr>
            <w:noProof/>
            <w:webHidden/>
          </w:rPr>
          <w:fldChar w:fldCharType="end"/>
        </w:r>
      </w:hyperlink>
    </w:p>
    <w:p w14:paraId="419B6812" w14:textId="06CFD8C5" w:rsidR="00833870" w:rsidRDefault="00FA7752">
      <w:pPr>
        <w:pStyle w:val="Obsah2"/>
        <w:tabs>
          <w:tab w:val="left" w:pos="880"/>
          <w:tab w:val="right" w:leader="dot" w:pos="9060"/>
        </w:tabs>
        <w:rPr>
          <w:rFonts w:asciiTheme="minorHAnsi" w:eastAsiaTheme="minorEastAsia" w:hAnsiTheme="minorHAnsi" w:cstheme="minorBidi"/>
          <w:noProof/>
          <w:lang w:eastAsia="cs-CZ"/>
        </w:rPr>
      </w:pPr>
      <w:hyperlink w:anchor="_Toc114572312" w:history="1">
        <w:r w:rsidR="00833870" w:rsidRPr="00441FBA">
          <w:rPr>
            <w:rStyle w:val="Hypertextovodkaz"/>
            <w:noProof/>
          </w:rPr>
          <w:t>2.5</w:t>
        </w:r>
        <w:r w:rsidR="00833870">
          <w:rPr>
            <w:rFonts w:asciiTheme="minorHAnsi" w:eastAsiaTheme="minorEastAsia" w:hAnsiTheme="minorHAnsi" w:cstheme="minorBidi"/>
            <w:noProof/>
            <w:lang w:eastAsia="cs-CZ"/>
          </w:rPr>
          <w:tab/>
        </w:r>
        <w:r w:rsidR="00833870" w:rsidRPr="00441FBA">
          <w:rPr>
            <w:rStyle w:val="Hypertextovodkaz"/>
            <w:noProof/>
          </w:rPr>
          <w:t>Genderové aspekty důvodů neúčasti</w:t>
        </w:r>
        <w:r w:rsidR="009B66B5">
          <w:rPr>
            <w:rStyle w:val="Hypertextovodkaz"/>
            <w:noProof/>
          </w:rPr>
          <w:t xml:space="preserve"> v </w:t>
        </w:r>
        <w:r w:rsidR="00833870" w:rsidRPr="00441FBA">
          <w:rPr>
            <w:rStyle w:val="Hypertextovodkaz"/>
            <w:noProof/>
          </w:rPr>
          <w:t>rámcových programech</w:t>
        </w:r>
        <w:r w:rsidR="00833870">
          <w:rPr>
            <w:noProof/>
            <w:webHidden/>
          </w:rPr>
          <w:tab/>
        </w:r>
        <w:r w:rsidR="00833870">
          <w:rPr>
            <w:noProof/>
            <w:webHidden/>
          </w:rPr>
          <w:fldChar w:fldCharType="begin"/>
        </w:r>
        <w:r w:rsidR="00833870">
          <w:rPr>
            <w:noProof/>
            <w:webHidden/>
          </w:rPr>
          <w:instrText xml:space="preserve"> PAGEREF _Toc114572312 \h </w:instrText>
        </w:r>
        <w:r w:rsidR="00833870">
          <w:rPr>
            <w:noProof/>
            <w:webHidden/>
          </w:rPr>
        </w:r>
        <w:r w:rsidR="00833870">
          <w:rPr>
            <w:noProof/>
            <w:webHidden/>
          </w:rPr>
          <w:fldChar w:fldCharType="separate"/>
        </w:r>
        <w:r w:rsidR="00DF283C">
          <w:rPr>
            <w:noProof/>
            <w:webHidden/>
          </w:rPr>
          <w:t>11</w:t>
        </w:r>
        <w:r w:rsidR="00833870">
          <w:rPr>
            <w:noProof/>
            <w:webHidden/>
          </w:rPr>
          <w:fldChar w:fldCharType="end"/>
        </w:r>
      </w:hyperlink>
    </w:p>
    <w:p w14:paraId="01F443D3" w14:textId="482C813D" w:rsidR="00833870" w:rsidRDefault="00FA7752">
      <w:pPr>
        <w:pStyle w:val="Obsah3"/>
        <w:tabs>
          <w:tab w:val="left" w:pos="1100"/>
          <w:tab w:val="right" w:leader="dot" w:pos="9060"/>
        </w:tabs>
        <w:rPr>
          <w:rFonts w:asciiTheme="minorHAnsi" w:eastAsiaTheme="minorEastAsia" w:hAnsiTheme="minorHAnsi" w:cstheme="minorBidi"/>
          <w:noProof/>
          <w:sz w:val="22"/>
          <w:lang w:eastAsia="cs-CZ"/>
        </w:rPr>
      </w:pPr>
      <w:hyperlink w:anchor="_Toc114572313" w:history="1">
        <w:r w:rsidR="00833870" w:rsidRPr="00441FBA">
          <w:rPr>
            <w:rStyle w:val="Hypertextovodkaz"/>
            <w:noProof/>
          </w:rPr>
          <w:t>2.5.1</w:t>
        </w:r>
        <w:r w:rsidR="00833870">
          <w:rPr>
            <w:rFonts w:asciiTheme="minorHAnsi" w:eastAsiaTheme="minorEastAsia" w:hAnsiTheme="minorHAnsi" w:cstheme="minorBidi"/>
            <w:noProof/>
            <w:sz w:val="22"/>
            <w:lang w:eastAsia="cs-CZ"/>
          </w:rPr>
          <w:tab/>
        </w:r>
        <w:r w:rsidR="00833870" w:rsidRPr="00441FBA">
          <w:rPr>
            <w:rStyle w:val="Hypertextovodkaz"/>
            <w:noProof/>
          </w:rPr>
          <w:t>Mezinárodní mobilita</w:t>
        </w:r>
        <w:r w:rsidR="00833870">
          <w:rPr>
            <w:noProof/>
            <w:webHidden/>
          </w:rPr>
          <w:tab/>
        </w:r>
        <w:r w:rsidR="00833870">
          <w:rPr>
            <w:noProof/>
            <w:webHidden/>
          </w:rPr>
          <w:fldChar w:fldCharType="begin"/>
        </w:r>
        <w:r w:rsidR="00833870">
          <w:rPr>
            <w:noProof/>
            <w:webHidden/>
          </w:rPr>
          <w:instrText xml:space="preserve"> PAGEREF _Toc114572313 \h </w:instrText>
        </w:r>
        <w:r w:rsidR="00833870">
          <w:rPr>
            <w:noProof/>
            <w:webHidden/>
          </w:rPr>
        </w:r>
        <w:r w:rsidR="00833870">
          <w:rPr>
            <w:noProof/>
            <w:webHidden/>
          </w:rPr>
          <w:fldChar w:fldCharType="separate"/>
        </w:r>
        <w:r w:rsidR="00DF283C">
          <w:rPr>
            <w:noProof/>
            <w:webHidden/>
          </w:rPr>
          <w:t>12</w:t>
        </w:r>
        <w:r w:rsidR="00833870">
          <w:rPr>
            <w:noProof/>
            <w:webHidden/>
          </w:rPr>
          <w:fldChar w:fldCharType="end"/>
        </w:r>
      </w:hyperlink>
    </w:p>
    <w:p w14:paraId="12DA9B7F" w14:textId="204AF57F" w:rsidR="00833870" w:rsidRDefault="00FA7752">
      <w:pPr>
        <w:pStyle w:val="Obsah3"/>
        <w:tabs>
          <w:tab w:val="left" w:pos="1100"/>
          <w:tab w:val="right" w:leader="dot" w:pos="9060"/>
        </w:tabs>
        <w:rPr>
          <w:rFonts w:asciiTheme="minorHAnsi" w:eastAsiaTheme="minorEastAsia" w:hAnsiTheme="minorHAnsi" w:cstheme="minorBidi"/>
          <w:noProof/>
          <w:sz w:val="22"/>
          <w:lang w:eastAsia="cs-CZ"/>
        </w:rPr>
      </w:pPr>
      <w:hyperlink w:anchor="_Toc114572314" w:history="1">
        <w:r w:rsidR="00833870" w:rsidRPr="00441FBA">
          <w:rPr>
            <w:rStyle w:val="Hypertextovodkaz"/>
            <w:noProof/>
          </w:rPr>
          <w:t>2.5.2</w:t>
        </w:r>
        <w:r w:rsidR="00833870">
          <w:rPr>
            <w:rFonts w:asciiTheme="minorHAnsi" w:eastAsiaTheme="minorEastAsia" w:hAnsiTheme="minorHAnsi" w:cstheme="minorBidi"/>
            <w:noProof/>
            <w:sz w:val="22"/>
            <w:lang w:eastAsia="cs-CZ"/>
          </w:rPr>
          <w:tab/>
        </w:r>
        <w:r w:rsidR="00833870" w:rsidRPr="00441FBA">
          <w:rPr>
            <w:rStyle w:val="Hypertextovodkaz"/>
            <w:noProof/>
          </w:rPr>
          <w:t>Síťování</w:t>
        </w:r>
        <w:r w:rsidR="00833870">
          <w:rPr>
            <w:noProof/>
            <w:webHidden/>
          </w:rPr>
          <w:tab/>
        </w:r>
        <w:r w:rsidR="00833870">
          <w:rPr>
            <w:noProof/>
            <w:webHidden/>
          </w:rPr>
          <w:fldChar w:fldCharType="begin"/>
        </w:r>
        <w:r w:rsidR="00833870">
          <w:rPr>
            <w:noProof/>
            <w:webHidden/>
          </w:rPr>
          <w:instrText xml:space="preserve"> PAGEREF _Toc114572314 \h </w:instrText>
        </w:r>
        <w:r w:rsidR="00833870">
          <w:rPr>
            <w:noProof/>
            <w:webHidden/>
          </w:rPr>
        </w:r>
        <w:r w:rsidR="00833870">
          <w:rPr>
            <w:noProof/>
            <w:webHidden/>
          </w:rPr>
          <w:fldChar w:fldCharType="separate"/>
        </w:r>
        <w:r w:rsidR="00DF283C">
          <w:rPr>
            <w:noProof/>
            <w:webHidden/>
          </w:rPr>
          <w:t>13</w:t>
        </w:r>
        <w:r w:rsidR="00833870">
          <w:rPr>
            <w:noProof/>
            <w:webHidden/>
          </w:rPr>
          <w:fldChar w:fldCharType="end"/>
        </w:r>
      </w:hyperlink>
    </w:p>
    <w:p w14:paraId="678C0033" w14:textId="636B658D" w:rsidR="00833870" w:rsidRDefault="00FA7752">
      <w:pPr>
        <w:pStyle w:val="Obsah3"/>
        <w:tabs>
          <w:tab w:val="left" w:pos="1100"/>
          <w:tab w:val="right" w:leader="dot" w:pos="9060"/>
        </w:tabs>
        <w:rPr>
          <w:rFonts w:asciiTheme="minorHAnsi" w:eastAsiaTheme="minorEastAsia" w:hAnsiTheme="minorHAnsi" w:cstheme="minorBidi"/>
          <w:noProof/>
          <w:sz w:val="22"/>
          <w:lang w:eastAsia="cs-CZ"/>
        </w:rPr>
      </w:pPr>
      <w:hyperlink w:anchor="_Toc114572315" w:history="1">
        <w:r w:rsidR="00833870" w:rsidRPr="00441FBA">
          <w:rPr>
            <w:rStyle w:val="Hypertextovodkaz"/>
            <w:noProof/>
          </w:rPr>
          <w:t>2.5.3</w:t>
        </w:r>
        <w:r w:rsidR="00833870">
          <w:rPr>
            <w:rFonts w:asciiTheme="minorHAnsi" w:eastAsiaTheme="minorEastAsia" w:hAnsiTheme="minorHAnsi" w:cstheme="minorBidi"/>
            <w:noProof/>
            <w:sz w:val="22"/>
            <w:lang w:eastAsia="cs-CZ"/>
          </w:rPr>
          <w:tab/>
        </w:r>
        <w:r w:rsidR="00833870" w:rsidRPr="00441FBA">
          <w:rPr>
            <w:rStyle w:val="Hypertextovodkaz"/>
            <w:noProof/>
          </w:rPr>
          <w:t>Kariérní přestávka</w:t>
        </w:r>
        <w:r w:rsidR="00833870">
          <w:rPr>
            <w:noProof/>
            <w:webHidden/>
          </w:rPr>
          <w:tab/>
        </w:r>
        <w:r w:rsidR="00833870">
          <w:rPr>
            <w:noProof/>
            <w:webHidden/>
          </w:rPr>
          <w:fldChar w:fldCharType="begin"/>
        </w:r>
        <w:r w:rsidR="00833870">
          <w:rPr>
            <w:noProof/>
            <w:webHidden/>
          </w:rPr>
          <w:instrText xml:space="preserve"> PAGEREF _Toc114572315 \h </w:instrText>
        </w:r>
        <w:r w:rsidR="00833870">
          <w:rPr>
            <w:noProof/>
            <w:webHidden/>
          </w:rPr>
        </w:r>
        <w:r w:rsidR="00833870">
          <w:rPr>
            <w:noProof/>
            <w:webHidden/>
          </w:rPr>
          <w:fldChar w:fldCharType="separate"/>
        </w:r>
        <w:r w:rsidR="00DF283C">
          <w:rPr>
            <w:noProof/>
            <w:webHidden/>
          </w:rPr>
          <w:t>14</w:t>
        </w:r>
        <w:r w:rsidR="00833870">
          <w:rPr>
            <w:noProof/>
            <w:webHidden/>
          </w:rPr>
          <w:fldChar w:fldCharType="end"/>
        </w:r>
      </w:hyperlink>
    </w:p>
    <w:p w14:paraId="00F083B1" w14:textId="7AF3926F" w:rsidR="00833870" w:rsidRDefault="00FA7752">
      <w:pPr>
        <w:pStyle w:val="Obsah3"/>
        <w:tabs>
          <w:tab w:val="left" w:pos="1100"/>
          <w:tab w:val="right" w:leader="dot" w:pos="9060"/>
        </w:tabs>
        <w:rPr>
          <w:rFonts w:asciiTheme="minorHAnsi" w:eastAsiaTheme="minorEastAsia" w:hAnsiTheme="minorHAnsi" w:cstheme="minorBidi"/>
          <w:noProof/>
          <w:sz w:val="22"/>
          <w:lang w:eastAsia="cs-CZ"/>
        </w:rPr>
      </w:pPr>
      <w:hyperlink w:anchor="_Toc114572316" w:history="1">
        <w:r w:rsidR="00833870" w:rsidRPr="00441FBA">
          <w:rPr>
            <w:rStyle w:val="Hypertextovodkaz"/>
            <w:noProof/>
          </w:rPr>
          <w:t>2.5.4</w:t>
        </w:r>
        <w:r w:rsidR="00833870">
          <w:rPr>
            <w:rFonts w:asciiTheme="minorHAnsi" w:eastAsiaTheme="minorEastAsia" w:hAnsiTheme="minorHAnsi" w:cstheme="minorBidi"/>
            <w:noProof/>
            <w:sz w:val="22"/>
            <w:lang w:eastAsia="cs-CZ"/>
          </w:rPr>
          <w:tab/>
        </w:r>
        <w:r w:rsidR="00833870" w:rsidRPr="00441FBA">
          <w:rPr>
            <w:rStyle w:val="Hypertextovodkaz"/>
            <w:noProof/>
          </w:rPr>
          <w:t>Work-life balance</w:t>
        </w:r>
        <w:r w:rsidR="00833870">
          <w:rPr>
            <w:noProof/>
            <w:webHidden/>
          </w:rPr>
          <w:tab/>
        </w:r>
        <w:r w:rsidR="00833870">
          <w:rPr>
            <w:noProof/>
            <w:webHidden/>
          </w:rPr>
          <w:fldChar w:fldCharType="begin"/>
        </w:r>
        <w:r w:rsidR="00833870">
          <w:rPr>
            <w:noProof/>
            <w:webHidden/>
          </w:rPr>
          <w:instrText xml:space="preserve"> PAGEREF _Toc114572316 \h </w:instrText>
        </w:r>
        <w:r w:rsidR="00833870">
          <w:rPr>
            <w:noProof/>
            <w:webHidden/>
          </w:rPr>
        </w:r>
        <w:r w:rsidR="00833870">
          <w:rPr>
            <w:noProof/>
            <w:webHidden/>
          </w:rPr>
          <w:fldChar w:fldCharType="separate"/>
        </w:r>
        <w:r w:rsidR="00DF283C">
          <w:rPr>
            <w:noProof/>
            <w:webHidden/>
          </w:rPr>
          <w:t>14</w:t>
        </w:r>
        <w:r w:rsidR="00833870">
          <w:rPr>
            <w:noProof/>
            <w:webHidden/>
          </w:rPr>
          <w:fldChar w:fldCharType="end"/>
        </w:r>
      </w:hyperlink>
    </w:p>
    <w:p w14:paraId="25F8C4A4" w14:textId="236CE1AE" w:rsidR="00833870" w:rsidRDefault="00FA7752">
      <w:pPr>
        <w:pStyle w:val="Obsah3"/>
        <w:tabs>
          <w:tab w:val="left" w:pos="1100"/>
          <w:tab w:val="right" w:leader="dot" w:pos="9060"/>
        </w:tabs>
        <w:rPr>
          <w:rFonts w:asciiTheme="minorHAnsi" w:eastAsiaTheme="minorEastAsia" w:hAnsiTheme="minorHAnsi" w:cstheme="minorBidi"/>
          <w:noProof/>
          <w:sz w:val="22"/>
          <w:lang w:eastAsia="cs-CZ"/>
        </w:rPr>
      </w:pPr>
      <w:hyperlink w:anchor="_Toc114572317" w:history="1">
        <w:r w:rsidR="00833870" w:rsidRPr="00441FBA">
          <w:rPr>
            <w:rStyle w:val="Hypertextovodkaz"/>
            <w:noProof/>
          </w:rPr>
          <w:t>2.5.5</w:t>
        </w:r>
        <w:r w:rsidR="00833870">
          <w:rPr>
            <w:rFonts w:asciiTheme="minorHAnsi" w:eastAsiaTheme="minorEastAsia" w:hAnsiTheme="minorHAnsi" w:cstheme="minorBidi"/>
            <w:noProof/>
            <w:sz w:val="22"/>
            <w:lang w:eastAsia="cs-CZ"/>
          </w:rPr>
          <w:tab/>
        </w:r>
        <w:r w:rsidR="00833870" w:rsidRPr="00441FBA">
          <w:rPr>
            <w:rStyle w:val="Hypertextovodkaz"/>
            <w:noProof/>
          </w:rPr>
          <w:t>Jazyková vybavenost</w:t>
        </w:r>
        <w:r w:rsidR="00833870">
          <w:rPr>
            <w:noProof/>
            <w:webHidden/>
          </w:rPr>
          <w:tab/>
        </w:r>
        <w:r w:rsidR="00833870">
          <w:rPr>
            <w:noProof/>
            <w:webHidden/>
          </w:rPr>
          <w:fldChar w:fldCharType="begin"/>
        </w:r>
        <w:r w:rsidR="00833870">
          <w:rPr>
            <w:noProof/>
            <w:webHidden/>
          </w:rPr>
          <w:instrText xml:space="preserve"> PAGEREF _Toc114572317 \h </w:instrText>
        </w:r>
        <w:r w:rsidR="00833870">
          <w:rPr>
            <w:noProof/>
            <w:webHidden/>
          </w:rPr>
        </w:r>
        <w:r w:rsidR="00833870">
          <w:rPr>
            <w:noProof/>
            <w:webHidden/>
          </w:rPr>
          <w:fldChar w:fldCharType="separate"/>
        </w:r>
        <w:r w:rsidR="00DF283C">
          <w:rPr>
            <w:noProof/>
            <w:webHidden/>
          </w:rPr>
          <w:t>14</w:t>
        </w:r>
        <w:r w:rsidR="00833870">
          <w:rPr>
            <w:noProof/>
            <w:webHidden/>
          </w:rPr>
          <w:fldChar w:fldCharType="end"/>
        </w:r>
      </w:hyperlink>
    </w:p>
    <w:p w14:paraId="539C88EA" w14:textId="03394040" w:rsidR="00833870" w:rsidRDefault="00FA7752">
      <w:pPr>
        <w:pStyle w:val="Obsah2"/>
        <w:tabs>
          <w:tab w:val="left" w:pos="880"/>
          <w:tab w:val="right" w:leader="dot" w:pos="9060"/>
        </w:tabs>
        <w:rPr>
          <w:rFonts w:asciiTheme="minorHAnsi" w:eastAsiaTheme="minorEastAsia" w:hAnsiTheme="minorHAnsi" w:cstheme="minorBidi"/>
          <w:noProof/>
          <w:lang w:eastAsia="cs-CZ"/>
        </w:rPr>
      </w:pPr>
      <w:hyperlink w:anchor="_Toc114572318" w:history="1">
        <w:r w:rsidR="00833870" w:rsidRPr="00441FBA">
          <w:rPr>
            <w:rStyle w:val="Hypertextovodkaz"/>
            <w:noProof/>
          </w:rPr>
          <w:t>2.6</w:t>
        </w:r>
        <w:r w:rsidR="00833870">
          <w:rPr>
            <w:rFonts w:asciiTheme="minorHAnsi" w:eastAsiaTheme="minorEastAsia" w:hAnsiTheme="minorHAnsi" w:cstheme="minorBidi"/>
            <w:noProof/>
            <w:lang w:eastAsia="cs-CZ"/>
          </w:rPr>
          <w:tab/>
        </w:r>
        <w:r w:rsidR="00833870" w:rsidRPr="00441FBA">
          <w:rPr>
            <w:rStyle w:val="Hypertextovodkaz"/>
            <w:noProof/>
          </w:rPr>
          <w:t>Závěr</w:t>
        </w:r>
        <w:r w:rsidR="00833870">
          <w:rPr>
            <w:noProof/>
            <w:webHidden/>
          </w:rPr>
          <w:tab/>
        </w:r>
        <w:r w:rsidR="00833870">
          <w:rPr>
            <w:noProof/>
            <w:webHidden/>
          </w:rPr>
          <w:fldChar w:fldCharType="begin"/>
        </w:r>
        <w:r w:rsidR="00833870">
          <w:rPr>
            <w:noProof/>
            <w:webHidden/>
          </w:rPr>
          <w:instrText xml:space="preserve"> PAGEREF _Toc114572318 \h </w:instrText>
        </w:r>
        <w:r w:rsidR="00833870">
          <w:rPr>
            <w:noProof/>
            <w:webHidden/>
          </w:rPr>
        </w:r>
        <w:r w:rsidR="00833870">
          <w:rPr>
            <w:noProof/>
            <w:webHidden/>
          </w:rPr>
          <w:fldChar w:fldCharType="separate"/>
        </w:r>
        <w:r w:rsidR="00DF283C">
          <w:rPr>
            <w:noProof/>
            <w:webHidden/>
          </w:rPr>
          <w:t>15</w:t>
        </w:r>
        <w:r w:rsidR="00833870">
          <w:rPr>
            <w:noProof/>
            <w:webHidden/>
          </w:rPr>
          <w:fldChar w:fldCharType="end"/>
        </w:r>
      </w:hyperlink>
    </w:p>
    <w:p w14:paraId="373D6D56" w14:textId="537B43B8" w:rsidR="00833870" w:rsidRDefault="00FA7752">
      <w:pPr>
        <w:pStyle w:val="Obsah1"/>
        <w:rPr>
          <w:rFonts w:asciiTheme="minorHAnsi" w:eastAsiaTheme="minorEastAsia" w:hAnsiTheme="minorHAnsi" w:cstheme="minorBidi"/>
          <w:b w:val="0"/>
          <w:noProof/>
          <w:lang w:eastAsia="cs-CZ"/>
        </w:rPr>
      </w:pPr>
      <w:hyperlink w:anchor="_Toc114572319" w:history="1">
        <w:r w:rsidR="00833870" w:rsidRPr="00441FBA">
          <w:rPr>
            <w:rStyle w:val="Hypertextovodkaz"/>
            <w:noProof/>
          </w:rPr>
          <w:t>3</w:t>
        </w:r>
        <w:r w:rsidR="00833870">
          <w:rPr>
            <w:rFonts w:asciiTheme="minorHAnsi" w:eastAsiaTheme="minorEastAsia" w:hAnsiTheme="minorHAnsi" w:cstheme="minorBidi"/>
            <w:b w:val="0"/>
            <w:noProof/>
            <w:lang w:eastAsia="cs-CZ"/>
          </w:rPr>
          <w:tab/>
        </w:r>
        <w:r w:rsidR="00833870" w:rsidRPr="00441FBA">
          <w:rPr>
            <w:rStyle w:val="Hypertextovodkaz"/>
            <w:noProof/>
          </w:rPr>
          <w:t>Motivace</w:t>
        </w:r>
        <w:r w:rsidR="009B66B5">
          <w:rPr>
            <w:rStyle w:val="Hypertextovodkaz"/>
            <w:noProof/>
          </w:rPr>
          <w:t xml:space="preserve"> k </w:t>
        </w:r>
        <w:r w:rsidR="00833870" w:rsidRPr="00441FBA">
          <w:rPr>
            <w:rStyle w:val="Hypertextovodkaz"/>
            <w:noProof/>
          </w:rPr>
          <w:t>zapojení do rámcových programů EU</w:t>
        </w:r>
        <w:r w:rsidR="009B66B5">
          <w:rPr>
            <w:rStyle w:val="Hypertextovodkaz"/>
            <w:noProof/>
          </w:rPr>
          <w:t xml:space="preserve"> a </w:t>
        </w:r>
        <w:r w:rsidR="00833870" w:rsidRPr="00441FBA">
          <w:rPr>
            <w:rStyle w:val="Hypertextovodkaz"/>
            <w:noProof/>
          </w:rPr>
          <w:t>mezinárodního výzkumu</w:t>
        </w:r>
        <w:r w:rsidR="00833870">
          <w:rPr>
            <w:noProof/>
            <w:webHidden/>
          </w:rPr>
          <w:tab/>
        </w:r>
        <w:r w:rsidR="00833870">
          <w:rPr>
            <w:noProof/>
            <w:webHidden/>
          </w:rPr>
          <w:fldChar w:fldCharType="begin"/>
        </w:r>
        <w:r w:rsidR="00833870">
          <w:rPr>
            <w:noProof/>
            <w:webHidden/>
          </w:rPr>
          <w:instrText xml:space="preserve"> PAGEREF _Toc114572319 \h </w:instrText>
        </w:r>
        <w:r w:rsidR="00833870">
          <w:rPr>
            <w:noProof/>
            <w:webHidden/>
          </w:rPr>
        </w:r>
        <w:r w:rsidR="00833870">
          <w:rPr>
            <w:noProof/>
            <w:webHidden/>
          </w:rPr>
          <w:fldChar w:fldCharType="separate"/>
        </w:r>
        <w:r w:rsidR="00DF283C">
          <w:rPr>
            <w:noProof/>
            <w:webHidden/>
          </w:rPr>
          <w:t>16</w:t>
        </w:r>
        <w:r w:rsidR="00833870">
          <w:rPr>
            <w:noProof/>
            <w:webHidden/>
          </w:rPr>
          <w:fldChar w:fldCharType="end"/>
        </w:r>
      </w:hyperlink>
    </w:p>
    <w:p w14:paraId="4A9842D3" w14:textId="1F217B88" w:rsidR="00833870" w:rsidRDefault="00FA7752">
      <w:pPr>
        <w:pStyle w:val="Obsah2"/>
        <w:tabs>
          <w:tab w:val="left" w:pos="880"/>
          <w:tab w:val="right" w:leader="dot" w:pos="9060"/>
        </w:tabs>
        <w:rPr>
          <w:rFonts w:asciiTheme="minorHAnsi" w:eastAsiaTheme="minorEastAsia" w:hAnsiTheme="minorHAnsi" w:cstheme="minorBidi"/>
          <w:noProof/>
          <w:lang w:eastAsia="cs-CZ"/>
        </w:rPr>
      </w:pPr>
      <w:hyperlink w:anchor="_Toc114572320" w:history="1">
        <w:r w:rsidR="00833870" w:rsidRPr="00441FBA">
          <w:rPr>
            <w:rStyle w:val="Hypertextovodkaz"/>
            <w:noProof/>
          </w:rPr>
          <w:t>3.1</w:t>
        </w:r>
        <w:r w:rsidR="00833870">
          <w:rPr>
            <w:rFonts w:asciiTheme="minorHAnsi" w:eastAsiaTheme="minorEastAsia" w:hAnsiTheme="minorHAnsi" w:cstheme="minorBidi"/>
            <w:noProof/>
            <w:lang w:eastAsia="cs-CZ"/>
          </w:rPr>
          <w:tab/>
        </w:r>
        <w:r w:rsidR="00833870" w:rsidRPr="00441FBA">
          <w:rPr>
            <w:rStyle w:val="Hypertextovodkaz"/>
            <w:noProof/>
          </w:rPr>
          <w:t>Metodika hodnocení výzkumných organizací</w:t>
        </w:r>
        <w:r w:rsidR="00833870">
          <w:rPr>
            <w:noProof/>
            <w:webHidden/>
          </w:rPr>
          <w:tab/>
        </w:r>
        <w:r w:rsidR="00833870">
          <w:rPr>
            <w:noProof/>
            <w:webHidden/>
          </w:rPr>
          <w:fldChar w:fldCharType="begin"/>
        </w:r>
        <w:r w:rsidR="00833870">
          <w:rPr>
            <w:noProof/>
            <w:webHidden/>
          </w:rPr>
          <w:instrText xml:space="preserve"> PAGEREF _Toc114572320 \h </w:instrText>
        </w:r>
        <w:r w:rsidR="00833870">
          <w:rPr>
            <w:noProof/>
            <w:webHidden/>
          </w:rPr>
        </w:r>
        <w:r w:rsidR="00833870">
          <w:rPr>
            <w:noProof/>
            <w:webHidden/>
          </w:rPr>
          <w:fldChar w:fldCharType="separate"/>
        </w:r>
        <w:r w:rsidR="00DF283C">
          <w:rPr>
            <w:noProof/>
            <w:webHidden/>
          </w:rPr>
          <w:t>16</w:t>
        </w:r>
        <w:r w:rsidR="00833870">
          <w:rPr>
            <w:noProof/>
            <w:webHidden/>
          </w:rPr>
          <w:fldChar w:fldCharType="end"/>
        </w:r>
      </w:hyperlink>
    </w:p>
    <w:p w14:paraId="4E487689" w14:textId="3F6C02D4" w:rsidR="00833870" w:rsidRDefault="00FA7752">
      <w:pPr>
        <w:pStyle w:val="Obsah3"/>
        <w:tabs>
          <w:tab w:val="left" w:pos="1100"/>
          <w:tab w:val="right" w:leader="dot" w:pos="9060"/>
        </w:tabs>
        <w:rPr>
          <w:rFonts w:asciiTheme="minorHAnsi" w:eastAsiaTheme="minorEastAsia" w:hAnsiTheme="minorHAnsi" w:cstheme="minorBidi"/>
          <w:noProof/>
          <w:sz w:val="22"/>
          <w:lang w:eastAsia="cs-CZ"/>
        </w:rPr>
      </w:pPr>
      <w:hyperlink w:anchor="_Toc114572321" w:history="1">
        <w:r w:rsidR="00833870" w:rsidRPr="00441FBA">
          <w:rPr>
            <w:rStyle w:val="Hypertextovodkaz"/>
            <w:noProof/>
          </w:rPr>
          <w:t>3.1.1</w:t>
        </w:r>
        <w:r w:rsidR="00833870">
          <w:rPr>
            <w:rFonts w:asciiTheme="minorHAnsi" w:eastAsiaTheme="minorEastAsia" w:hAnsiTheme="minorHAnsi" w:cstheme="minorBidi"/>
            <w:noProof/>
            <w:sz w:val="22"/>
            <w:lang w:eastAsia="cs-CZ"/>
          </w:rPr>
          <w:tab/>
        </w:r>
        <w:r w:rsidR="00833870" w:rsidRPr="00441FBA">
          <w:rPr>
            <w:rStyle w:val="Hypertextovodkaz"/>
            <w:noProof/>
          </w:rPr>
          <w:t>Zohlednění mezinárodní spolupráce</w:t>
        </w:r>
        <w:r w:rsidR="009B66B5">
          <w:rPr>
            <w:rStyle w:val="Hypertextovodkaz"/>
            <w:noProof/>
          </w:rPr>
          <w:t xml:space="preserve"> v </w:t>
        </w:r>
        <w:r w:rsidR="00833870" w:rsidRPr="00441FBA">
          <w:rPr>
            <w:rStyle w:val="Hypertextovodkaz"/>
            <w:noProof/>
          </w:rPr>
          <w:t>modulech M1</w:t>
        </w:r>
        <w:r w:rsidR="009B66B5">
          <w:rPr>
            <w:rStyle w:val="Hypertextovodkaz"/>
            <w:noProof/>
          </w:rPr>
          <w:t xml:space="preserve"> a </w:t>
        </w:r>
        <w:r w:rsidR="00833870" w:rsidRPr="00441FBA">
          <w:rPr>
            <w:rStyle w:val="Hypertextovodkaz"/>
            <w:noProof/>
          </w:rPr>
          <w:t>M2</w:t>
        </w:r>
        <w:r w:rsidR="00833870">
          <w:rPr>
            <w:noProof/>
            <w:webHidden/>
          </w:rPr>
          <w:tab/>
        </w:r>
        <w:r w:rsidR="00833870">
          <w:rPr>
            <w:noProof/>
            <w:webHidden/>
          </w:rPr>
          <w:fldChar w:fldCharType="begin"/>
        </w:r>
        <w:r w:rsidR="00833870">
          <w:rPr>
            <w:noProof/>
            <w:webHidden/>
          </w:rPr>
          <w:instrText xml:space="preserve"> PAGEREF _Toc114572321 \h </w:instrText>
        </w:r>
        <w:r w:rsidR="00833870">
          <w:rPr>
            <w:noProof/>
            <w:webHidden/>
          </w:rPr>
        </w:r>
        <w:r w:rsidR="00833870">
          <w:rPr>
            <w:noProof/>
            <w:webHidden/>
          </w:rPr>
          <w:fldChar w:fldCharType="separate"/>
        </w:r>
        <w:r w:rsidR="00DF283C">
          <w:rPr>
            <w:noProof/>
            <w:webHidden/>
          </w:rPr>
          <w:t>17</w:t>
        </w:r>
        <w:r w:rsidR="00833870">
          <w:rPr>
            <w:noProof/>
            <w:webHidden/>
          </w:rPr>
          <w:fldChar w:fldCharType="end"/>
        </w:r>
      </w:hyperlink>
    </w:p>
    <w:p w14:paraId="4CF85676" w14:textId="3BE39397" w:rsidR="00833870" w:rsidRDefault="00FA7752">
      <w:pPr>
        <w:pStyle w:val="Obsah3"/>
        <w:tabs>
          <w:tab w:val="left" w:pos="1100"/>
          <w:tab w:val="right" w:leader="dot" w:pos="9060"/>
        </w:tabs>
        <w:rPr>
          <w:rFonts w:asciiTheme="minorHAnsi" w:eastAsiaTheme="minorEastAsia" w:hAnsiTheme="minorHAnsi" w:cstheme="minorBidi"/>
          <w:noProof/>
          <w:sz w:val="22"/>
          <w:lang w:eastAsia="cs-CZ"/>
        </w:rPr>
      </w:pPr>
      <w:hyperlink w:anchor="_Toc114572322" w:history="1">
        <w:r w:rsidR="00833870" w:rsidRPr="00441FBA">
          <w:rPr>
            <w:rStyle w:val="Hypertextovodkaz"/>
            <w:noProof/>
          </w:rPr>
          <w:t>3.1.2</w:t>
        </w:r>
        <w:r w:rsidR="00833870">
          <w:rPr>
            <w:rFonts w:asciiTheme="minorHAnsi" w:eastAsiaTheme="minorEastAsia" w:hAnsiTheme="minorHAnsi" w:cstheme="minorBidi"/>
            <w:noProof/>
            <w:sz w:val="22"/>
            <w:lang w:eastAsia="cs-CZ"/>
          </w:rPr>
          <w:tab/>
        </w:r>
        <w:r w:rsidR="00833870" w:rsidRPr="00441FBA">
          <w:rPr>
            <w:rStyle w:val="Hypertextovodkaz"/>
            <w:noProof/>
          </w:rPr>
          <w:t>Zohlednění mezinárodní spolupráce</w:t>
        </w:r>
        <w:r w:rsidR="009B66B5">
          <w:rPr>
            <w:rStyle w:val="Hypertextovodkaz"/>
            <w:noProof/>
          </w:rPr>
          <w:t xml:space="preserve"> v </w:t>
        </w:r>
        <w:r w:rsidR="00833870" w:rsidRPr="00441FBA">
          <w:rPr>
            <w:rStyle w:val="Hypertextovodkaz"/>
            <w:noProof/>
          </w:rPr>
          <w:t>modulech M3 až M5 – vysoké školy</w:t>
        </w:r>
        <w:r w:rsidR="00833870">
          <w:rPr>
            <w:noProof/>
            <w:webHidden/>
          </w:rPr>
          <w:tab/>
        </w:r>
        <w:r w:rsidR="00833870">
          <w:rPr>
            <w:noProof/>
            <w:webHidden/>
          </w:rPr>
          <w:fldChar w:fldCharType="begin"/>
        </w:r>
        <w:r w:rsidR="00833870">
          <w:rPr>
            <w:noProof/>
            <w:webHidden/>
          </w:rPr>
          <w:instrText xml:space="preserve"> PAGEREF _Toc114572322 \h </w:instrText>
        </w:r>
        <w:r w:rsidR="00833870">
          <w:rPr>
            <w:noProof/>
            <w:webHidden/>
          </w:rPr>
        </w:r>
        <w:r w:rsidR="00833870">
          <w:rPr>
            <w:noProof/>
            <w:webHidden/>
          </w:rPr>
          <w:fldChar w:fldCharType="separate"/>
        </w:r>
        <w:r w:rsidR="00DF283C">
          <w:rPr>
            <w:noProof/>
            <w:webHidden/>
          </w:rPr>
          <w:t>17</w:t>
        </w:r>
        <w:r w:rsidR="00833870">
          <w:rPr>
            <w:noProof/>
            <w:webHidden/>
          </w:rPr>
          <w:fldChar w:fldCharType="end"/>
        </w:r>
      </w:hyperlink>
    </w:p>
    <w:p w14:paraId="6E19CDE6" w14:textId="7A1EF16A" w:rsidR="00833870" w:rsidRDefault="00FA7752">
      <w:pPr>
        <w:pStyle w:val="Obsah3"/>
        <w:tabs>
          <w:tab w:val="left" w:pos="1100"/>
          <w:tab w:val="right" w:leader="dot" w:pos="9060"/>
        </w:tabs>
        <w:rPr>
          <w:rFonts w:asciiTheme="minorHAnsi" w:eastAsiaTheme="minorEastAsia" w:hAnsiTheme="minorHAnsi" w:cstheme="minorBidi"/>
          <w:noProof/>
          <w:sz w:val="22"/>
          <w:lang w:eastAsia="cs-CZ"/>
        </w:rPr>
      </w:pPr>
      <w:hyperlink w:anchor="_Toc114572323" w:history="1">
        <w:r w:rsidR="00833870" w:rsidRPr="00441FBA">
          <w:rPr>
            <w:rStyle w:val="Hypertextovodkaz"/>
            <w:noProof/>
          </w:rPr>
          <w:t>3.1.3</w:t>
        </w:r>
        <w:r w:rsidR="00833870">
          <w:rPr>
            <w:rFonts w:asciiTheme="minorHAnsi" w:eastAsiaTheme="minorEastAsia" w:hAnsiTheme="minorHAnsi" w:cstheme="minorBidi"/>
            <w:noProof/>
            <w:sz w:val="22"/>
            <w:lang w:eastAsia="cs-CZ"/>
          </w:rPr>
          <w:tab/>
        </w:r>
        <w:r w:rsidR="00833870" w:rsidRPr="00441FBA">
          <w:rPr>
            <w:rStyle w:val="Hypertextovodkaz"/>
            <w:noProof/>
          </w:rPr>
          <w:t>Zohlednění mezinárodní spolupráce</w:t>
        </w:r>
        <w:r w:rsidR="009B66B5">
          <w:rPr>
            <w:rStyle w:val="Hypertextovodkaz"/>
            <w:noProof/>
          </w:rPr>
          <w:t xml:space="preserve"> v </w:t>
        </w:r>
        <w:r w:rsidR="00833870" w:rsidRPr="00441FBA">
          <w:rPr>
            <w:rStyle w:val="Hypertextovodkaz"/>
            <w:noProof/>
          </w:rPr>
          <w:t>hodnocení výzkumně orientovaných pracovišť AV ČR</w:t>
        </w:r>
        <w:r w:rsidR="00833870">
          <w:rPr>
            <w:noProof/>
            <w:webHidden/>
          </w:rPr>
          <w:tab/>
        </w:r>
        <w:r w:rsidR="00833870">
          <w:rPr>
            <w:noProof/>
            <w:webHidden/>
          </w:rPr>
          <w:fldChar w:fldCharType="begin"/>
        </w:r>
        <w:r w:rsidR="00833870">
          <w:rPr>
            <w:noProof/>
            <w:webHidden/>
          </w:rPr>
          <w:instrText xml:space="preserve"> PAGEREF _Toc114572323 \h </w:instrText>
        </w:r>
        <w:r w:rsidR="00833870">
          <w:rPr>
            <w:noProof/>
            <w:webHidden/>
          </w:rPr>
        </w:r>
        <w:r w:rsidR="00833870">
          <w:rPr>
            <w:noProof/>
            <w:webHidden/>
          </w:rPr>
          <w:fldChar w:fldCharType="separate"/>
        </w:r>
        <w:r w:rsidR="00DF283C">
          <w:rPr>
            <w:noProof/>
            <w:webHidden/>
          </w:rPr>
          <w:t>18</w:t>
        </w:r>
        <w:r w:rsidR="00833870">
          <w:rPr>
            <w:noProof/>
            <w:webHidden/>
          </w:rPr>
          <w:fldChar w:fldCharType="end"/>
        </w:r>
      </w:hyperlink>
    </w:p>
    <w:p w14:paraId="6EFCD302" w14:textId="742BE264" w:rsidR="00833870" w:rsidRDefault="00FA7752">
      <w:pPr>
        <w:pStyle w:val="Obsah2"/>
        <w:tabs>
          <w:tab w:val="left" w:pos="880"/>
          <w:tab w:val="right" w:leader="dot" w:pos="9060"/>
        </w:tabs>
        <w:rPr>
          <w:rFonts w:asciiTheme="minorHAnsi" w:eastAsiaTheme="minorEastAsia" w:hAnsiTheme="minorHAnsi" w:cstheme="minorBidi"/>
          <w:noProof/>
          <w:lang w:eastAsia="cs-CZ"/>
        </w:rPr>
      </w:pPr>
      <w:hyperlink w:anchor="_Toc114572324" w:history="1">
        <w:r w:rsidR="00833870" w:rsidRPr="00441FBA">
          <w:rPr>
            <w:rStyle w:val="Hypertextovodkaz"/>
            <w:noProof/>
          </w:rPr>
          <w:t>3.2</w:t>
        </w:r>
        <w:r w:rsidR="00833870">
          <w:rPr>
            <w:rFonts w:asciiTheme="minorHAnsi" w:eastAsiaTheme="minorEastAsia" w:hAnsiTheme="minorHAnsi" w:cstheme="minorBidi"/>
            <w:noProof/>
            <w:lang w:eastAsia="cs-CZ"/>
          </w:rPr>
          <w:tab/>
        </w:r>
        <w:r w:rsidR="00833870" w:rsidRPr="00441FBA">
          <w:rPr>
            <w:rStyle w:val="Hypertextovodkaz"/>
            <w:noProof/>
          </w:rPr>
          <w:t>Podmínky pro internacionalizaci ve výzkumných organizacích</w:t>
        </w:r>
        <w:r w:rsidR="009B66B5">
          <w:rPr>
            <w:rStyle w:val="Hypertextovodkaz"/>
            <w:noProof/>
          </w:rPr>
          <w:t xml:space="preserve"> a </w:t>
        </w:r>
        <w:r w:rsidR="00833870" w:rsidRPr="00441FBA">
          <w:rPr>
            <w:rStyle w:val="Hypertextovodkaz"/>
            <w:noProof/>
          </w:rPr>
          <w:t>motivace pro zapojení do mezinárodních výzkumných aktivit</w:t>
        </w:r>
        <w:r w:rsidR="00833870">
          <w:rPr>
            <w:noProof/>
            <w:webHidden/>
          </w:rPr>
          <w:tab/>
        </w:r>
        <w:r w:rsidR="00833870">
          <w:rPr>
            <w:noProof/>
            <w:webHidden/>
          </w:rPr>
          <w:fldChar w:fldCharType="begin"/>
        </w:r>
        <w:r w:rsidR="00833870">
          <w:rPr>
            <w:noProof/>
            <w:webHidden/>
          </w:rPr>
          <w:instrText xml:space="preserve"> PAGEREF _Toc114572324 \h </w:instrText>
        </w:r>
        <w:r w:rsidR="00833870">
          <w:rPr>
            <w:noProof/>
            <w:webHidden/>
          </w:rPr>
        </w:r>
        <w:r w:rsidR="00833870">
          <w:rPr>
            <w:noProof/>
            <w:webHidden/>
          </w:rPr>
          <w:fldChar w:fldCharType="separate"/>
        </w:r>
        <w:r w:rsidR="00DF283C">
          <w:rPr>
            <w:noProof/>
            <w:webHidden/>
          </w:rPr>
          <w:t>19</w:t>
        </w:r>
        <w:r w:rsidR="00833870">
          <w:rPr>
            <w:noProof/>
            <w:webHidden/>
          </w:rPr>
          <w:fldChar w:fldCharType="end"/>
        </w:r>
      </w:hyperlink>
    </w:p>
    <w:p w14:paraId="7437E7A3" w14:textId="4160913C" w:rsidR="00833870" w:rsidRDefault="00FA7752">
      <w:pPr>
        <w:pStyle w:val="Obsah2"/>
        <w:tabs>
          <w:tab w:val="left" w:pos="880"/>
          <w:tab w:val="right" w:leader="dot" w:pos="9060"/>
        </w:tabs>
        <w:rPr>
          <w:rFonts w:asciiTheme="minorHAnsi" w:eastAsiaTheme="minorEastAsia" w:hAnsiTheme="minorHAnsi" w:cstheme="minorBidi"/>
          <w:noProof/>
          <w:lang w:eastAsia="cs-CZ"/>
        </w:rPr>
      </w:pPr>
      <w:hyperlink w:anchor="_Toc114572325" w:history="1">
        <w:r w:rsidR="00833870" w:rsidRPr="00441FBA">
          <w:rPr>
            <w:rStyle w:val="Hypertextovodkaz"/>
            <w:noProof/>
          </w:rPr>
          <w:t>3.3</w:t>
        </w:r>
        <w:r w:rsidR="00833870">
          <w:rPr>
            <w:rFonts w:asciiTheme="minorHAnsi" w:eastAsiaTheme="minorEastAsia" w:hAnsiTheme="minorHAnsi" w:cstheme="minorBidi"/>
            <w:noProof/>
            <w:lang w:eastAsia="cs-CZ"/>
          </w:rPr>
          <w:tab/>
        </w:r>
        <w:r w:rsidR="00833870" w:rsidRPr="00441FBA">
          <w:rPr>
            <w:rStyle w:val="Hypertextovodkaz"/>
            <w:noProof/>
          </w:rPr>
          <w:t>Kariérní rozvoj mladých výzkumníků</w:t>
        </w:r>
        <w:r w:rsidR="00833870">
          <w:rPr>
            <w:noProof/>
            <w:webHidden/>
          </w:rPr>
          <w:tab/>
        </w:r>
        <w:r w:rsidR="00833870">
          <w:rPr>
            <w:noProof/>
            <w:webHidden/>
          </w:rPr>
          <w:fldChar w:fldCharType="begin"/>
        </w:r>
        <w:r w:rsidR="00833870">
          <w:rPr>
            <w:noProof/>
            <w:webHidden/>
          </w:rPr>
          <w:instrText xml:space="preserve"> PAGEREF _Toc114572325 \h </w:instrText>
        </w:r>
        <w:r w:rsidR="00833870">
          <w:rPr>
            <w:noProof/>
            <w:webHidden/>
          </w:rPr>
        </w:r>
        <w:r w:rsidR="00833870">
          <w:rPr>
            <w:noProof/>
            <w:webHidden/>
          </w:rPr>
          <w:fldChar w:fldCharType="separate"/>
        </w:r>
        <w:r w:rsidR="00DF283C">
          <w:rPr>
            <w:noProof/>
            <w:webHidden/>
          </w:rPr>
          <w:t>21</w:t>
        </w:r>
        <w:r w:rsidR="00833870">
          <w:rPr>
            <w:noProof/>
            <w:webHidden/>
          </w:rPr>
          <w:fldChar w:fldCharType="end"/>
        </w:r>
      </w:hyperlink>
    </w:p>
    <w:p w14:paraId="1FBE586B" w14:textId="1CDABD6A" w:rsidR="00833870" w:rsidRDefault="00FA7752">
      <w:pPr>
        <w:pStyle w:val="Obsah3"/>
        <w:tabs>
          <w:tab w:val="left" w:pos="1100"/>
          <w:tab w:val="right" w:leader="dot" w:pos="9060"/>
        </w:tabs>
        <w:rPr>
          <w:rFonts w:asciiTheme="minorHAnsi" w:eastAsiaTheme="minorEastAsia" w:hAnsiTheme="minorHAnsi" w:cstheme="minorBidi"/>
          <w:noProof/>
          <w:sz w:val="22"/>
          <w:lang w:eastAsia="cs-CZ"/>
        </w:rPr>
      </w:pPr>
      <w:hyperlink w:anchor="_Toc114572326" w:history="1">
        <w:r w:rsidR="00833870" w:rsidRPr="00441FBA">
          <w:rPr>
            <w:rStyle w:val="Hypertextovodkaz"/>
            <w:noProof/>
          </w:rPr>
          <w:t>3.3.1</w:t>
        </w:r>
        <w:r w:rsidR="00833870">
          <w:rPr>
            <w:rFonts w:asciiTheme="minorHAnsi" w:eastAsiaTheme="minorEastAsia" w:hAnsiTheme="minorHAnsi" w:cstheme="minorBidi"/>
            <w:noProof/>
            <w:sz w:val="22"/>
            <w:lang w:eastAsia="cs-CZ"/>
          </w:rPr>
          <w:tab/>
        </w:r>
        <w:r w:rsidR="00833870" w:rsidRPr="00441FBA">
          <w:rPr>
            <w:rStyle w:val="Hypertextovodkaz"/>
            <w:noProof/>
          </w:rPr>
          <w:t>Podpora výzkumné mobility prostřednictvím Horizontu Evropa</w:t>
        </w:r>
        <w:r w:rsidR="00833870">
          <w:rPr>
            <w:noProof/>
            <w:webHidden/>
          </w:rPr>
          <w:tab/>
        </w:r>
        <w:r w:rsidR="00833870">
          <w:rPr>
            <w:noProof/>
            <w:webHidden/>
          </w:rPr>
          <w:fldChar w:fldCharType="begin"/>
        </w:r>
        <w:r w:rsidR="00833870">
          <w:rPr>
            <w:noProof/>
            <w:webHidden/>
          </w:rPr>
          <w:instrText xml:space="preserve"> PAGEREF _Toc114572326 \h </w:instrText>
        </w:r>
        <w:r w:rsidR="00833870">
          <w:rPr>
            <w:noProof/>
            <w:webHidden/>
          </w:rPr>
        </w:r>
        <w:r w:rsidR="00833870">
          <w:rPr>
            <w:noProof/>
            <w:webHidden/>
          </w:rPr>
          <w:fldChar w:fldCharType="separate"/>
        </w:r>
        <w:r w:rsidR="00DF283C">
          <w:rPr>
            <w:noProof/>
            <w:webHidden/>
          </w:rPr>
          <w:t>21</w:t>
        </w:r>
        <w:r w:rsidR="00833870">
          <w:rPr>
            <w:noProof/>
            <w:webHidden/>
          </w:rPr>
          <w:fldChar w:fldCharType="end"/>
        </w:r>
      </w:hyperlink>
    </w:p>
    <w:p w14:paraId="6452D29E" w14:textId="78B67565" w:rsidR="00833870" w:rsidRDefault="00FA7752">
      <w:pPr>
        <w:pStyle w:val="Obsah3"/>
        <w:tabs>
          <w:tab w:val="left" w:pos="1100"/>
          <w:tab w:val="right" w:leader="dot" w:pos="9060"/>
        </w:tabs>
        <w:rPr>
          <w:rFonts w:asciiTheme="minorHAnsi" w:eastAsiaTheme="minorEastAsia" w:hAnsiTheme="minorHAnsi" w:cstheme="minorBidi"/>
          <w:noProof/>
          <w:sz w:val="22"/>
          <w:lang w:eastAsia="cs-CZ"/>
        </w:rPr>
      </w:pPr>
      <w:hyperlink w:anchor="_Toc114572327" w:history="1">
        <w:r w:rsidR="00833870" w:rsidRPr="00441FBA">
          <w:rPr>
            <w:rStyle w:val="Hypertextovodkaz"/>
            <w:noProof/>
          </w:rPr>
          <w:t>3.3.2</w:t>
        </w:r>
        <w:r w:rsidR="00833870">
          <w:rPr>
            <w:rFonts w:asciiTheme="minorHAnsi" w:eastAsiaTheme="minorEastAsia" w:hAnsiTheme="minorHAnsi" w:cstheme="minorBidi"/>
            <w:noProof/>
            <w:sz w:val="22"/>
            <w:lang w:eastAsia="cs-CZ"/>
          </w:rPr>
          <w:tab/>
        </w:r>
        <w:r w:rsidR="00833870" w:rsidRPr="00441FBA">
          <w:rPr>
            <w:rStyle w:val="Hypertextovodkaz"/>
            <w:noProof/>
          </w:rPr>
          <w:t>Posilování internacionalizace vysokoškolského sektoru</w:t>
        </w:r>
        <w:r w:rsidR="009B66B5">
          <w:rPr>
            <w:rStyle w:val="Hypertextovodkaz"/>
            <w:noProof/>
          </w:rPr>
          <w:t xml:space="preserve"> a </w:t>
        </w:r>
        <w:r w:rsidR="00833870" w:rsidRPr="00441FBA">
          <w:rPr>
            <w:rStyle w:val="Hypertextovodkaz"/>
            <w:noProof/>
          </w:rPr>
          <w:t>podpora synergií mezi výzkumnou</w:t>
        </w:r>
        <w:r w:rsidR="009B66B5">
          <w:rPr>
            <w:rStyle w:val="Hypertextovodkaz"/>
            <w:noProof/>
          </w:rPr>
          <w:t xml:space="preserve"> a </w:t>
        </w:r>
        <w:r w:rsidR="00833870" w:rsidRPr="00441FBA">
          <w:rPr>
            <w:rStyle w:val="Hypertextovodkaz"/>
            <w:noProof/>
          </w:rPr>
          <w:t>vzdělávací sférou</w:t>
        </w:r>
        <w:r w:rsidR="009B66B5">
          <w:rPr>
            <w:rStyle w:val="Hypertextovodkaz"/>
            <w:noProof/>
          </w:rPr>
          <w:t xml:space="preserve"> v </w:t>
        </w:r>
        <w:r w:rsidR="00833870" w:rsidRPr="00441FBA">
          <w:rPr>
            <w:rStyle w:val="Hypertextovodkaz"/>
            <w:noProof/>
          </w:rPr>
          <w:t>EU</w:t>
        </w:r>
        <w:r w:rsidR="00833870">
          <w:rPr>
            <w:noProof/>
            <w:webHidden/>
          </w:rPr>
          <w:tab/>
        </w:r>
        <w:r w:rsidR="00833870">
          <w:rPr>
            <w:noProof/>
            <w:webHidden/>
          </w:rPr>
          <w:fldChar w:fldCharType="begin"/>
        </w:r>
        <w:r w:rsidR="00833870">
          <w:rPr>
            <w:noProof/>
            <w:webHidden/>
          </w:rPr>
          <w:instrText xml:space="preserve"> PAGEREF _Toc114572327 \h </w:instrText>
        </w:r>
        <w:r w:rsidR="00833870">
          <w:rPr>
            <w:noProof/>
            <w:webHidden/>
          </w:rPr>
        </w:r>
        <w:r w:rsidR="00833870">
          <w:rPr>
            <w:noProof/>
            <w:webHidden/>
          </w:rPr>
          <w:fldChar w:fldCharType="separate"/>
        </w:r>
        <w:r w:rsidR="00DF283C">
          <w:rPr>
            <w:noProof/>
            <w:webHidden/>
          </w:rPr>
          <w:t>22</w:t>
        </w:r>
        <w:r w:rsidR="00833870">
          <w:rPr>
            <w:noProof/>
            <w:webHidden/>
          </w:rPr>
          <w:fldChar w:fldCharType="end"/>
        </w:r>
      </w:hyperlink>
    </w:p>
    <w:p w14:paraId="5866D7C1" w14:textId="520F6AA7" w:rsidR="00833870" w:rsidRDefault="00FA7752">
      <w:pPr>
        <w:pStyle w:val="Obsah3"/>
        <w:tabs>
          <w:tab w:val="left" w:pos="1100"/>
          <w:tab w:val="right" w:leader="dot" w:pos="9060"/>
        </w:tabs>
        <w:rPr>
          <w:rFonts w:asciiTheme="minorHAnsi" w:eastAsiaTheme="minorEastAsia" w:hAnsiTheme="minorHAnsi" w:cstheme="minorBidi"/>
          <w:noProof/>
          <w:sz w:val="22"/>
          <w:lang w:eastAsia="cs-CZ"/>
        </w:rPr>
      </w:pPr>
      <w:hyperlink w:anchor="_Toc114572328" w:history="1">
        <w:r w:rsidR="00833870" w:rsidRPr="00441FBA">
          <w:rPr>
            <w:rStyle w:val="Hypertextovodkaz"/>
            <w:noProof/>
          </w:rPr>
          <w:t>3.3.3</w:t>
        </w:r>
        <w:r w:rsidR="00833870">
          <w:rPr>
            <w:rFonts w:asciiTheme="minorHAnsi" w:eastAsiaTheme="minorEastAsia" w:hAnsiTheme="minorHAnsi" w:cstheme="minorBidi"/>
            <w:noProof/>
            <w:sz w:val="22"/>
            <w:lang w:eastAsia="cs-CZ"/>
          </w:rPr>
          <w:tab/>
        </w:r>
        <w:r w:rsidR="00833870" w:rsidRPr="00441FBA">
          <w:rPr>
            <w:rStyle w:val="Hypertextovodkaz"/>
            <w:noProof/>
          </w:rPr>
          <w:t>Nástroje „Widening“</w:t>
        </w:r>
        <w:r w:rsidR="00833870">
          <w:rPr>
            <w:noProof/>
            <w:webHidden/>
          </w:rPr>
          <w:tab/>
        </w:r>
        <w:r w:rsidR="00833870">
          <w:rPr>
            <w:noProof/>
            <w:webHidden/>
          </w:rPr>
          <w:fldChar w:fldCharType="begin"/>
        </w:r>
        <w:r w:rsidR="00833870">
          <w:rPr>
            <w:noProof/>
            <w:webHidden/>
          </w:rPr>
          <w:instrText xml:space="preserve"> PAGEREF _Toc114572328 \h </w:instrText>
        </w:r>
        <w:r w:rsidR="00833870">
          <w:rPr>
            <w:noProof/>
            <w:webHidden/>
          </w:rPr>
        </w:r>
        <w:r w:rsidR="00833870">
          <w:rPr>
            <w:noProof/>
            <w:webHidden/>
          </w:rPr>
          <w:fldChar w:fldCharType="separate"/>
        </w:r>
        <w:r w:rsidR="00DF283C">
          <w:rPr>
            <w:noProof/>
            <w:webHidden/>
          </w:rPr>
          <w:t>23</w:t>
        </w:r>
        <w:r w:rsidR="00833870">
          <w:rPr>
            <w:noProof/>
            <w:webHidden/>
          </w:rPr>
          <w:fldChar w:fldCharType="end"/>
        </w:r>
      </w:hyperlink>
    </w:p>
    <w:p w14:paraId="7C6FF794" w14:textId="702E191A" w:rsidR="00833870" w:rsidRDefault="00FA7752">
      <w:pPr>
        <w:pStyle w:val="Obsah2"/>
        <w:tabs>
          <w:tab w:val="left" w:pos="880"/>
          <w:tab w:val="right" w:leader="dot" w:pos="9060"/>
        </w:tabs>
        <w:rPr>
          <w:rFonts w:asciiTheme="minorHAnsi" w:eastAsiaTheme="minorEastAsia" w:hAnsiTheme="minorHAnsi" w:cstheme="minorBidi"/>
          <w:noProof/>
          <w:lang w:eastAsia="cs-CZ"/>
        </w:rPr>
      </w:pPr>
      <w:hyperlink w:anchor="_Toc114572329" w:history="1">
        <w:r w:rsidR="00833870" w:rsidRPr="00441FBA">
          <w:rPr>
            <w:rStyle w:val="Hypertextovodkaz"/>
            <w:noProof/>
          </w:rPr>
          <w:t>3.4</w:t>
        </w:r>
        <w:r w:rsidR="00833870">
          <w:rPr>
            <w:rFonts w:asciiTheme="minorHAnsi" w:eastAsiaTheme="minorEastAsia" w:hAnsiTheme="minorHAnsi" w:cstheme="minorBidi"/>
            <w:noProof/>
            <w:lang w:eastAsia="cs-CZ"/>
          </w:rPr>
          <w:tab/>
        </w:r>
        <w:r w:rsidR="00833870" w:rsidRPr="00441FBA">
          <w:rPr>
            <w:rStyle w:val="Hypertextovodkaz"/>
            <w:noProof/>
          </w:rPr>
          <w:t>Závěr</w:t>
        </w:r>
        <w:r w:rsidR="00833870">
          <w:rPr>
            <w:noProof/>
            <w:webHidden/>
          </w:rPr>
          <w:tab/>
        </w:r>
        <w:r w:rsidR="00833870">
          <w:rPr>
            <w:noProof/>
            <w:webHidden/>
          </w:rPr>
          <w:fldChar w:fldCharType="begin"/>
        </w:r>
        <w:r w:rsidR="00833870">
          <w:rPr>
            <w:noProof/>
            <w:webHidden/>
          </w:rPr>
          <w:instrText xml:space="preserve"> PAGEREF _Toc114572329 \h </w:instrText>
        </w:r>
        <w:r w:rsidR="00833870">
          <w:rPr>
            <w:noProof/>
            <w:webHidden/>
          </w:rPr>
        </w:r>
        <w:r w:rsidR="00833870">
          <w:rPr>
            <w:noProof/>
            <w:webHidden/>
          </w:rPr>
          <w:fldChar w:fldCharType="separate"/>
        </w:r>
        <w:r w:rsidR="00DF283C">
          <w:rPr>
            <w:noProof/>
            <w:webHidden/>
          </w:rPr>
          <w:t>23</w:t>
        </w:r>
        <w:r w:rsidR="00833870">
          <w:rPr>
            <w:noProof/>
            <w:webHidden/>
          </w:rPr>
          <w:fldChar w:fldCharType="end"/>
        </w:r>
      </w:hyperlink>
    </w:p>
    <w:p w14:paraId="6E79DB41" w14:textId="68866EB2" w:rsidR="00833870" w:rsidRDefault="00FA7752">
      <w:pPr>
        <w:pStyle w:val="Obsah1"/>
        <w:rPr>
          <w:rFonts w:asciiTheme="minorHAnsi" w:eastAsiaTheme="minorEastAsia" w:hAnsiTheme="minorHAnsi" w:cstheme="minorBidi"/>
          <w:b w:val="0"/>
          <w:noProof/>
          <w:lang w:eastAsia="cs-CZ"/>
        </w:rPr>
      </w:pPr>
      <w:hyperlink w:anchor="_Toc114572330" w:history="1">
        <w:r w:rsidR="00833870" w:rsidRPr="00441FBA">
          <w:rPr>
            <w:rStyle w:val="Hypertextovodkaz"/>
            <w:noProof/>
          </w:rPr>
          <w:t>4</w:t>
        </w:r>
        <w:r w:rsidR="00833870">
          <w:rPr>
            <w:rFonts w:asciiTheme="minorHAnsi" w:eastAsiaTheme="minorEastAsia" w:hAnsiTheme="minorHAnsi" w:cstheme="minorBidi"/>
            <w:b w:val="0"/>
            <w:noProof/>
            <w:lang w:eastAsia="cs-CZ"/>
          </w:rPr>
          <w:tab/>
        </w:r>
        <w:r w:rsidR="00833870" w:rsidRPr="00441FBA">
          <w:rPr>
            <w:rStyle w:val="Hypertextovodkaz"/>
            <w:noProof/>
          </w:rPr>
          <w:t>Spolupráce</w:t>
        </w:r>
        <w:r w:rsidR="009B66B5">
          <w:rPr>
            <w:rStyle w:val="Hypertextovodkaz"/>
            <w:noProof/>
          </w:rPr>
          <w:t xml:space="preserve"> v </w:t>
        </w:r>
        <w:r w:rsidR="00833870" w:rsidRPr="00441FBA">
          <w:rPr>
            <w:rStyle w:val="Hypertextovodkaz"/>
            <w:noProof/>
          </w:rPr>
          <w:t>rámci evropských partnerství, evropských platforem</w:t>
        </w:r>
        <w:r w:rsidR="009B66B5">
          <w:rPr>
            <w:rStyle w:val="Hypertextovodkaz"/>
            <w:noProof/>
          </w:rPr>
          <w:t xml:space="preserve"> a </w:t>
        </w:r>
        <w:r w:rsidR="00833870" w:rsidRPr="00441FBA">
          <w:rPr>
            <w:rStyle w:val="Hypertextovodkaz"/>
            <w:noProof/>
          </w:rPr>
          <w:t>rad</w:t>
        </w:r>
        <w:r w:rsidR="00833870">
          <w:rPr>
            <w:noProof/>
            <w:webHidden/>
          </w:rPr>
          <w:tab/>
        </w:r>
        <w:r w:rsidR="00833870">
          <w:rPr>
            <w:noProof/>
            <w:webHidden/>
          </w:rPr>
          <w:fldChar w:fldCharType="begin"/>
        </w:r>
        <w:r w:rsidR="00833870">
          <w:rPr>
            <w:noProof/>
            <w:webHidden/>
          </w:rPr>
          <w:instrText xml:space="preserve"> PAGEREF _Toc114572330 \h </w:instrText>
        </w:r>
        <w:r w:rsidR="00833870">
          <w:rPr>
            <w:noProof/>
            <w:webHidden/>
          </w:rPr>
        </w:r>
        <w:r w:rsidR="00833870">
          <w:rPr>
            <w:noProof/>
            <w:webHidden/>
          </w:rPr>
          <w:fldChar w:fldCharType="separate"/>
        </w:r>
        <w:r w:rsidR="00DF283C">
          <w:rPr>
            <w:noProof/>
            <w:webHidden/>
          </w:rPr>
          <w:t>25</w:t>
        </w:r>
        <w:r w:rsidR="00833870">
          <w:rPr>
            <w:noProof/>
            <w:webHidden/>
          </w:rPr>
          <w:fldChar w:fldCharType="end"/>
        </w:r>
      </w:hyperlink>
    </w:p>
    <w:p w14:paraId="53DD3B6E" w14:textId="67A34C43" w:rsidR="00833870" w:rsidRDefault="00FA7752">
      <w:pPr>
        <w:pStyle w:val="Obsah2"/>
        <w:tabs>
          <w:tab w:val="left" w:pos="880"/>
          <w:tab w:val="right" w:leader="dot" w:pos="9060"/>
        </w:tabs>
        <w:rPr>
          <w:rFonts w:asciiTheme="minorHAnsi" w:eastAsiaTheme="minorEastAsia" w:hAnsiTheme="minorHAnsi" w:cstheme="minorBidi"/>
          <w:noProof/>
          <w:lang w:eastAsia="cs-CZ"/>
        </w:rPr>
      </w:pPr>
      <w:hyperlink w:anchor="_Toc114572331" w:history="1">
        <w:r w:rsidR="00833870" w:rsidRPr="00441FBA">
          <w:rPr>
            <w:rStyle w:val="Hypertextovodkaz"/>
            <w:noProof/>
          </w:rPr>
          <w:t>4.1</w:t>
        </w:r>
        <w:r w:rsidR="00833870">
          <w:rPr>
            <w:rFonts w:asciiTheme="minorHAnsi" w:eastAsiaTheme="minorEastAsia" w:hAnsiTheme="minorHAnsi" w:cstheme="minorBidi"/>
            <w:noProof/>
            <w:lang w:eastAsia="cs-CZ"/>
          </w:rPr>
          <w:tab/>
        </w:r>
        <w:r w:rsidR="00833870" w:rsidRPr="00441FBA">
          <w:rPr>
            <w:rStyle w:val="Hypertextovodkaz"/>
            <w:noProof/>
          </w:rPr>
          <w:t>Typy evropských partnerství</w:t>
        </w:r>
        <w:r w:rsidR="00833870">
          <w:rPr>
            <w:noProof/>
            <w:webHidden/>
          </w:rPr>
          <w:tab/>
        </w:r>
        <w:r w:rsidR="00833870">
          <w:rPr>
            <w:noProof/>
            <w:webHidden/>
          </w:rPr>
          <w:fldChar w:fldCharType="begin"/>
        </w:r>
        <w:r w:rsidR="00833870">
          <w:rPr>
            <w:noProof/>
            <w:webHidden/>
          </w:rPr>
          <w:instrText xml:space="preserve"> PAGEREF _Toc114572331 \h </w:instrText>
        </w:r>
        <w:r w:rsidR="00833870">
          <w:rPr>
            <w:noProof/>
            <w:webHidden/>
          </w:rPr>
        </w:r>
        <w:r w:rsidR="00833870">
          <w:rPr>
            <w:noProof/>
            <w:webHidden/>
          </w:rPr>
          <w:fldChar w:fldCharType="separate"/>
        </w:r>
        <w:r w:rsidR="00DF283C">
          <w:rPr>
            <w:noProof/>
            <w:webHidden/>
          </w:rPr>
          <w:t>25</w:t>
        </w:r>
        <w:r w:rsidR="00833870">
          <w:rPr>
            <w:noProof/>
            <w:webHidden/>
          </w:rPr>
          <w:fldChar w:fldCharType="end"/>
        </w:r>
      </w:hyperlink>
    </w:p>
    <w:p w14:paraId="693DDDAD" w14:textId="5B2D3F7D" w:rsidR="00833870" w:rsidRDefault="00FA7752">
      <w:pPr>
        <w:pStyle w:val="Obsah2"/>
        <w:tabs>
          <w:tab w:val="left" w:pos="880"/>
          <w:tab w:val="right" w:leader="dot" w:pos="9060"/>
        </w:tabs>
        <w:rPr>
          <w:rFonts w:asciiTheme="minorHAnsi" w:eastAsiaTheme="minorEastAsia" w:hAnsiTheme="minorHAnsi" w:cstheme="minorBidi"/>
          <w:noProof/>
          <w:lang w:eastAsia="cs-CZ"/>
        </w:rPr>
      </w:pPr>
      <w:hyperlink w:anchor="_Toc114572332" w:history="1">
        <w:r w:rsidR="00833870" w:rsidRPr="00441FBA">
          <w:rPr>
            <w:rStyle w:val="Hypertextovodkaz"/>
            <w:noProof/>
          </w:rPr>
          <w:t>4.2</w:t>
        </w:r>
        <w:r w:rsidR="00833870">
          <w:rPr>
            <w:rFonts w:asciiTheme="minorHAnsi" w:eastAsiaTheme="minorEastAsia" w:hAnsiTheme="minorHAnsi" w:cstheme="minorBidi"/>
            <w:noProof/>
            <w:lang w:eastAsia="cs-CZ"/>
          </w:rPr>
          <w:tab/>
        </w:r>
        <w:r w:rsidR="00833870" w:rsidRPr="00441FBA">
          <w:rPr>
            <w:rStyle w:val="Hypertextovodkaz"/>
            <w:noProof/>
          </w:rPr>
          <w:t>Společně programovaná partnerství</w:t>
        </w:r>
        <w:r w:rsidR="00833870">
          <w:rPr>
            <w:noProof/>
            <w:webHidden/>
          </w:rPr>
          <w:tab/>
        </w:r>
        <w:r w:rsidR="00833870">
          <w:rPr>
            <w:noProof/>
            <w:webHidden/>
          </w:rPr>
          <w:fldChar w:fldCharType="begin"/>
        </w:r>
        <w:r w:rsidR="00833870">
          <w:rPr>
            <w:noProof/>
            <w:webHidden/>
          </w:rPr>
          <w:instrText xml:space="preserve"> PAGEREF _Toc114572332 \h </w:instrText>
        </w:r>
        <w:r w:rsidR="00833870">
          <w:rPr>
            <w:noProof/>
            <w:webHidden/>
          </w:rPr>
        </w:r>
        <w:r w:rsidR="00833870">
          <w:rPr>
            <w:noProof/>
            <w:webHidden/>
          </w:rPr>
          <w:fldChar w:fldCharType="separate"/>
        </w:r>
        <w:r w:rsidR="00DF283C">
          <w:rPr>
            <w:noProof/>
            <w:webHidden/>
          </w:rPr>
          <w:t>27</w:t>
        </w:r>
        <w:r w:rsidR="00833870">
          <w:rPr>
            <w:noProof/>
            <w:webHidden/>
          </w:rPr>
          <w:fldChar w:fldCharType="end"/>
        </w:r>
      </w:hyperlink>
    </w:p>
    <w:p w14:paraId="056E1336" w14:textId="2D0775EA" w:rsidR="00833870" w:rsidRDefault="00FA7752">
      <w:pPr>
        <w:pStyle w:val="Obsah2"/>
        <w:tabs>
          <w:tab w:val="left" w:pos="880"/>
          <w:tab w:val="right" w:leader="dot" w:pos="9060"/>
        </w:tabs>
        <w:rPr>
          <w:rFonts w:asciiTheme="minorHAnsi" w:eastAsiaTheme="minorEastAsia" w:hAnsiTheme="minorHAnsi" w:cstheme="minorBidi"/>
          <w:noProof/>
          <w:lang w:eastAsia="cs-CZ"/>
        </w:rPr>
      </w:pPr>
      <w:hyperlink w:anchor="_Toc114572333" w:history="1">
        <w:r w:rsidR="00833870" w:rsidRPr="00441FBA">
          <w:rPr>
            <w:rStyle w:val="Hypertextovodkaz"/>
            <w:noProof/>
          </w:rPr>
          <w:t>4.3</w:t>
        </w:r>
        <w:r w:rsidR="00833870">
          <w:rPr>
            <w:rFonts w:asciiTheme="minorHAnsi" w:eastAsiaTheme="minorEastAsia" w:hAnsiTheme="minorHAnsi" w:cstheme="minorBidi"/>
            <w:noProof/>
            <w:lang w:eastAsia="cs-CZ"/>
          </w:rPr>
          <w:tab/>
        </w:r>
        <w:r w:rsidR="00833870" w:rsidRPr="00441FBA">
          <w:rPr>
            <w:rStyle w:val="Hypertextovodkaz"/>
            <w:noProof/>
          </w:rPr>
          <w:t>Institucionalizovaná partnerství</w:t>
        </w:r>
        <w:r w:rsidR="00833870">
          <w:rPr>
            <w:noProof/>
            <w:webHidden/>
          </w:rPr>
          <w:tab/>
        </w:r>
        <w:r w:rsidR="00833870">
          <w:rPr>
            <w:noProof/>
            <w:webHidden/>
          </w:rPr>
          <w:fldChar w:fldCharType="begin"/>
        </w:r>
        <w:r w:rsidR="00833870">
          <w:rPr>
            <w:noProof/>
            <w:webHidden/>
          </w:rPr>
          <w:instrText xml:space="preserve"> PAGEREF _Toc114572333 \h </w:instrText>
        </w:r>
        <w:r w:rsidR="00833870">
          <w:rPr>
            <w:noProof/>
            <w:webHidden/>
          </w:rPr>
        </w:r>
        <w:r w:rsidR="00833870">
          <w:rPr>
            <w:noProof/>
            <w:webHidden/>
          </w:rPr>
          <w:fldChar w:fldCharType="separate"/>
        </w:r>
        <w:r w:rsidR="00DF283C">
          <w:rPr>
            <w:noProof/>
            <w:webHidden/>
          </w:rPr>
          <w:t>29</w:t>
        </w:r>
        <w:r w:rsidR="00833870">
          <w:rPr>
            <w:noProof/>
            <w:webHidden/>
          </w:rPr>
          <w:fldChar w:fldCharType="end"/>
        </w:r>
      </w:hyperlink>
    </w:p>
    <w:p w14:paraId="6AE3BE87" w14:textId="1FCDFC1B" w:rsidR="00833870" w:rsidRDefault="00FA7752">
      <w:pPr>
        <w:pStyle w:val="Obsah2"/>
        <w:tabs>
          <w:tab w:val="left" w:pos="880"/>
          <w:tab w:val="right" w:leader="dot" w:pos="9060"/>
        </w:tabs>
        <w:rPr>
          <w:rFonts w:asciiTheme="minorHAnsi" w:eastAsiaTheme="minorEastAsia" w:hAnsiTheme="minorHAnsi" w:cstheme="minorBidi"/>
          <w:noProof/>
          <w:lang w:eastAsia="cs-CZ"/>
        </w:rPr>
      </w:pPr>
      <w:hyperlink w:anchor="_Toc114572334" w:history="1">
        <w:r w:rsidR="00833870" w:rsidRPr="00441FBA">
          <w:rPr>
            <w:rStyle w:val="Hypertextovodkaz"/>
            <w:noProof/>
          </w:rPr>
          <w:t>4.4</w:t>
        </w:r>
        <w:r w:rsidR="00833870">
          <w:rPr>
            <w:rFonts w:asciiTheme="minorHAnsi" w:eastAsiaTheme="minorEastAsia" w:hAnsiTheme="minorHAnsi" w:cstheme="minorBidi"/>
            <w:noProof/>
            <w:lang w:eastAsia="cs-CZ"/>
          </w:rPr>
          <w:tab/>
        </w:r>
        <w:r w:rsidR="00833870" w:rsidRPr="00441FBA">
          <w:rPr>
            <w:rStyle w:val="Hypertextovodkaz"/>
            <w:noProof/>
          </w:rPr>
          <w:t>Společně financovaná partnerství</w:t>
        </w:r>
        <w:r w:rsidR="00833870">
          <w:rPr>
            <w:noProof/>
            <w:webHidden/>
          </w:rPr>
          <w:tab/>
        </w:r>
        <w:r w:rsidR="00833870">
          <w:rPr>
            <w:noProof/>
            <w:webHidden/>
          </w:rPr>
          <w:fldChar w:fldCharType="begin"/>
        </w:r>
        <w:r w:rsidR="00833870">
          <w:rPr>
            <w:noProof/>
            <w:webHidden/>
          </w:rPr>
          <w:instrText xml:space="preserve"> PAGEREF _Toc114572334 \h </w:instrText>
        </w:r>
        <w:r w:rsidR="00833870">
          <w:rPr>
            <w:noProof/>
            <w:webHidden/>
          </w:rPr>
        </w:r>
        <w:r w:rsidR="00833870">
          <w:rPr>
            <w:noProof/>
            <w:webHidden/>
          </w:rPr>
          <w:fldChar w:fldCharType="separate"/>
        </w:r>
        <w:r w:rsidR="00DF283C">
          <w:rPr>
            <w:noProof/>
            <w:webHidden/>
          </w:rPr>
          <w:t>30</w:t>
        </w:r>
        <w:r w:rsidR="00833870">
          <w:rPr>
            <w:noProof/>
            <w:webHidden/>
          </w:rPr>
          <w:fldChar w:fldCharType="end"/>
        </w:r>
      </w:hyperlink>
    </w:p>
    <w:p w14:paraId="3E113EEC" w14:textId="13FB8975" w:rsidR="00833870" w:rsidRDefault="00FA7752">
      <w:pPr>
        <w:pStyle w:val="Obsah2"/>
        <w:tabs>
          <w:tab w:val="left" w:pos="880"/>
          <w:tab w:val="right" w:leader="dot" w:pos="9060"/>
        </w:tabs>
        <w:rPr>
          <w:rFonts w:asciiTheme="minorHAnsi" w:eastAsiaTheme="minorEastAsia" w:hAnsiTheme="minorHAnsi" w:cstheme="minorBidi"/>
          <w:noProof/>
          <w:lang w:eastAsia="cs-CZ"/>
        </w:rPr>
      </w:pPr>
      <w:hyperlink w:anchor="_Toc114572335" w:history="1">
        <w:r w:rsidR="00833870" w:rsidRPr="00441FBA">
          <w:rPr>
            <w:rStyle w:val="Hypertextovodkaz"/>
            <w:noProof/>
          </w:rPr>
          <w:t>4.5</w:t>
        </w:r>
        <w:r w:rsidR="00833870">
          <w:rPr>
            <w:rFonts w:asciiTheme="minorHAnsi" w:eastAsiaTheme="minorEastAsia" w:hAnsiTheme="minorHAnsi" w:cstheme="minorBidi"/>
            <w:noProof/>
            <w:lang w:eastAsia="cs-CZ"/>
          </w:rPr>
          <w:tab/>
        </w:r>
        <w:r w:rsidR="00833870" w:rsidRPr="00441FBA">
          <w:rPr>
            <w:rStyle w:val="Hypertextovodkaz"/>
            <w:noProof/>
          </w:rPr>
          <w:t>Závěr</w:t>
        </w:r>
        <w:r w:rsidR="00833870">
          <w:rPr>
            <w:noProof/>
            <w:webHidden/>
          </w:rPr>
          <w:tab/>
        </w:r>
        <w:r w:rsidR="00833870">
          <w:rPr>
            <w:noProof/>
            <w:webHidden/>
          </w:rPr>
          <w:fldChar w:fldCharType="begin"/>
        </w:r>
        <w:r w:rsidR="00833870">
          <w:rPr>
            <w:noProof/>
            <w:webHidden/>
          </w:rPr>
          <w:instrText xml:space="preserve"> PAGEREF _Toc114572335 \h </w:instrText>
        </w:r>
        <w:r w:rsidR="00833870">
          <w:rPr>
            <w:noProof/>
            <w:webHidden/>
          </w:rPr>
        </w:r>
        <w:r w:rsidR="00833870">
          <w:rPr>
            <w:noProof/>
            <w:webHidden/>
          </w:rPr>
          <w:fldChar w:fldCharType="separate"/>
        </w:r>
        <w:r w:rsidR="00DF283C">
          <w:rPr>
            <w:noProof/>
            <w:webHidden/>
          </w:rPr>
          <w:t>31</w:t>
        </w:r>
        <w:r w:rsidR="00833870">
          <w:rPr>
            <w:noProof/>
            <w:webHidden/>
          </w:rPr>
          <w:fldChar w:fldCharType="end"/>
        </w:r>
      </w:hyperlink>
    </w:p>
    <w:p w14:paraId="36A7C392" w14:textId="3115F490" w:rsidR="00833870" w:rsidRDefault="00FA7752">
      <w:pPr>
        <w:pStyle w:val="Obsah1"/>
        <w:rPr>
          <w:rFonts w:asciiTheme="minorHAnsi" w:eastAsiaTheme="minorEastAsia" w:hAnsiTheme="minorHAnsi" w:cstheme="minorBidi"/>
          <w:b w:val="0"/>
          <w:noProof/>
          <w:lang w:eastAsia="cs-CZ"/>
        </w:rPr>
      </w:pPr>
      <w:hyperlink w:anchor="_Toc114572336" w:history="1">
        <w:r w:rsidR="00833870" w:rsidRPr="00441FBA">
          <w:rPr>
            <w:rStyle w:val="Hypertextovodkaz"/>
            <w:noProof/>
            <w:lang w:eastAsia="cs-CZ"/>
          </w:rPr>
          <w:t>5</w:t>
        </w:r>
        <w:r w:rsidR="00833870">
          <w:rPr>
            <w:rFonts w:asciiTheme="minorHAnsi" w:eastAsiaTheme="minorEastAsia" w:hAnsiTheme="minorHAnsi" w:cstheme="minorBidi"/>
            <w:b w:val="0"/>
            <w:noProof/>
            <w:lang w:eastAsia="cs-CZ"/>
          </w:rPr>
          <w:tab/>
        </w:r>
        <w:r w:rsidR="00833870" w:rsidRPr="00441FBA">
          <w:rPr>
            <w:rStyle w:val="Hypertextovodkaz"/>
            <w:noProof/>
          </w:rPr>
          <w:t>Synergie evropských</w:t>
        </w:r>
        <w:r w:rsidR="009B66B5">
          <w:rPr>
            <w:rStyle w:val="Hypertextovodkaz"/>
            <w:noProof/>
          </w:rPr>
          <w:t xml:space="preserve"> a </w:t>
        </w:r>
        <w:r w:rsidR="00833870" w:rsidRPr="00441FBA">
          <w:rPr>
            <w:rStyle w:val="Hypertextovodkaz"/>
            <w:noProof/>
          </w:rPr>
          <w:t>národních nástrojů podpory</w:t>
        </w:r>
        <w:r w:rsidR="00833870">
          <w:rPr>
            <w:noProof/>
            <w:webHidden/>
          </w:rPr>
          <w:tab/>
        </w:r>
        <w:r w:rsidR="00833870">
          <w:rPr>
            <w:noProof/>
            <w:webHidden/>
          </w:rPr>
          <w:fldChar w:fldCharType="begin"/>
        </w:r>
        <w:r w:rsidR="00833870">
          <w:rPr>
            <w:noProof/>
            <w:webHidden/>
          </w:rPr>
          <w:instrText xml:space="preserve"> PAGEREF _Toc114572336 \h </w:instrText>
        </w:r>
        <w:r w:rsidR="00833870">
          <w:rPr>
            <w:noProof/>
            <w:webHidden/>
          </w:rPr>
        </w:r>
        <w:r w:rsidR="00833870">
          <w:rPr>
            <w:noProof/>
            <w:webHidden/>
          </w:rPr>
          <w:fldChar w:fldCharType="separate"/>
        </w:r>
        <w:r w:rsidR="00DF283C">
          <w:rPr>
            <w:noProof/>
            <w:webHidden/>
          </w:rPr>
          <w:t>32</w:t>
        </w:r>
        <w:r w:rsidR="00833870">
          <w:rPr>
            <w:noProof/>
            <w:webHidden/>
          </w:rPr>
          <w:fldChar w:fldCharType="end"/>
        </w:r>
      </w:hyperlink>
    </w:p>
    <w:p w14:paraId="5D0677BA" w14:textId="66A9905A" w:rsidR="00833870" w:rsidRDefault="00FA7752">
      <w:pPr>
        <w:pStyle w:val="Obsah2"/>
        <w:tabs>
          <w:tab w:val="left" w:pos="880"/>
          <w:tab w:val="right" w:leader="dot" w:pos="9060"/>
        </w:tabs>
        <w:rPr>
          <w:rFonts w:asciiTheme="minorHAnsi" w:eastAsiaTheme="minorEastAsia" w:hAnsiTheme="minorHAnsi" w:cstheme="minorBidi"/>
          <w:noProof/>
          <w:lang w:eastAsia="cs-CZ"/>
        </w:rPr>
      </w:pPr>
      <w:hyperlink w:anchor="_Toc114572337" w:history="1">
        <w:r w:rsidR="00833870" w:rsidRPr="00441FBA">
          <w:rPr>
            <w:rStyle w:val="Hypertextovodkaz"/>
            <w:noProof/>
          </w:rPr>
          <w:t>5.1</w:t>
        </w:r>
        <w:r w:rsidR="00833870">
          <w:rPr>
            <w:rFonts w:asciiTheme="minorHAnsi" w:eastAsiaTheme="minorEastAsia" w:hAnsiTheme="minorHAnsi" w:cstheme="minorBidi"/>
            <w:noProof/>
            <w:lang w:eastAsia="cs-CZ"/>
          </w:rPr>
          <w:tab/>
        </w:r>
        <w:r w:rsidR="00833870" w:rsidRPr="00441FBA">
          <w:rPr>
            <w:rStyle w:val="Hypertextovodkaz"/>
            <w:noProof/>
          </w:rPr>
          <w:t>Podpora synergií</w:t>
        </w:r>
        <w:r w:rsidR="009B66B5">
          <w:rPr>
            <w:rStyle w:val="Hypertextovodkaz"/>
            <w:noProof/>
          </w:rPr>
          <w:t xml:space="preserve"> v </w:t>
        </w:r>
        <w:r w:rsidR="00833870" w:rsidRPr="00441FBA">
          <w:rPr>
            <w:rStyle w:val="Hypertextovodkaz"/>
            <w:noProof/>
          </w:rPr>
          <w:t>oblasti VaVaI</w:t>
        </w:r>
        <w:r w:rsidR="00833870">
          <w:rPr>
            <w:noProof/>
            <w:webHidden/>
          </w:rPr>
          <w:tab/>
        </w:r>
        <w:r w:rsidR="00833870">
          <w:rPr>
            <w:noProof/>
            <w:webHidden/>
          </w:rPr>
          <w:fldChar w:fldCharType="begin"/>
        </w:r>
        <w:r w:rsidR="00833870">
          <w:rPr>
            <w:noProof/>
            <w:webHidden/>
          </w:rPr>
          <w:instrText xml:space="preserve"> PAGEREF _Toc114572337 \h </w:instrText>
        </w:r>
        <w:r w:rsidR="00833870">
          <w:rPr>
            <w:noProof/>
            <w:webHidden/>
          </w:rPr>
        </w:r>
        <w:r w:rsidR="00833870">
          <w:rPr>
            <w:noProof/>
            <w:webHidden/>
          </w:rPr>
          <w:fldChar w:fldCharType="separate"/>
        </w:r>
        <w:r w:rsidR="00DF283C">
          <w:rPr>
            <w:noProof/>
            <w:webHidden/>
          </w:rPr>
          <w:t>32</w:t>
        </w:r>
        <w:r w:rsidR="00833870">
          <w:rPr>
            <w:noProof/>
            <w:webHidden/>
          </w:rPr>
          <w:fldChar w:fldCharType="end"/>
        </w:r>
      </w:hyperlink>
    </w:p>
    <w:p w14:paraId="5C2C038B" w14:textId="213CF5B4" w:rsidR="00833870" w:rsidRDefault="00FA7752">
      <w:pPr>
        <w:pStyle w:val="Obsah2"/>
        <w:tabs>
          <w:tab w:val="left" w:pos="880"/>
          <w:tab w:val="right" w:leader="dot" w:pos="9060"/>
        </w:tabs>
        <w:rPr>
          <w:rFonts w:asciiTheme="minorHAnsi" w:eastAsiaTheme="minorEastAsia" w:hAnsiTheme="minorHAnsi" w:cstheme="minorBidi"/>
          <w:noProof/>
          <w:lang w:eastAsia="cs-CZ"/>
        </w:rPr>
      </w:pPr>
      <w:hyperlink w:anchor="_Toc114572338" w:history="1">
        <w:r w:rsidR="00833870" w:rsidRPr="00441FBA">
          <w:rPr>
            <w:rStyle w:val="Hypertextovodkaz"/>
            <w:noProof/>
          </w:rPr>
          <w:t>5.2</w:t>
        </w:r>
        <w:r w:rsidR="00833870">
          <w:rPr>
            <w:rFonts w:asciiTheme="minorHAnsi" w:eastAsiaTheme="minorEastAsia" w:hAnsiTheme="minorHAnsi" w:cstheme="minorBidi"/>
            <w:noProof/>
            <w:lang w:eastAsia="cs-CZ"/>
          </w:rPr>
          <w:tab/>
        </w:r>
        <w:r w:rsidR="00833870" w:rsidRPr="00441FBA">
          <w:rPr>
            <w:rStyle w:val="Hypertextovodkaz"/>
            <w:noProof/>
          </w:rPr>
          <w:t>Typy synergií</w:t>
        </w:r>
        <w:r w:rsidR="009B66B5">
          <w:rPr>
            <w:rStyle w:val="Hypertextovodkaz"/>
            <w:noProof/>
          </w:rPr>
          <w:t xml:space="preserve"> a </w:t>
        </w:r>
        <w:r w:rsidR="00833870" w:rsidRPr="00441FBA">
          <w:rPr>
            <w:rStyle w:val="Hypertextovodkaz"/>
            <w:noProof/>
          </w:rPr>
          <w:t>zkušenosti ČR</w:t>
        </w:r>
        <w:r w:rsidR="00833870">
          <w:rPr>
            <w:noProof/>
            <w:webHidden/>
          </w:rPr>
          <w:tab/>
        </w:r>
        <w:r w:rsidR="00833870">
          <w:rPr>
            <w:noProof/>
            <w:webHidden/>
          </w:rPr>
          <w:fldChar w:fldCharType="begin"/>
        </w:r>
        <w:r w:rsidR="00833870">
          <w:rPr>
            <w:noProof/>
            <w:webHidden/>
          </w:rPr>
          <w:instrText xml:space="preserve"> PAGEREF _Toc114572338 \h </w:instrText>
        </w:r>
        <w:r w:rsidR="00833870">
          <w:rPr>
            <w:noProof/>
            <w:webHidden/>
          </w:rPr>
        </w:r>
        <w:r w:rsidR="00833870">
          <w:rPr>
            <w:noProof/>
            <w:webHidden/>
          </w:rPr>
          <w:fldChar w:fldCharType="separate"/>
        </w:r>
        <w:r w:rsidR="00DF283C">
          <w:rPr>
            <w:noProof/>
            <w:webHidden/>
          </w:rPr>
          <w:t>34</w:t>
        </w:r>
        <w:r w:rsidR="00833870">
          <w:rPr>
            <w:noProof/>
            <w:webHidden/>
          </w:rPr>
          <w:fldChar w:fldCharType="end"/>
        </w:r>
      </w:hyperlink>
    </w:p>
    <w:p w14:paraId="1F90D7B2" w14:textId="6E9ED463" w:rsidR="00833870" w:rsidRDefault="00FA7752">
      <w:pPr>
        <w:pStyle w:val="Obsah3"/>
        <w:tabs>
          <w:tab w:val="left" w:pos="1100"/>
          <w:tab w:val="right" w:leader="dot" w:pos="9060"/>
        </w:tabs>
        <w:rPr>
          <w:rFonts w:asciiTheme="minorHAnsi" w:eastAsiaTheme="minorEastAsia" w:hAnsiTheme="minorHAnsi" w:cstheme="minorBidi"/>
          <w:noProof/>
          <w:sz w:val="22"/>
          <w:lang w:eastAsia="cs-CZ"/>
        </w:rPr>
      </w:pPr>
      <w:hyperlink w:anchor="_Toc114572339" w:history="1">
        <w:r w:rsidR="00833870" w:rsidRPr="00441FBA">
          <w:rPr>
            <w:rStyle w:val="Hypertextovodkaz"/>
            <w:noProof/>
          </w:rPr>
          <w:t>5.2.1</w:t>
        </w:r>
        <w:r w:rsidR="00833870">
          <w:rPr>
            <w:rFonts w:asciiTheme="minorHAnsi" w:eastAsiaTheme="minorEastAsia" w:hAnsiTheme="minorHAnsi" w:cstheme="minorBidi"/>
            <w:noProof/>
            <w:sz w:val="22"/>
            <w:lang w:eastAsia="cs-CZ"/>
          </w:rPr>
          <w:tab/>
        </w:r>
        <w:r w:rsidR="00833870" w:rsidRPr="00441FBA">
          <w:rPr>
            <w:rStyle w:val="Hypertextovodkaz"/>
            <w:noProof/>
          </w:rPr>
          <w:t>Pečeť excelence (Seal of Excellence)</w:t>
        </w:r>
        <w:r w:rsidR="00833870">
          <w:rPr>
            <w:noProof/>
            <w:webHidden/>
          </w:rPr>
          <w:tab/>
        </w:r>
        <w:r w:rsidR="00833870">
          <w:rPr>
            <w:noProof/>
            <w:webHidden/>
          </w:rPr>
          <w:fldChar w:fldCharType="begin"/>
        </w:r>
        <w:r w:rsidR="00833870">
          <w:rPr>
            <w:noProof/>
            <w:webHidden/>
          </w:rPr>
          <w:instrText xml:space="preserve"> PAGEREF _Toc114572339 \h </w:instrText>
        </w:r>
        <w:r w:rsidR="00833870">
          <w:rPr>
            <w:noProof/>
            <w:webHidden/>
          </w:rPr>
        </w:r>
        <w:r w:rsidR="00833870">
          <w:rPr>
            <w:noProof/>
            <w:webHidden/>
          </w:rPr>
          <w:fldChar w:fldCharType="separate"/>
        </w:r>
        <w:r w:rsidR="00DF283C">
          <w:rPr>
            <w:noProof/>
            <w:webHidden/>
          </w:rPr>
          <w:t>34</w:t>
        </w:r>
        <w:r w:rsidR="00833870">
          <w:rPr>
            <w:noProof/>
            <w:webHidden/>
          </w:rPr>
          <w:fldChar w:fldCharType="end"/>
        </w:r>
      </w:hyperlink>
    </w:p>
    <w:p w14:paraId="12AF863B" w14:textId="40422177" w:rsidR="00833870" w:rsidRDefault="00FA7752">
      <w:pPr>
        <w:pStyle w:val="Obsah3"/>
        <w:tabs>
          <w:tab w:val="left" w:pos="1100"/>
          <w:tab w:val="right" w:leader="dot" w:pos="9060"/>
        </w:tabs>
        <w:rPr>
          <w:rFonts w:asciiTheme="minorHAnsi" w:eastAsiaTheme="minorEastAsia" w:hAnsiTheme="minorHAnsi" w:cstheme="minorBidi"/>
          <w:noProof/>
          <w:sz w:val="22"/>
          <w:lang w:eastAsia="cs-CZ"/>
        </w:rPr>
      </w:pPr>
      <w:hyperlink w:anchor="_Toc114572340" w:history="1">
        <w:r w:rsidR="00833870" w:rsidRPr="00441FBA">
          <w:rPr>
            <w:rStyle w:val="Hypertextovodkaz"/>
            <w:noProof/>
          </w:rPr>
          <w:t>5.2.2</w:t>
        </w:r>
        <w:r w:rsidR="00833870">
          <w:rPr>
            <w:rFonts w:asciiTheme="minorHAnsi" w:eastAsiaTheme="minorEastAsia" w:hAnsiTheme="minorHAnsi" w:cstheme="minorBidi"/>
            <w:noProof/>
            <w:sz w:val="22"/>
            <w:lang w:eastAsia="cs-CZ"/>
          </w:rPr>
          <w:tab/>
        </w:r>
        <w:r w:rsidR="00833870" w:rsidRPr="00441FBA">
          <w:rPr>
            <w:rStyle w:val="Hypertextovodkaz"/>
            <w:noProof/>
          </w:rPr>
          <w:t>Transfery</w:t>
        </w:r>
        <w:r w:rsidR="00833870">
          <w:rPr>
            <w:noProof/>
            <w:webHidden/>
          </w:rPr>
          <w:tab/>
        </w:r>
        <w:r w:rsidR="00833870">
          <w:rPr>
            <w:noProof/>
            <w:webHidden/>
          </w:rPr>
          <w:fldChar w:fldCharType="begin"/>
        </w:r>
        <w:r w:rsidR="00833870">
          <w:rPr>
            <w:noProof/>
            <w:webHidden/>
          </w:rPr>
          <w:instrText xml:space="preserve"> PAGEREF _Toc114572340 \h </w:instrText>
        </w:r>
        <w:r w:rsidR="00833870">
          <w:rPr>
            <w:noProof/>
            <w:webHidden/>
          </w:rPr>
        </w:r>
        <w:r w:rsidR="00833870">
          <w:rPr>
            <w:noProof/>
            <w:webHidden/>
          </w:rPr>
          <w:fldChar w:fldCharType="separate"/>
        </w:r>
        <w:r w:rsidR="00DF283C">
          <w:rPr>
            <w:noProof/>
            <w:webHidden/>
          </w:rPr>
          <w:t>36</w:t>
        </w:r>
        <w:r w:rsidR="00833870">
          <w:rPr>
            <w:noProof/>
            <w:webHidden/>
          </w:rPr>
          <w:fldChar w:fldCharType="end"/>
        </w:r>
      </w:hyperlink>
    </w:p>
    <w:p w14:paraId="72BD529B" w14:textId="6A92BDD1" w:rsidR="00833870" w:rsidRDefault="00FA7752">
      <w:pPr>
        <w:pStyle w:val="Obsah3"/>
        <w:tabs>
          <w:tab w:val="left" w:pos="1100"/>
          <w:tab w:val="right" w:leader="dot" w:pos="9060"/>
        </w:tabs>
        <w:rPr>
          <w:rFonts w:asciiTheme="minorHAnsi" w:eastAsiaTheme="minorEastAsia" w:hAnsiTheme="minorHAnsi" w:cstheme="minorBidi"/>
          <w:noProof/>
          <w:sz w:val="22"/>
          <w:lang w:eastAsia="cs-CZ"/>
        </w:rPr>
      </w:pPr>
      <w:hyperlink w:anchor="_Toc114572341" w:history="1">
        <w:r w:rsidR="00833870" w:rsidRPr="00441FBA">
          <w:rPr>
            <w:rStyle w:val="Hypertextovodkaz"/>
            <w:noProof/>
          </w:rPr>
          <w:t>5.2.3</w:t>
        </w:r>
        <w:r w:rsidR="00833870">
          <w:rPr>
            <w:rFonts w:asciiTheme="minorHAnsi" w:eastAsiaTheme="minorEastAsia" w:hAnsiTheme="minorHAnsi" w:cstheme="minorBidi"/>
            <w:noProof/>
            <w:sz w:val="22"/>
            <w:lang w:eastAsia="cs-CZ"/>
          </w:rPr>
          <w:tab/>
        </w:r>
        <w:r w:rsidR="00833870" w:rsidRPr="00441FBA">
          <w:rPr>
            <w:rStyle w:val="Hypertextovodkaz"/>
            <w:noProof/>
          </w:rPr>
          <w:t>Kumulativní financování</w:t>
        </w:r>
        <w:r w:rsidR="00833870">
          <w:rPr>
            <w:noProof/>
            <w:webHidden/>
          </w:rPr>
          <w:tab/>
        </w:r>
        <w:r w:rsidR="00833870">
          <w:rPr>
            <w:noProof/>
            <w:webHidden/>
          </w:rPr>
          <w:fldChar w:fldCharType="begin"/>
        </w:r>
        <w:r w:rsidR="00833870">
          <w:rPr>
            <w:noProof/>
            <w:webHidden/>
          </w:rPr>
          <w:instrText xml:space="preserve"> PAGEREF _Toc114572341 \h </w:instrText>
        </w:r>
        <w:r w:rsidR="00833870">
          <w:rPr>
            <w:noProof/>
            <w:webHidden/>
          </w:rPr>
        </w:r>
        <w:r w:rsidR="00833870">
          <w:rPr>
            <w:noProof/>
            <w:webHidden/>
          </w:rPr>
          <w:fldChar w:fldCharType="separate"/>
        </w:r>
        <w:r w:rsidR="00DF283C">
          <w:rPr>
            <w:noProof/>
            <w:webHidden/>
          </w:rPr>
          <w:t>37</w:t>
        </w:r>
        <w:r w:rsidR="00833870">
          <w:rPr>
            <w:noProof/>
            <w:webHidden/>
          </w:rPr>
          <w:fldChar w:fldCharType="end"/>
        </w:r>
      </w:hyperlink>
    </w:p>
    <w:p w14:paraId="641707F5" w14:textId="4642F9C9" w:rsidR="00833870" w:rsidRDefault="00FA7752">
      <w:pPr>
        <w:pStyle w:val="Obsah3"/>
        <w:tabs>
          <w:tab w:val="left" w:pos="1100"/>
          <w:tab w:val="right" w:leader="dot" w:pos="9060"/>
        </w:tabs>
        <w:rPr>
          <w:rFonts w:asciiTheme="minorHAnsi" w:eastAsiaTheme="minorEastAsia" w:hAnsiTheme="minorHAnsi" w:cstheme="minorBidi"/>
          <w:noProof/>
          <w:sz w:val="22"/>
          <w:lang w:eastAsia="cs-CZ"/>
        </w:rPr>
      </w:pPr>
      <w:hyperlink w:anchor="_Toc114572342" w:history="1">
        <w:r w:rsidR="00833870" w:rsidRPr="00441FBA">
          <w:rPr>
            <w:rStyle w:val="Hypertextovodkaz"/>
            <w:noProof/>
          </w:rPr>
          <w:t>5.2.4</w:t>
        </w:r>
        <w:r w:rsidR="00833870">
          <w:rPr>
            <w:rFonts w:asciiTheme="minorHAnsi" w:eastAsiaTheme="minorEastAsia" w:hAnsiTheme="minorHAnsi" w:cstheme="minorBidi"/>
            <w:noProof/>
            <w:sz w:val="22"/>
            <w:lang w:eastAsia="cs-CZ"/>
          </w:rPr>
          <w:tab/>
        </w:r>
        <w:r w:rsidR="00833870" w:rsidRPr="00441FBA">
          <w:rPr>
            <w:rStyle w:val="Hypertextovodkaz"/>
            <w:noProof/>
          </w:rPr>
          <w:t>Evropská partnerství</w:t>
        </w:r>
        <w:r w:rsidR="00833870">
          <w:rPr>
            <w:noProof/>
            <w:webHidden/>
          </w:rPr>
          <w:tab/>
        </w:r>
        <w:r w:rsidR="00833870">
          <w:rPr>
            <w:noProof/>
            <w:webHidden/>
          </w:rPr>
          <w:fldChar w:fldCharType="begin"/>
        </w:r>
        <w:r w:rsidR="00833870">
          <w:rPr>
            <w:noProof/>
            <w:webHidden/>
          </w:rPr>
          <w:instrText xml:space="preserve"> PAGEREF _Toc114572342 \h </w:instrText>
        </w:r>
        <w:r w:rsidR="00833870">
          <w:rPr>
            <w:noProof/>
            <w:webHidden/>
          </w:rPr>
        </w:r>
        <w:r w:rsidR="00833870">
          <w:rPr>
            <w:noProof/>
            <w:webHidden/>
          </w:rPr>
          <w:fldChar w:fldCharType="separate"/>
        </w:r>
        <w:r w:rsidR="00DF283C">
          <w:rPr>
            <w:noProof/>
            <w:webHidden/>
          </w:rPr>
          <w:t>38</w:t>
        </w:r>
        <w:r w:rsidR="00833870">
          <w:rPr>
            <w:noProof/>
            <w:webHidden/>
          </w:rPr>
          <w:fldChar w:fldCharType="end"/>
        </w:r>
      </w:hyperlink>
    </w:p>
    <w:p w14:paraId="62992163" w14:textId="0A3AACA5" w:rsidR="00833870" w:rsidRDefault="00FA7752">
      <w:pPr>
        <w:pStyle w:val="Obsah3"/>
        <w:tabs>
          <w:tab w:val="left" w:pos="1100"/>
          <w:tab w:val="right" w:leader="dot" w:pos="9060"/>
        </w:tabs>
        <w:rPr>
          <w:rFonts w:asciiTheme="minorHAnsi" w:eastAsiaTheme="minorEastAsia" w:hAnsiTheme="minorHAnsi" w:cstheme="minorBidi"/>
          <w:noProof/>
          <w:sz w:val="22"/>
          <w:lang w:eastAsia="cs-CZ"/>
        </w:rPr>
      </w:pPr>
      <w:hyperlink w:anchor="_Toc114572343" w:history="1">
        <w:r w:rsidR="00833870" w:rsidRPr="00441FBA">
          <w:rPr>
            <w:rStyle w:val="Hypertextovodkaz"/>
            <w:noProof/>
          </w:rPr>
          <w:t>5.2.5</w:t>
        </w:r>
        <w:r w:rsidR="00833870">
          <w:rPr>
            <w:rFonts w:asciiTheme="minorHAnsi" w:eastAsiaTheme="minorEastAsia" w:hAnsiTheme="minorHAnsi" w:cstheme="minorBidi"/>
            <w:noProof/>
            <w:sz w:val="22"/>
            <w:lang w:eastAsia="cs-CZ"/>
          </w:rPr>
          <w:tab/>
        </w:r>
        <w:r w:rsidR="00833870" w:rsidRPr="00441FBA">
          <w:rPr>
            <w:rStyle w:val="Hypertextovodkaz"/>
            <w:noProof/>
          </w:rPr>
          <w:t>Kombinované financování (Teaming)</w:t>
        </w:r>
        <w:r w:rsidR="00833870">
          <w:rPr>
            <w:noProof/>
            <w:webHidden/>
          </w:rPr>
          <w:tab/>
        </w:r>
        <w:r w:rsidR="00833870">
          <w:rPr>
            <w:noProof/>
            <w:webHidden/>
          </w:rPr>
          <w:fldChar w:fldCharType="begin"/>
        </w:r>
        <w:r w:rsidR="00833870">
          <w:rPr>
            <w:noProof/>
            <w:webHidden/>
          </w:rPr>
          <w:instrText xml:space="preserve"> PAGEREF _Toc114572343 \h </w:instrText>
        </w:r>
        <w:r w:rsidR="00833870">
          <w:rPr>
            <w:noProof/>
            <w:webHidden/>
          </w:rPr>
        </w:r>
        <w:r w:rsidR="00833870">
          <w:rPr>
            <w:noProof/>
            <w:webHidden/>
          </w:rPr>
          <w:fldChar w:fldCharType="separate"/>
        </w:r>
        <w:r w:rsidR="00DF283C">
          <w:rPr>
            <w:noProof/>
            <w:webHidden/>
          </w:rPr>
          <w:t>38</w:t>
        </w:r>
        <w:r w:rsidR="00833870">
          <w:rPr>
            <w:noProof/>
            <w:webHidden/>
          </w:rPr>
          <w:fldChar w:fldCharType="end"/>
        </w:r>
      </w:hyperlink>
    </w:p>
    <w:p w14:paraId="27A2B593" w14:textId="4F78EDFE" w:rsidR="00833870" w:rsidRDefault="00FA7752">
      <w:pPr>
        <w:pStyle w:val="Obsah3"/>
        <w:tabs>
          <w:tab w:val="left" w:pos="1100"/>
          <w:tab w:val="right" w:leader="dot" w:pos="9060"/>
        </w:tabs>
        <w:rPr>
          <w:rFonts w:asciiTheme="minorHAnsi" w:eastAsiaTheme="minorEastAsia" w:hAnsiTheme="minorHAnsi" w:cstheme="minorBidi"/>
          <w:noProof/>
          <w:sz w:val="22"/>
          <w:lang w:eastAsia="cs-CZ"/>
        </w:rPr>
      </w:pPr>
      <w:hyperlink w:anchor="_Toc114572344" w:history="1">
        <w:r w:rsidR="00833870" w:rsidRPr="00441FBA">
          <w:rPr>
            <w:rStyle w:val="Hypertextovodkaz"/>
            <w:noProof/>
          </w:rPr>
          <w:t>5.2.6</w:t>
        </w:r>
        <w:r w:rsidR="00833870">
          <w:rPr>
            <w:rFonts w:asciiTheme="minorHAnsi" w:eastAsiaTheme="minorEastAsia" w:hAnsiTheme="minorHAnsi" w:cstheme="minorBidi"/>
            <w:noProof/>
            <w:sz w:val="22"/>
            <w:lang w:eastAsia="cs-CZ"/>
          </w:rPr>
          <w:tab/>
        </w:r>
        <w:r w:rsidR="00833870" w:rsidRPr="00441FBA">
          <w:rPr>
            <w:rStyle w:val="Hypertextovodkaz"/>
            <w:noProof/>
          </w:rPr>
          <w:t>Upstream</w:t>
        </w:r>
        <w:r w:rsidR="009B66B5">
          <w:rPr>
            <w:rStyle w:val="Hypertextovodkaz"/>
            <w:noProof/>
          </w:rPr>
          <w:t xml:space="preserve"> a </w:t>
        </w:r>
        <w:r w:rsidR="00833870" w:rsidRPr="00441FBA">
          <w:rPr>
            <w:rStyle w:val="Hypertextovodkaz"/>
            <w:noProof/>
          </w:rPr>
          <w:t>downstream synergie</w:t>
        </w:r>
        <w:r w:rsidR="00833870">
          <w:rPr>
            <w:noProof/>
            <w:webHidden/>
          </w:rPr>
          <w:tab/>
        </w:r>
        <w:r w:rsidR="00833870">
          <w:rPr>
            <w:noProof/>
            <w:webHidden/>
          </w:rPr>
          <w:fldChar w:fldCharType="begin"/>
        </w:r>
        <w:r w:rsidR="00833870">
          <w:rPr>
            <w:noProof/>
            <w:webHidden/>
          </w:rPr>
          <w:instrText xml:space="preserve"> PAGEREF _Toc114572344 \h </w:instrText>
        </w:r>
        <w:r w:rsidR="00833870">
          <w:rPr>
            <w:noProof/>
            <w:webHidden/>
          </w:rPr>
        </w:r>
        <w:r w:rsidR="00833870">
          <w:rPr>
            <w:noProof/>
            <w:webHidden/>
          </w:rPr>
          <w:fldChar w:fldCharType="separate"/>
        </w:r>
        <w:r w:rsidR="00DF283C">
          <w:rPr>
            <w:noProof/>
            <w:webHidden/>
          </w:rPr>
          <w:t>39</w:t>
        </w:r>
        <w:r w:rsidR="00833870">
          <w:rPr>
            <w:noProof/>
            <w:webHidden/>
          </w:rPr>
          <w:fldChar w:fldCharType="end"/>
        </w:r>
      </w:hyperlink>
    </w:p>
    <w:p w14:paraId="281C7D61" w14:textId="2A9AA44C" w:rsidR="00833870" w:rsidRDefault="00FA7752">
      <w:pPr>
        <w:pStyle w:val="Obsah3"/>
        <w:tabs>
          <w:tab w:val="left" w:pos="1100"/>
          <w:tab w:val="right" w:leader="dot" w:pos="9060"/>
        </w:tabs>
        <w:rPr>
          <w:rFonts w:asciiTheme="minorHAnsi" w:eastAsiaTheme="minorEastAsia" w:hAnsiTheme="minorHAnsi" w:cstheme="minorBidi"/>
          <w:noProof/>
          <w:sz w:val="22"/>
          <w:lang w:eastAsia="cs-CZ"/>
        </w:rPr>
      </w:pPr>
      <w:hyperlink w:anchor="_Toc114572345" w:history="1">
        <w:r w:rsidR="00833870" w:rsidRPr="00441FBA">
          <w:rPr>
            <w:rStyle w:val="Hypertextovodkaz"/>
            <w:noProof/>
          </w:rPr>
          <w:t>5.2.7</w:t>
        </w:r>
        <w:r w:rsidR="00833870">
          <w:rPr>
            <w:rFonts w:asciiTheme="minorHAnsi" w:eastAsiaTheme="minorEastAsia" w:hAnsiTheme="minorHAnsi" w:cstheme="minorBidi"/>
            <w:noProof/>
            <w:sz w:val="22"/>
            <w:lang w:eastAsia="cs-CZ"/>
          </w:rPr>
          <w:tab/>
        </w:r>
        <w:r w:rsidR="00833870" w:rsidRPr="00441FBA">
          <w:rPr>
            <w:rStyle w:val="Hypertextovodkaz"/>
            <w:noProof/>
          </w:rPr>
          <w:t>Mise</w:t>
        </w:r>
        <w:r w:rsidR="00833870">
          <w:rPr>
            <w:noProof/>
            <w:webHidden/>
          </w:rPr>
          <w:tab/>
        </w:r>
        <w:r w:rsidR="00833870">
          <w:rPr>
            <w:noProof/>
            <w:webHidden/>
          </w:rPr>
          <w:fldChar w:fldCharType="begin"/>
        </w:r>
        <w:r w:rsidR="00833870">
          <w:rPr>
            <w:noProof/>
            <w:webHidden/>
          </w:rPr>
          <w:instrText xml:space="preserve"> PAGEREF _Toc114572345 \h </w:instrText>
        </w:r>
        <w:r w:rsidR="00833870">
          <w:rPr>
            <w:noProof/>
            <w:webHidden/>
          </w:rPr>
        </w:r>
        <w:r w:rsidR="00833870">
          <w:rPr>
            <w:noProof/>
            <w:webHidden/>
          </w:rPr>
          <w:fldChar w:fldCharType="separate"/>
        </w:r>
        <w:r w:rsidR="00DF283C">
          <w:rPr>
            <w:noProof/>
            <w:webHidden/>
          </w:rPr>
          <w:t>40</w:t>
        </w:r>
        <w:r w:rsidR="00833870">
          <w:rPr>
            <w:noProof/>
            <w:webHidden/>
          </w:rPr>
          <w:fldChar w:fldCharType="end"/>
        </w:r>
      </w:hyperlink>
    </w:p>
    <w:p w14:paraId="6802B5D2" w14:textId="23E22044" w:rsidR="00833870" w:rsidRDefault="00FA7752">
      <w:pPr>
        <w:pStyle w:val="Obsah3"/>
        <w:tabs>
          <w:tab w:val="left" w:pos="1100"/>
          <w:tab w:val="right" w:leader="dot" w:pos="9060"/>
        </w:tabs>
        <w:rPr>
          <w:rFonts w:asciiTheme="minorHAnsi" w:eastAsiaTheme="minorEastAsia" w:hAnsiTheme="minorHAnsi" w:cstheme="minorBidi"/>
          <w:noProof/>
          <w:sz w:val="22"/>
          <w:lang w:eastAsia="cs-CZ"/>
        </w:rPr>
      </w:pPr>
      <w:hyperlink w:anchor="_Toc114572346" w:history="1">
        <w:r w:rsidR="00833870" w:rsidRPr="00441FBA">
          <w:rPr>
            <w:rStyle w:val="Hypertextovodkaz"/>
            <w:noProof/>
          </w:rPr>
          <w:t>5.2.8</w:t>
        </w:r>
        <w:r w:rsidR="00833870">
          <w:rPr>
            <w:rFonts w:asciiTheme="minorHAnsi" w:eastAsiaTheme="minorEastAsia" w:hAnsiTheme="minorHAnsi" w:cstheme="minorBidi"/>
            <w:noProof/>
            <w:sz w:val="22"/>
            <w:lang w:eastAsia="cs-CZ"/>
          </w:rPr>
          <w:tab/>
        </w:r>
        <w:r w:rsidR="00833870" w:rsidRPr="00441FBA">
          <w:rPr>
            <w:rStyle w:val="Hypertextovodkaz"/>
            <w:noProof/>
          </w:rPr>
          <w:t>Proof of Concept</w:t>
        </w:r>
        <w:r w:rsidR="00833870">
          <w:rPr>
            <w:noProof/>
            <w:webHidden/>
          </w:rPr>
          <w:tab/>
        </w:r>
        <w:r w:rsidR="00833870">
          <w:rPr>
            <w:noProof/>
            <w:webHidden/>
          </w:rPr>
          <w:fldChar w:fldCharType="begin"/>
        </w:r>
        <w:r w:rsidR="00833870">
          <w:rPr>
            <w:noProof/>
            <w:webHidden/>
          </w:rPr>
          <w:instrText xml:space="preserve"> PAGEREF _Toc114572346 \h </w:instrText>
        </w:r>
        <w:r w:rsidR="00833870">
          <w:rPr>
            <w:noProof/>
            <w:webHidden/>
          </w:rPr>
        </w:r>
        <w:r w:rsidR="00833870">
          <w:rPr>
            <w:noProof/>
            <w:webHidden/>
          </w:rPr>
          <w:fldChar w:fldCharType="separate"/>
        </w:r>
        <w:r w:rsidR="00DF283C">
          <w:rPr>
            <w:noProof/>
            <w:webHidden/>
          </w:rPr>
          <w:t>40</w:t>
        </w:r>
        <w:r w:rsidR="00833870">
          <w:rPr>
            <w:noProof/>
            <w:webHidden/>
          </w:rPr>
          <w:fldChar w:fldCharType="end"/>
        </w:r>
      </w:hyperlink>
    </w:p>
    <w:p w14:paraId="4B063359" w14:textId="74A9E3CC" w:rsidR="00833870" w:rsidRDefault="00FA7752">
      <w:pPr>
        <w:pStyle w:val="Obsah2"/>
        <w:tabs>
          <w:tab w:val="left" w:pos="880"/>
          <w:tab w:val="right" w:leader="dot" w:pos="9060"/>
        </w:tabs>
        <w:rPr>
          <w:rFonts w:asciiTheme="minorHAnsi" w:eastAsiaTheme="minorEastAsia" w:hAnsiTheme="minorHAnsi" w:cstheme="minorBidi"/>
          <w:noProof/>
          <w:lang w:eastAsia="cs-CZ"/>
        </w:rPr>
      </w:pPr>
      <w:hyperlink w:anchor="_Toc114572347" w:history="1">
        <w:r w:rsidR="00833870" w:rsidRPr="00441FBA">
          <w:rPr>
            <w:rStyle w:val="Hypertextovodkaz"/>
            <w:noProof/>
          </w:rPr>
          <w:t>5.3</w:t>
        </w:r>
        <w:r w:rsidR="00833870">
          <w:rPr>
            <w:rFonts w:asciiTheme="minorHAnsi" w:eastAsiaTheme="minorEastAsia" w:hAnsiTheme="minorHAnsi" w:cstheme="minorBidi"/>
            <w:noProof/>
            <w:lang w:eastAsia="cs-CZ"/>
          </w:rPr>
          <w:tab/>
        </w:r>
        <w:r w:rsidR="00833870" w:rsidRPr="00441FBA">
          <w:rPr>
            <w:rStyle w:val="Hypertextovodkaz"/>
            <w:noProof/>
          </w:rPr>
          <w:t>Závěr</w:t>
        </w:r>
        <w:r w:rsidR="00833870">
          <w:rPr>
            <w:noProof/>
            <w:webHidden/>
          </w:rPr>
          <w:tab/>
        </w:r>
        <w:r w:rsidR="00833870">
          <w:rPr>
            <w:noProof/>
            <w:webHidden/>
          </w:rPr>
          <w:fldChar w:fldCharType="begin"/>
        </w:r>
        <w:r w:rsidR="00833870">
          <w:rPr>
            <w:noProof/>
            <w:webHidden/>
          </w:rPr>
          <w:instrText xml:space="preserve"> PAGEREF _Toc114572347 \h </w:instrText>
        </w:r>
        <w:r w:rsidR="00833870">
          <w:rPr>
            <w:noProof/>
            <w:webHidden/>
          </w:rPr>
        </w:r>
        <w:r w:rsidR="00833870">
          <w:rPr>
            <w:noProof/>
            <w:webHidden/>
          </w:rPr>
          <w:fldChar w:fldCharType="separate"/>
        </w:r>
        <w:r w:rsidR="00DF283C">
          <w:rPr>
            <w:noProof/>
            <w:webHidden/>
          </w:rPr>
          <w:t>41</w:t>
        </w:r>
        <w:r w:rsidR="00833870">
          <w:rPr>
            <w:noProof/>
            <w:webHidden/>
          </w:rPr>
          <w:fldChar w:fldCharType="end"/>
        </w:r>
      </w:hyperlink>
    </w:p>
    <w:p w14:paraId="47ECB30D" w14:textId="476886CC" w:rsidR="00833870" w:rsidRDefault="00FA7752">
      <w:pPr>
        <w:pStyle w:val="Obsah1"/>
        <w:rPr>
          <w:rFonts w:asciiTheme="minorHAnsi" w:eastAsiaTheme="minorEastAsia" w:hAnsiTheme="minorHAnsi" w:cstheme="minorBidi"/>
          <w:b w:val="0"/>
          <w:noProof/>
          <w:lang w:eastAsia="cs-CZ"/>
        </w:rPr>
      </w:pPr>
      <w:hyperlink w:anchor="_Toc114572348" w:history="1">
        <w:r w:rsidR="00833870" w:rsidRPr="00441FBA">
          <w:rPr>
            <w:rStyle w:val="Hypertextovodkaz"/>
            <w:noProof/>
          </w:rPr>
          <w:t>6</w:t>
        </w:r>
        <w:r w:rsidR="00833870">
          <w:rPr>
            <w:rFonts w:asciiTheme="minorHAnsi" w:eastAsiaTheme="minorEastAsia" w:hAnsiTheme="minorHAnsi" w:cstheme="minorBidi"/>
            <w:b w:val="0"/>
            <w:noProof/>
            <w:lang w:eastAsia="cs-CZ"/>
          </w:rPr>
          <w:tab/>
        </w:r>
        <w:r w:rsidR="00833870" w:rsidRPr="00441FBA">
          <w:rPr>
            <w:rStyle w:val="Hypertextovodkaz"/>
            <w:noProof/>
          </w:rPr>
          <w:t>Administrativní</w:t>
        </w:r>
        <w:r w:rsidR="009B66B5">
          <w:rPr>
            <w:rStyle w:val="Hypertextovodkaz"/>
            <w:noProof/>
          </w:rPr>
          <w:t xml:space="preserve"> a </w:t>
        </w:r>
        <w:r w:rsidR="00833870" w:rsidRPr="00441FBA">
          <w:rPr>
            <w:rStyle w:val="Hypertextovodkaz"/>
            <w:noProof/>
          </w:rPr>
          <w:t>finanční aspekty</w:t>
        </w:r>
        <w:r w:rsidR="00833870">
          <w:rPr>
            <w:noProof/>
            <w:webHidden/>
          </w:rPr>
          <w:tab/>
        </w:r>
        <w:r w:rsidR="00833870">
          <w:rPr>
            <w:noProof/>
            <w:webHidden/>
          </w:rPr>
          <w:fldChar w:fldCharType="begin"/>
        </w:r>
        <w:r w:rsidR="00833870">
          <w:rPr>
            <w:noProof/>
            <w:webHidden/>
          </w:rPr>
          <w:instrText xml:space="preserve"> PAGEREF _Toc114572348 \h </w:instrText>
        </w:r>
        <w:r w:rsidR="00833870">
          <w:rPr>
            <w:noProof/>
            <w:webHidden/>
          </w:rPr>
        </w:r>
        <w:r w:rsidR="00833870">
          <w:rPr>
            <w:noProof/>
            <w:webHidden/>
          </w:rPr>
          <w:fldChar w:fldCharType="separate"/>
        </w:r>
        <w:r w:rsidR="00DF283C">
          <w:rPr>
            <w:noProof/>
            <w:webHidden/>
          </w:rPr>
          <w:t>42</w:t>
        </w:r>
        <w:r w:rsidR="00833870">
          <w:rPr>
            <w:noProof/>
            <w:webHidden/>
          </w:rPr>
          <w:fldChar w:fldCharType="end"/>
        </w:r>
      </w:hyperlink>
    </w:p>
    <w:p w14:paraId="5E9DCBC5" w14:textId="494E71E4" w:rsidR="00833870" w:rsidRDefault="00FA7752">
      <w:pPr>
        <w:pStyle w:val="Obsah2"/>
        <w:tabs>
          <w:tab w:val="left" w:pos="880"/>
          <w:tab w:val="right" w:leader="dot" w:pos="9060"/>
        </w:tabs>
        <w:rPr>
          <w:rFonts w:asciiTheme="minorHAnsi" w:eastAsiaTheme="minorEastAsia" w:hAnsiTheme="minorHAnsi" w:cstheme="minorBidi"/>
          <w:noProof/>
          <w:lang w:eastAsia="cs-CZ"/>
        </w:rPr>
      </w:pPr>
      <w:hyperlink w:anchor="_Toc114572349" w:history="1">
        <w:r w:rsidR="00833870" w:rsidRPr="00441FBA">
          <w:rPr>
            <w:rStyle w:val="Hypertextovodkaz"/>
            <w:noProof/>
          </w:rPr>
          <w:t>6.1</w:t>
        </w:r>
        <w:r w:rsidR="00833870">
          <w:rPr>
            <w:rFonts w:asciiTheme="minorHAnsi" w:eastAsiaTheme="minorEastAsia" w:hAnsiTheme="minorHAnsi" w:cstheme="minorBidi"/>
            <w:noProof/>
            <w:lang w:eastAsia="cs-CZ"/>
          </w:rPr>
          <w:tab/>
        </w:r>
        <w:r w:rsidR="00833870" w:rsidRPr="00441FBA">
          <w:rPr>
            <w:rStyle w:val="Hypertextovodkaz"/>
            <w:noProof/>
          </w:rPr>
          <w:t>Administrativní pravidla, pravidla odměňování, možnost harmonizace pravidel poskytovatelů</w:t>
        </w:r>
        <w:r w:rsidR="009B66B5">
          <w:rPr>
            <w:rStyle w:val="Hypertextovodkaz"/>
            <w:noProof/>
          </w:rPr>
          <w:t xml:space="preserve"> s </w:t>
        </w:r>
        <w:r w:rsidR="00833870" w:rsidRPr="00441FBA">
          <w:rPr>
            <w:rStyle w:val="Hypertextovodkaz"/>
            <w:noProof/>
          </w:rPr>
          <w:t xml:space="preserve">pravidly </w:t>
        </w:r>
        <w:r w:rsidR="00C032C8">
          <w:rPr>
            <w:rFonts w:cs="Calibri"/>
            <w:noProof/>
          </w:rPr>
          <w:t>RP Horizont Evropa</w:t>
        </w:r>
        <w:r w:rsidR="00833870">
          <w:rPr>
            <w:noProof/>
            <w:webHidden/>
          </w:rPr>
          <w:tab/>
        </w:r>
        <w:r w:rsidR="00833870">
          <w:rPr>
            <w:noProof/>
            <w:webHidden/>
          </w:rPr>
          <w:fldChar w:fldCharType="begin"/>
        </w:r>
        <w:r w:rsidR="00833870">
          <w:rPr>
            <w:noProof/>
            <w:webHidden/>
          </w:rPr>
          <w:instrText xml:space="preserve"> PAGEREF _Toc114572349 \h </w:instrText>
        </w:r>
        <w:r w:rsidR="00833870">
          <w:rPr>
            <w:noProof/>
            <w:webHidden/>
          </w:rPr>
        </w:r>
        <w:r w:rsidR="00833870">
          <w:rPr>
            <w:noProof/>
            <w:webHidden/>
          </w:rPr>
          <w:fldChar w:fldCharType="separate"/>
        </w:r>
        <w:r w:rsidR="00DF283C">
          <w:rPr>
            <w:noProof/>
            <w:webHidden/>
          </w:rPr>
          <w:t>42</w:t>
        </w:r>
        <w:r w:rsidR="00833870">
          <w:rPr>
            <w:noProof/>
            <w:webHidden/>
          </w:rPr>
          <w:fldChar w:fldCharType="end"/>
        </w:r>
      </w:hyperlink>
    </w:p>
    <w:p w14:paraId="669F1A6F" w14:textId="20695D2F" w:rsidR="00833870" w:rsidRDefault="00FA7752">
      <w:pPr>
        <w:pStyle w:val="Obsah3"/>
        <w:tabs>
          <w:tab w:val="left" w:pos="1100"/>
          <w:tab w:val="right" w:leader="dot" w:pos="9060"/>
        </w:tabs>
        <w:rPr>
          <w:rFonts w:asciiTheme="minorHAnsi" w:eastAsiaTheme="minorEastAsia" w:hAnsiTheme="minorHAnsi" w:cstheme="minorBidi"/>
          <w:noProof/>
          <w:sz w:val="22"/>
          <w:lang w:eastAsia="cs-CZ"/>
        </w:rPr>
      </w:pPr>
      <w:hyperlink w:anchor="_Toc114572350" w:history="1">
        <w:r w:rsidR="00833870" w:rsidRPr="00441FBA">
          <w:rPr>
            <w:rStyle w:val="Hypertextovodkaz"/>
            <w:noProof/>
          </w:rPr>
          <w:t>6.1.1</w:t>
        </w:r>
        <w:r w:rsidR="00833870">
          <w:rPr>
            <w:rFonts w:asciiTheme="minorHAnsi" w:eastAsiaTheme="minorEastAsia" w:hAnsiTheme="minorHAnsi" w:cstheme="minorBidi"/>
            <w:noProof/>
            <w:sz w:val="22"/>
            <w:lang w:eastAsia="cs-CZ"/>
          </w:rPr>
          <w:tab/>
        </w:r>
        <w:r w:rsidR="00833870" w:rsidRPr="00441FBA">
          <w:rPr>
            <w:rStyle w:val="Hypertextovodkaz"/>
            <w:noProof/>
          </w:rPr>
          <w:t>Administrativní pravidla</w:t>
        </w:r>
        <w:r w:rsidR="00833870">
          <w:rPr>
            <w:noProof/>
            <w:webHidden/>
          </w:rPr>
          <w:tab/>
        </w:r>
        <w:r w:rsidR="00833870">
          <w:rPr>
            <w:noProof/>
            <w:webHidden/>
          </w:rPr>
          <w:fldChar w:fldCharType="begin"/>
        </w:r>
        <w:r w:rsidR="00833870">
          <w:rPr>
            <w:noProof/>
            <w:webHidden/>
          </w:rPr>
          <w:instrText xml:space="preserve"> PAGEREF _Toc114572350 \h </w:instrText>
        </w:r>
        <w:r w:rsidR="00833870">
          <w:rPr>
            <w:noProof/>
            <w:webHidden/>
          </w:rPr>
        </w:r>
        <w:r w:rsidR="00833870">
          <w:rPr>
            <w:noProof/>
            <w:webHidden/>
          </w:rPr>
          <w:fldChar w:fldCharType="separate"/>
        </w:r>
        <w:r w:rsidR="00DF283C">
          <w:rPr>
            <w:noProof/>
            <w:webHidden/>
          </w:rPr>
          <w:t>42</w:t>
        </w:r>
        <w:r w:rsidR="00833870">
          <w:rPr>
            <w:noProof/>
            <w:webHidden/>
          </w:rPr>
          <w:fldChar w:fldCharType="end"/>
        </w:r>
      </w:hyperlink>
    </w:p>
    <w:p w14:paraId="00C5F450" w14:textId="493C38C6" w:rsidR="00833870" w:rsidRDefault="00FA7752">
      <w:pPr>
        <w:pStyle w:val="Obsah3"/>
        <w:tabs>
          <w:tab w:val="left" w:pos="1100"/>
          <w:tab w:val="right" w:leader="dot" w:pos="9060"/>
        </w:tabs>
        <w:rPr>
          <w:rFonts w:asciiTheme="minorHAnsi" w:eastAsiaTheme="minorEastAsia" w:hAnsiTheme="minorHAnsi" w:cstheme="minorBidi"/>
          <w:noProof/>
          <w:sz w:val="22"/>
          <w:lang w:eastAsia="cs-CZ"/>
        </w:rPr>
      </w:pPr>
      <w:hyperlink w:anchor="_Toc114572351" w:history="1">
        <w:r w:rsidR="00833870" w:rsidRPr="00441FBA">
          <w:rPr>
            <w:rStyle w:val="Hypertextovodkaz"/>
            <w:noProof/>
          </w:rPr>
          <w:t>6.1.2</w:t>
        </w:r>
        <w:r w:rsidR="00833870">
          <w:rPr>
            <w:rFonts w:asciiTheme="minorHAnsi" w:eastAsiaTheme="minorEastAsia" w:hAnsiTheme="minorHAnsi" w:cstheme="minorBidi"/>
            <w:noProof/>
            <w:sz w:val="22"/>
            <w:lang w:eastAsia="cs-CZ"/>
          </w:rPr>
          <w:tab/>
        </w:r>
        <w:r w:rsidR="00833870" w:rsidRPr="00441FBA">
          <w:rPr>
            <w:rStyle w:val="Hypertextovodkaz"/>
            <w:noProof/>
          </w:rPr>
          <w:t>Osobní náklady</w:t>
        </w:r>
        <w:r w:rsidR="009B66B5">
          <w:rPr>
            <w:rStyle w:val="Hypertextovodkaz"/>
            <w:noProof/>
          </w:rPr>
          <w:t xml:space="preserve"> a </w:t>
        </w:r>
        <w:r w:rsidR="00833870" w:rsidRPr="00441FBA">
          <w:rPr>
            <w:rStyle w:val="Hypertextovodkaz"/>
            <w:noProof/>
          </w:rPr>
          <w:t>pravidla odměňování</w:t>
        </w:r>
        <w:r w:rsidR="00833870">
          <w:rPr>
            <w:noProof/>
            <w:webHidden/>
          </w:rPr>
          <w:tab/>
        </w:r>
        <w:r w:rsidR="00833870">
          <w:rPr>
            <w:noProof/>
            <w:webHidden/>
          </w:rPr>
          <w:fldChar w:fldCharType="begin"/>
        </w:r>
        <w:r w:rsidR="00833870">
          <w:rPr>
            <w:noProof/>
            <w:webHidden/>
          </w:rPr>
          <w:instrText xml:space="preserve"> PAGEREF _Toc114572351 \h </w:instrText>
        </w:r>
        <w:r w:rsidR="00833870">
          <w:rPr>
            <w:noProof/>
            <w:webHidden/>
          </w:rPr>
        </w:r>
        <w:r w:rsidR="00833870">
          <w:rPr>
            <w:noProof/>
            <w:webHidden/>
          </w:rPr>
          <w:fldChar w:fldCharType="separate"/>
        </w:r>
        <w:r w:rsidR="00DF283C">
          <w:rPr>
            <w:noProof/>
            <w:webHidden/>
          </w:rPr>
          <w:t>44</w:t>
        </w:r>
        <w:r w:rsidR="00833870">
          <w:rPr>
            <w:noProof/>
            <w:webHidden/>
          </w:rPr>
          <w:fldChar w:fldCharType="end"/>
        </w:r>
      </w:hyperlink>
    </w:p>
    <w:p w14:paraId="453A4853" w14:textId="7CAFBEA8" w:rsidR="00833870" w:rsidRDefault="00FA7752">
      <w:pPr>
        <w:pStyle w:val="Obsah2"/>
        <w:tabs>
          <w:tab w:val="left" w:pos="880"/>
          <w:tab w:val="right" w:leader="dot" w:pos="9060"/>
        </w:tabs>
        <w:rPr>
          <w:rFonts w:asciiTheme="minorHAnsi" w:eastAsiaTheme="minorEastAsia" w:hAnsiTheme="minorHAnsi" w:cstheme="minorBidi"/>
          <w:noProof/>
          <w:lang w:eastAsia="cs-CZ"/>
        </w:rPr>
      </w:pPr>
      <w:hyperlink w:anchor="_Toc114572352" w:history="1">
        <w:r w:rsidR="00833870" w:rsidRPr="00441FBA">
          <w:rPr>
            <w:rStyle w:val="Hypertextovodkaz"/>
            <w:noProof/>
          </w:rPr>
          <w:t>6.2</w:t>
        </w:r>
        <w:r w:rsidR="00833870">
          <w:rPr>
            <w:rFonts w:asciiTheme="minorHAnsi" w:eastAsiaTheme="minorEastAsia" w:hAnsiTheme="minorHAnsi" w:cstheme="minorBidi"/>
            <w:noProof/>
            <w:lang w:eastAsia="cs-CZ"/>
          </w:rPr>
          <w:tab/>
        </w:r>
        <w:r w:rsidR="00833870" w:rsidRPr="00441FBA">
          <w:rPr>
            <w:rStyle w:val="Hypertextovodkaz"/>
            <w:noProof/>
          </w:rPr>
          <w:t>Závěr</w:t>
        </w:r>
        <w:r w:rsidR="00833870">
          <w:rPr>
            <w:noProof/>
            <w:webHidden/>
          </w:rPr>
          <w:tab/>
        </w:r>
        <w:r w:rsidR="00833870">
          <w:rPr>
            <w:noProof/>
            <w:webHidden/>
          </w:rPr>
          <w:fldChar w:fldCharType="begin"/>
        </w:r>
        <w:r w:rsidR="00833870">
          <w:rPr>
            <w:noProof/>
            <w:webHidden/>
          </w:rPr>
          <w:instrText xml:space="preserve"> PAGEREF _Toc114572352 \h </w:instrText>
        </w:r>
        <w:r w:rsidR="00833870">
          <w:rPr>
            <w:noProof/>
            <w:webHidden/>
          </w:rPr>
        </w:r>
        <w:r w:rsidR="00833870">
          <w:rPr>
            <w:noProof/>
            <w:webHidden/>
          </w:rPr>
          <w:fldChar w:fldCharType="separate"/>
        </w:r>
        <w:r w:rsidR="00DF283C">
          <w:rPr>
            <w:noProof/>
            <w:webHidden/>
          </w:rPr>
          <w:t>46</w:t>
        </w:r>
        <w:r w:rsidR="00833870">
          <w:rPr>
            <w:noProof/>
            <w:webHidden/>
          </w:rPr>
          <w:fldChar w:fldCharType="end"/>
        </w:r>
      </w:hyperlink>
    </w:p>
    <w:p w14:paraId="67F578E2" w14:textId="667CD899" w:rsidR="00833870" w:rsidRDefault="00FA7752">
      <w:pPr>
        <w:pStyle w:val="Obsah1"/>
        <w:rPr>
          <w:rFonts w:asciiTheme="minorHAnsi" w:eastAsiaTheme="minorEastAsia" w:hAnsiTheme="minorHAnsi" w:cstheme="minorBidi"/>
          <w:b w:val="0"/>
          <w:noProof/>
          <w:lang w:eastAsia="cs-CZ"/>
        </w:rPr>
      </w:pPr>
      <w:hyperlink w:anchor="_Toc114572353" w:history="1">
        <w:r w:rsidR="00833870" w:rsidRPr="00441FBA">
          <w:rPr>
            <w:rStyle w:val="Hypertextovodkaz"/>
            <w:noProof/>
          </w:rPr>
          <w:t>7</w:t>
        </w:r>
        <w:r w:rsidR="00833870">
          <w:rPr>
            <w:rFonts w:asciiTheme="minorHAnsi" w:eastAsiaTheme="minorEastAsia" w:hAnsiTheme="minorHAnsi" w:cstheme="minorBidi"/>
            <w:b w:val="0"/>
            <w:noProof/>
            <w:lang w:eastAsia="cs-CZ"/>
          </w:rPr>
          <w:tab/>
        </w:r>
        <w:r w:rsidR="00833870" w:rsidRPr="00441FBA">
          <w:rPr>
            <w:rStyle w:val="Hypertextovodkaz"/>
            <w:noProof/>
          </w:rPr>
          <w:t>Informační</w:t>
        </w:r>
        <w:r w:rsidR="009B66B5">
          <w:rPr>
            <w:rStyle w:val="Hypertextovodkaz"/>
            <w:noProof/>
          </w:rPr>
          <w:t xml:space="preserve"> a </w:t>
        </w:r>
        <w:r w:rsidR="00833870" w:rsidRPr="00441FBA">
          <w:rPr>
            <w:rStyle w:val="Hypertextovodkaz"/>
            <w:noProof/>
          </w:rPr>
          <w:t>konzultační podpora</w:t>
        </w:r>
        <w:r w:rsidR="009B66B5">
          <w:rPr>
            <w:rStyle w:val="Hypertextovodkaz"/>
            <w:noProof/>
          </w:rPr>
          <w:t xml:space="preserve"> k </w:t>
        </w:r>
        <w:r w:rsidR="00833870" w:rsidRPr="00441FBA">
          <w:rPr>
            <w:rStyle w:val="Hypertextovodkaz"/>
            <w:noProof/>
          </w:rPr>
          <w:t>podávání návrhů projektů do evropských programů</w:t>
        </w:r>
        <w:r w:rsidR="00833870">
          <w:rPr>
            <w:noProof/>
            <w:webHidden/>
          </w:rPr>
          <w:tab/>
        </w:r>
        <w:r w:rsidR="00833870">
          <w:rPr>
            <w:noProof/>
            <w:webHidden/>
          </w:rPr>
          <w:fldChar w:fldCharType="begin"/>
        </w:r>
        <w:r w:rsidR="00833870">
          <w:rPr>
            <w:noProof/>
            <w:webHidden/>
          </w:rPr>
          <w:instrText xml:space="preserve"> PAGEREF _Toc114572353 \h </w:instrText>
        </w:r>
        <w:r w:rsidR="00833870">
          <w:rPr>
            <w:noProof/>
            <w:webHidden/>
          </w:rPr>
        </w:r>
        <w:r w:rsidR="00833870">
          <w:rPr>
            <w:noProof/>
            <w:webHidden/>
          </w:rPr>
          <w:fldChar w:fldCharType="separate"/>
        </w:r>
        <w:r w:rsidR="00DF283C">
          <w:rPr>
            <w:noProof/>
            <w:webHidden/>
          </w:rPr>
          <w:t>47</w:t>
        </w:r>
        <w:r w:rsidR="00833870">
          <w:rPr>
            <w:noProof/>
            <w:webHidden/>
          </w:rPr>
          <w:fldChar w:fldCharType="end"/>
        </w:r>
      </w:hyperlink>
    </w:p>
    <w:p w14:paraId="4F2B6E83" w14:textId="77C10C79" w:rsidR="00833870" w:rsidRDefault="00FA7752">
      <w:pPr>
        <w:pStyle w:val="Obsah2"/>
        <w:tabs>
          <w:tab w:val="left" w:pos="880"/>
          <w:tab w:val="right" w:leader="dot" w:pos="9060"/>
        </w:tabs>
        <w:rPr>
          <w:rFonts w:asciiTheme="minorHAnsi" w:eastAsiaTheme="minorEastAsia" w:hAnsiTheme="minorHAnsi" w:cstheme="minorBidi"/>
          <w:noProof/>
          <w:lang w:eastAsia="cs-CZ"/>
        </w:rPr>
      </w:pPr>
      <w:hyperlink w:anchor="_Toc114572354" w:history="1">
        <w:r w:rsidR="00833870" w:rsidRPr="00441FBA">
          <w:rPr>
            <w:rStyle w:val="Hypertextovodkaz"/>
            <w:noProof/>
          </w:rPr>
          <w:t>7.1</w:t>
        </w:r>
        <w:r w:rsidR="00833870">
          <w:rPr>
            <w:rFonts w:asciiTheme="minorHAnsi" w:eastAsiaTheme="minorEastAsia" w:hAnsiTheme="minorHAnsi" w:cstheme="minorBidi"/>
            <w:noProof/>
            <w:lang w:eastAsia="cs-CZ"/>
          </w:rPr>
          <w:tab/>
        </w:r>
        <w:r w:rsidR="00833870" w:rsidRPr="00441FBA">
          <w:rPr>
            <w:rStyle w:val="Hypertextovodkaz"/>
            <w:noProof/>
          </w:rPr>
          <w:t>Stávající systém podpory</w:t>
        </w:r>
        <w:r w:rsidR="00833870">
          <w:rPr>
            <w:noProof/>
            <w:webHidden/>
          </w:rPr>
          <w:tab/>
        </w:r>
        <w:r w:rsidR="00833870">
          <w:rPr>
            <w:noProof/>
            <w:webHidden/>
          </w:rPr>
          <w:fldChar w:fldCharType="begin"/>
        </w:r>
        <w:r w:rsidR="00833870">
          <w:rPr>
            <w:noProof/>
            <w:webHidden/>
          </w:rPr>
          <w:instrText xml:space="preserve"> PAGEREF _Toc114572354 \h </w:instrText>
        </w:r>
        <w:r w:rsidR="00833870">
          <w:rPr>
            <w:noProof/>
            <w:webHidden/>
          </w:rPr>
        </w:r>
        <w:r w:rsidR="00833870">
          <w:rPr>
            <w:noProof/>
            <w:webHidden/>
          </w:rPr>
          <w:fldChar w:fldCharType="separate"/>
        </w:r>
        <w:r w:rsidR="00DF283C">
          <w:rPr>
            <w:noProof/>
            <w:webHidden/>
          </w:rPr>
          <w:t>47</w:t>
        </w:r>
        <w:r w:rsidR="00833870">
          <w:rPr>
            <w:noProof/>
            <w:webHidden/>
          </w:rPr>
          <w:fldChar w:fldCharType="end"/>
        </w:r>
      </w:hyperlink>
    </w:p>
    <w:p w14:paraId="503B6D75" w14:textId="4E21E9DE" w:rsidR="00833870" w:rsidRDefault="00FA7752">
      <w:pPr>
        <w:pStyle w:val="Obsah2"/>
        <w:tabs>
          <w:tab w:val="left" w:pos="880"/>
          <w:tab w:val="right" w:leader="dot" w:pos="9060"/>
        </w:tabs>
        <w:rPr>
          <w:rFonts w:asciiTheme="minorHAnsi" w:eastAsiaTheme="minorEastAsia" w:hAnsiTheme="minorHAnsi" w:cstheme="minorBidi"/>
          <w:noProof/>
          <w:lang w:eastAsia="cs-CZ"/>
        </w:rPr>
      </w:pPr>
      <w:hyperlink w:anchor="_Toc114572355" w:history="1">
        <w:r w:rsidR="00833870" w:rsidRPr="00441FBA">
          <w:rPr>
            <w:rStyle w:val="Hypertextovodkaz"/>
            <w:noProof/>
          </w:rPr>
          <w:t>7.2</w:t>
        </w:r>
        <w:r w:rsidR="00833870">
          <w:rPr>
            <w:rFonts w:asciiTheme="minorHAnsi" w:eastAsiaTheme="minorEastAsia" w:hAnsiTheme="minorHAnsi" w:cstheme="minorBidi"/>
            <w:noProof/>
            <w:lang w:eastAsia="cs-CZ"/>
          </w:rPr>
          <w:tab/>
        </w:r>
        <w:r w:rsidR="00833870" w:rsidRPr="00441FBA">
          <w:rPr>
            <w:rStyle w:val="Hypertextovodkaz"/>
            <w:noProof/>
          </w:rPr>
          <w:t>Podpora účasti podniků</w:t>
        </w:r>
        <w:r w:rsidR="009B66B5">
          <w:rPr>
            <w:rStyle w:val="Hypertextovodkaz"/>
            <w:noProof/>
          </w:rPr>
          <w:t xml:space="preserve"> v </w:t>
        </w:r>
        <w:r w:rsidR="00833870" w:rsidRPr="00441FBA">
          <w:rPr>
            <w:rStyle w:val="Hypertextovodkaz"/>
            <w:noProof/>
          </w:rPr>
          <w:t>evropských programech</w:t>
        </w:r>
        <w:r w:rsidR="00833870">
          <w:rPr>
            <w:noProof/>
            <w:webHidden/>
          </w:rPr>
          <w:tab/>
        </w:r>
        <w:r w:rsidR="00833870">
          <w:rPr>
            <w:noProof/>
            <w:webHidden/>
          </w:rPr>
          <w:fldChar w:fldCharType="begin"/>
        </w:r>
        <w:r w:rsidR="00833870">
          <w:rPr>
            <w:noProof/>
            <w:webHidden/>
          </w:rPr>
          <w:instrText xml:space="preserve"> PAGEREF _Toc114572355 \h </w:instrText>
        </w:r>
        <w:r w:rsidR="00833870">
          <w:rPr>
            <w:noProof/>
            <w:webHidden/>
          </w:rPr>
        </w:r>
        <w:r w:rsidR="00833870">
          <w:rPr>
            <w:noProof/>
            <w:webHidden/>
          </w:rPr>
          <w:fldChar w:fldCharType="separate"/>
        </w:r>
        <w:r w:rsidR="00DF283C">
          <w:rPr>
            <w:noProof/>
            <w:webHidden/>
          </w:rPr>
          <w:t>49</w:t>
        </w:r>
        <w:r w:rsidR="00833870">
          <w:rPr>
            <w:noProof/>
            <w:webHidden/>
          </w:rPr>
          <w:fldChar w:fldCharType="end"/>
        </w:r>
      </w:hyperlink>
    </w:p>
    <w:p w14:paraId="12E3017D" w14:textId="63DAD7AC" w:rsidR="00833870" w:rsidRDefault="00FA7752">
      <w:pPr>
        <w:pStyle w:val="Obsah2"/>
        <w:tabs>
          <w:tab w:val="left" w:pos="880"/>
          <w:tab w:val="right" w:leader="dot" w:pos="9060"/>
        </w:tabs>
        <w:rPr>
          <w:rFonts w:asciiTheme="minorHAnsi" w:eastAsiaTheme="minorEastAsia" w:hAnsiTheme="minorHAnsi" w:cstheme="minorBidi"/>
          <w:noProof/>
          <w:lang w:eastAsia="cs-CZ"/>
        </w:rPr>
      </w:pPr>
      <w:hyperlink w:anchor="_Toc114572356" w:history="1">
        <w:r w:rsidR="00833870" w:rsidRPr="00441FBA">
          <w:rPr>
            <w:rStyle w:val="Hypertextovodkaz"/>
            <w:noProof/>
          </w:rPr>
          <w:t>7.3</w:t>
        </w:r>
        <w:r w:rsidR="00833870">
          <w:rPr>
            <w:rFonts w:asciiTheme="minorHAnsi" w:eastAsiaTheme="minorEastAsia" w:hAnsiTheme="minorHAnsi" w:cstheme="minorBidi"/>
            <w:noProof/>
            <w:lang w:eastAsia="cs-CZ"/>
          </w:rPr>
          <w:tab/>
        </w:r>
        <w:r w:rsidR="00833870" w:rsidRPr="00441FBA">
          <w:rPr>
            <w:rStyle w:val="Hypertextovodkaz"/>
            <w:noProof/>
          </w:rPr>
          <w:t>Závěr</w:t>
        </w:r>
        <w:r w:rsidR="00833870">
          <w:rPr>
            <w:noProof/>
            <w:webHidden/>
          </w:rPr>
          <w:tab/>
        </w:r>
        <w:r w:rsidR="00833870">
          <w:rPr>
            <w:noProof/>
            <w:webHidden/>
          </w:rPr>
          <w:fldChar w:fldCharType="begin"/>
        </w:r>
        <w:r w:rsidR="00833870">
          <w:rPr>
            <w:noProof/>
            <w:webHidden/>
          </w:rPr>
          <w:instrText xml:space="preserve"> PAGEREF _Toc114572356 \h </w:instrText>
        </w:r>
        <w:r w:rsidR="00833870">
          <w:rPr>
            <w:noProof/>
            <w:webHidden/>
          </w:rPr>
        </w:r>
        <w:r w:rsidR="00833870">
          <w:rPr>
            <w:noProof/>
            <w:webHidden/>
          </w:rPr>
          <w:fldChar w:fldCharType="separate"/>
        </w:r>
        <w:r w:rsidR="00DF283C">
          <w:rPr>
            <w:noProof/>
            <w:webHidden/>
          </w:rPr>
          <w:t>50</w:t>
        </w:r>
        <w:r w:rsidR="00833870">
          <w:rPr>
            <w:noProof/>
            <w:webHidden/>
          </w:rPr>
          <w:fldChar w:fldCharType="end"/>
        </w:r>
      </w:hyperlink>
    </w:p>
    <w:p w14:paraId="29BCE60A" w14:textId="64A22A49" w:rsidR="00833870" w:rsidRDefault="00FA7752">
      <w:pPr>
        <w:pStyle w:val="Obsah1"/>
        <w:rPr>
          <w:rFonts w:asciiTheme="minorHAnsi" w:eastAsiaTheme="minorEastAsia" w:hAnsiTheme="minorHAnsi" w:cstheme="minorBidi"/>
          <w:b w:val="0"/>
          <w:noProof/>
          <w:lang w:eastAsia="cs-CZ"/>
        </w:rPr>
      </w:pPr>
      <w:hyperlink w:anchor="_Toc114572357" w:history="1">
        <w:r w:rsidR="00833870" w:rsidRPr="00441FBA">
          <w:rPr>
            <w:rStyle w:val="Hypertextovodkaz"/>
            <w:noProof/>
          </w:rPr>
          <w:t>8</w:t>
        </w:r>
        <w:r w:rsidR="00833870">
          <w:rPr>
            <w:rFonts w:asciiTheme="minorHAnsi" w:eastAsiaTheme="minorEastAsia" w:hAnsiTheme="minorHAnsi" w:cstheme="minorBidi"/>
            <w:b w:val="0"/>
            <w:noProof/>
            <w:lang w:eastAsia="cs-CZ"/>
          </w:rPr>
          <w:tab/>
        </w:r>
        <w:r w:rsidR="00833870" w:rsidRPr="00441FBA">
          <w:rPr>
            <w:rStyle w:val="Hypertextovodkaz"/>
            <w:noProof/>
          </w:rPr>
          <w:t>Propagace, vzdělávání, rozvoj manažerských dovedností</w:t>
        </w:r>
        <w:r w:rsidR="00833870">
          <w:rPr>
            <w:noProof/>
            <w:webHidden/>
          </w:rPr>
          <w:tab/>
        </w:r>
        <w:r w:rsidR="00833870">
          <w:rPr>
            <w:noProof/>
            <w:webHidden/>
          </w:rPr>
          <w:fldChar w:fldCharType="begin"/>
        </w:r>
        <w:r w:rsidR="00833870">
          <w:rPr>
            <w:noProof/>
            <w:webHidden/>
          </w:rPr>
          <w:instrText xml:space="preserve"> PAGEREF _Toc114572357 \h </w:instrText>
        </w:r>
        <w:r w:rsidR="00833870">
          <w:rPr>
            <w:noProof/>
            <w:webHidden/>
          </w:rPr>
        </w:r>
        <w:r w:rsidR="00833870">
          <w:rPr>
            <w:noProof/>
            <w:webHidden/>
          </w:rPr>
          <w:fldChar w:fldCharType="separate"/>
        </w:r>
        <w:r w:rsidR="00DF283C">
          <w:rPr>
            <w:noProof/>
            <w:webHidden/>
          </w:rPr>
          <w:t>51</w:t>
        </w:r>
        <w:r w:rsidR="00833870">
          <w:rPr>
            <w:noProof/>
            <w:webHidden/>
          </w:rPr>
          <w:fldChar w:fldCharType="end"/>
        </w:r>
      </w:hyperlink>
    </w:p>
    <w:p w14:paraId="4ED1C800" w14:textId="25F3CB41" w:rsidR="00833870" w:rsidRDefault="00FA7752">
      <w:pPr>
        <w:pStyle w:val="Obsah2"/>
        <w:tabs>
          <w:tab w:val="left" w:pos="880"/>
          <w:tab w:val="right" w:leader="dot" w:pos="9060"/>
        </w:tabs>
        <w:rPr>
          <w:rFonts w:asciiTheme="minorHAnsi" w:eastAsiaTheme="minorEastAsia" w:hAnsiTheme="minorHAnsi" w:cstheme="minorBidi"/>
          <w:noProof/>
          <w:lang w:eastAsia="cs-CZ"/>
        </w:rPr>
      </w:pPr>
      <w:hyperlink w:anchor="_Toc114572358" w:history="1">
        <w:r w:rsidR="00833870" w:rsidRPr="00441FBA">
          <w:rPr>
            <w:rStyle w:val="Hypertextovodkaz"/>
            <w:noProof/>
          </w:rPr>
          <w:t>8.1</w:t>
        </w:r>
        <w:r w:rsidR="00833870">
          <w:rPr>
            <w:rFonts w:asciiTheme="minorHAnsi" w:eastAsiaTheme="minorEastAsia" w:hAnsiTheme="minorHAnsi" w:cstheme="minorBidi"/>
            <w:noProof/>
            <w:lang w:eastAsia="cs-CZ"/>
          </w:rPr>
          <w:tab/>
        </w:r>
        <w:r w:rsidR="00833870" w:rsidRPr="00441FBA">
          <w:rPr>
            <w:rStyle w:val="Hypertextovodkaz"/>
            <w:noProof/>
          </w:rPr>
          <w:t>Metody</w:t>
        </w:r>
        <w:r w:rsidR="009B66B5">
          <w:rPr>
            <w:rStyle w:val="Hypertextovodkaz"/>
            <w:noProof/>
          </w:rPr>
          <w:t xml:space="preserve"> a </w:t>
        </w:r>
        <w:r w:rsidR="00833870" w:rsidRPr="00441FBA">
          <w:rPr>
            <w:rStyle w:val="Hypertextovodkaz"/>
            <w:noProof/>
          </w:rPr>
          <w:t>prostředky informování</w:t>
        </w:r>
        <w:r w:rsidR="009B66B5">
          <w:rPr>
            <w:rStyle w:val="Hypertextovodkaz"/>
            <w:noProof/>
          </w:rPr>
          <w:t xml:space="preserve"> a </w:t>
        </w:r>
        <w:r w:rsidR="00833870" w:rsidRPr="00441FBA">
          <w:rPr>
            <w:rStyle w:val="Hypertextovodkaz"/>
            <w:noProof/>
          </w:rPr>
          <w:t>propagace RP, školicí aktivity, cílové skupiny</w:t>
        </w:r>
        <w:r w:rsidR="00833870">
          <w:rPr>
            <w:noProof/>
            <w:webHidden/>
          </w:rPr>
          <w:tab/>
        </w:r>
        <w:r w:rsidR="00833870">
          <w:rPr>
            <w:noProof/>
            <w:webHidden/>
          </w:rPr>
          <w:fldChar w:fldCharType="begin"/>
        </w:r>
        <w:r w:rsidR="00833870">
          <w:rPr>
            <w:noProof/>
            <w:webHidden/>
          </w:rPr>
          <w:instrText xml:space="preserve"> PAGEREF _Toc114572358 \h </w:instrText>
        </w:r>
        <w:r w:rsidR="00833870">
          <w:rPr>
            <w:noProof/>
            <w:webHidden/>
          </w:rPr>
        </w:r>
        <w:r w:rsidR="00833870">
          <w:rPr>
            <w:noProof/>
            <w:webHidden/>
          </w:rPr>
          <w:fldChar w:fldCharType="separate"/>
        </w:r>
        <w:r w:rsidR="00DF283C">
          <w:rPr>
            <w:noProof/>
            <w:webHidden/>
          </w:rPr>
          <w:t>51</w:t>
        </w:r>
        <w:r w:rsidR="00833870">
          <w:rPr>
            <w:noProof/>
            <w:webHidden/>
          </w:rPr>
          <w:fldChar w:fldCharType="end"/>
        </w:r>
      </w:hyperlink>
    </w:p>
    <w:p w14:paraId="60F294F2" w14:textId="2FA32384" w:rsidR="00833870" w:rsidRDefault="00FA7752">
      <w:pPr>
        <w:pStyle w:val="Obsah2"/>
        <w:tabs>
          <w:tab w:val="left" w:pos="880"/>
          <w:tab w:val="right" w:leader="dot" w:pos="9060"/>
        </w:tabs>
        <w:rPr>
          <w:rFonts w:asciiTheme="minorHAnsi" w:eastAsiaTheme="minorEastAsia" w:hAnsiTheme="minorHAnsi" w:cstheme="minorBidi"/>
          <w:noProof/>
          <w:lang w:eastAsia="cs-CZ"/>
        </w:rPr>
      </w:pPr>
      <w:hyperlink w:anchor="_Toc114572359" w:history="1">
        <w:r w:rsidR="00833870" w:rsidRPr="00441FBA">
          <w:rPr>
            <w:rStyle w:val="Hypertextovodkaz"/>
            <w:noProof/>
          </w:rPr>
          <w:t>8.2</w:t>
        </w:r>
        <w:r w:rsidR="00833870">
          <w:rPr>
            <w:rFonts w:asciiTheme="minorHAnsi" w:eastAsiaTheme="minorEastAsia" w:hAnsiTheme="minorHAnsi" w:cstheme="minorBidi"/>
            <w:noProof/>
            <w:lang w:eastAsia="cs-CZ"/>
          </w:rPr>
          <w:tab/>
        </w:r>
        <w:r w:rsidR="00833870" w:rsidRPr="00441FBA">
          <w:rPr>
            <w:rStyle w:val="Hypertextovodkaz"/>
            <w:noProof/>
          </w:rPr>
          <w:t>Závěr</w:t>
        </w:r>
        <w:r w:rsidR="00833870">
          <w:rPr>
            <w:noProof/>
            <w:webHidden/>
          </w:rPr>
          <w:tab/>
        </w:r>
        <w:r w:rsidR="00833870">
          <w:rPr>
            <w:noProof/>
            <w:webHidden/>
          </w:rPr>
          <w:fldChar w:fldCharType="begin"/>
        </w:r>
        <w:r w:rsidR="00833870">
          <w:rPr>
            <w:noProof/>
            <w:webHidden/>
          </w:rPr>
          <w:instrText xml:space="preserve"> PAGEREF _Toc114572359 \h </w:instrText>
        </w:r>
        <w:r w:rsidR="00833870">
          <w:rPr>
            <w:noProof/>
            <w:webHidden/>
          </w:rPr>
        </w:r>
        <w:r w:rsidR="00833870">
          <w:rPr>
            <w:noProof/>
            <w:webHidden/>
          </w:rPr>
          <w:fldChar w:fldCharType="separate"/>
        </w:r>
        <w:r w:rsidR="00DF283C">
          <w:rPr>
            <w:noProof/>
            <w:webHidden/>
          </w:rPr>
          <w:t>53</w:t>
        </w:r>
        <w:r w:rsidR="00833870">
          <w:rPr>
            <w:noProof/>
            <w:webHidden/>
          </w:rPr>
          <w:fldChar w:fldCharType="end"/>
        </w:r>
      </w:hyperlink>
    </w:p>
    <w:p w14:paraId="5548E5CC" w14:textId="28527E18" w:rsidR="00833870" w:rsidRDefault="00FA7752">
      <w:pPr>
        <w:pStyle w:val="Obsah2"/>
        <w:tabs>
          <w:tab w:val="left" w:pos="880"/>
          <w:tab w:val="right" w:leader="dot" w:pos="9060"/>
        </w:tabs>
        <w:rPr>
          <w:rFonts w:asciiTheme="minorHAnsi" w:eastAsiaTheme="minorEastAsia" w:hAnsiTheme="minorHAnsi" w:cstheme="minorBidi"/>
          <w:noProof/>
          <w:lang w:eastAsia="cs-CZ"/>
        </w:rPr>
      </w:pPr>
      <w:hyperlink w:anchor="_Toc114572360" w:history="1">
        <w:r w:rsidR="00833870" w:rsidRPr="00441FBA">
          <w:rPr>
            <w:rStyle w:val="Hypertextovodkaz"/>
            <w:noProof/>
          </w:rPr>
          <w:t>8.3</w:t>
        </w:r>
        <w:r w:rsidR="00833870">
          <w:rPr>
            <w:rFonts w:asciiTheme="minorHAnsi" w:eastAsiaTheme="minorEastAsia" w:hAnsiTheme="minorHAnsi" w:cstheme="minorBidi"/>
            <w:noProof/>
            <w:lang w:eastAsia="cs-CZ"/>
          </w:rPr>
          <w:tab/>
        </w:r>
        <w:r w:rsidR="00833870" w:rsidRPr="00441FBA">
          <w:rPr>
            <w:rStyle w:val="Hypertextovodkaz"/>
            <w:noProof/>
          </w:rPr>
          <w:t>Doporučení pro zvýšení MOTIVACE</w:t>
        </w:r>
        <w:r w:rsidR="009B66B5">
          <w:rPr>
            <w:rStyle w:val="Hypertextovodkaz"/>
            <w:noProof/>
          </w:rPr>
          <w:t xml:space="preserve"> k </w:t>
        </w:r>
        <w:r w:rsidR="00833870" w:rsidRPr="00441FBA">
          <w:rPr>
            <w:rStyle w:val="Hypertextovodkaz"/>
            <w:noProof/>
          </w:rPr>
          <w:t>účasti</w:t>
        </w:r>
        <w:r w:rsidR="00833870">
          <w:rPr>
            <w:noProof/>
            <w:webHidden/>
          </w:rPr>
          <w:tab/>
        </w:r>
        <w:r w:rsidR="00833870">
          <w:rPr>
            <w:noProof/>
            <w:webHidden/>
          </w:rPr>
          <w:fldChar w:fldCharType="begin"/>
        </w:r>
        <w:r w:rsidR="00833870">
          <w:rPr>
            <w:noProof/>
            <w:webHidden/>
          </w:rPr>
          <w:instrText xml:space="preserve"> PAGEREF _Toc114572360 \h </w:instrText>
        </w:r>
        <w:r w:rsidR="00833870">
          <w:rPr>
            <w:noProof/>
            <w:webHidden/>
          </w:rPr>
        </w:r>
        <w:r w:rsidR="00833870">
          <w:rPr>
            <w:noProof/>
            <w:webHidden/>
          </w:rPr>
          <w:fldChar w:fldCharType="separate"/>
        </w:r>
        <w:r w:rsidR="00DF283C">
          <w:rPr>
            <w:noProof/>
            <w:webHidden/>
          </w:rPr>
          <w:t>55</w:t>
        </w:r>
        <w:r w:rsidR="00833870">
          <w:rPr>
            <w:noProof/>
            <w:webHidden/>
          </w:rPr>
          <w:fldChar w:fldCharType="end"/>
        </w:r>
      </w:hyperlink>
    </w:p>
    <w:p w14:paraId="68A4B3CD" w14:textId="16158966" w:rsidR="00833870" w:rsidRDefault="00FA7752">
      <w:pPr>
        <w:pStyle w:val="Obsah2"/>
        <w:tabs>
          <w:tab w:val="left" w:pos="880"/>
          <w:tab w:val="right" w:leader="dot" w:pos="9060"/>
        </w:tabs>
        <w:rPr>
          <w:rFonts w:asciiTheme="minorHAnsi" w:eastAsiaTheme="minorEastAsia" w:hAnsiTheme="minorHAnsi" w:cstheme="minorBidi"/>
          <w:noProof/>
          <w:lang w:eastAsia="cs-CZ"/>
        </w:rPr>
      </w:pPr>
      <w:hyperlink w:anchor="_Toc114572361" w:history="1">
        <w:r w:rsidR="00833870" w:rsidRPr="00441FBA">
          <w:rPr>
            <w:rStyle w:val="Hypertextovodkaz"/>
            <w:noProof/>
          </w:rPr>
          <w:t>8.4</w:t>
        </w:r>
        <w:r w:rsidR="00833870">
          <w:rPr>
            <w:rFonts w:asciiTheme="minorHAnsi" w:eastAsiaTheme="minorEastAsia" w:hAnsiTheme="minorHAnsi" w:cstheme="minorBidi"/>
            <w:noProof/>
            <w:lang w:eastAsia="cs-CZ"/>
          </w:rPr>
          <w:tab/>
        </w:r>
        <w:r w:rsidR="00833870" w:rsidRPr="00441FBA">
          <w:rPr>
            <w:rStyle w:val="Hypertextovodkaz"/>
            <w:noProof/>
          </w:rPr>
          <w:t>Doporučení pro usnadnění ADMINISTRATIVY projektů</w:t>
        </w:r>
        <w:r w:rsidR="00833870">
          <w:rPr>
            <w:noProof/>
            <w:webHidden/>
          </w:rPr>
          <w:tab/>
        </w:r>
        <w:r w:rsidR="00833870">
          <w:rPr>
            <w:noProof/>
            <w:webHidden/>
          </w:rPr>
          <w:fldChar w:fldCharType="begin"/>
        </w:r>
        <w:r w:rsidR="00833870">
          <w:rPr>
            <w:noProof/>
            <w:webHidden/>
          </w:rPr>
          <w:instrText xml:space="preserve"> PAGEREF _Toc114572361 \h </w:instrText>
        </w:r>
        <w:r w:rsidR="00833870">
          <w:rPr>
            <w:noProof/>
            <w:webHidden/>
          </w:rPr>
        </w:r>
        <w:r w:rsidR="00833870">
          <w:rPr>
            <w:noProof/>
            <w:webHidden/>
          </w:rPr>
          <w:fldChar w:fldCharType="separate"/>
        </w:r>
        <w:r w:rsidR="00DF283C">
          <w:rPr>
            <w:noProof/>
            <w:webHidden/>
          </w:rPr>
          <w:t>56</w:t>
        </w:r>
        <w:r w:rsidR="00833870">
          <w:rPr>
            <w:noProof/>
            <w:webHidden/>
          </w:rPr>
          <w:fldChar w:fldCharType="end"/>
        </w:r>
      </w:hyperlink>
    </w:p>
    <w:p w14:paraId="1192A082" w14:textId="56547B32" w:rsidR="00833870" w:rsidRDefault="00FA7752">
      <w:pPr>
        <w:pStyle w:val="Obsah2"/>
        <w:tabs>
          <w:tab w:val="left" w:pos="880"/>
          <w:tab w:val="right" w:leader="dot" w:pos="9060"/>
        </w:tabs>
        <w:rPr>
          <w:rFonts w:asciiTheme="minorHAnsi" w:eastAsiaTheme="minorEastAsia" w:hAnsiTheme="minorHAnsi" w:cstheme="minorBidi"/>
          <w:noProof/>
          <w:lang w:eastAsia="cs-CZ"/>
        </w:rPr>
      </w:pPr>
      <w:hyperlink w:anchor="_Toc114572362" w:history="1">
        <w:r w:rsidR="00833870" w:rsidRPr="00441FBA">
          <w:rPr>
            <w:rStyle w:val="Hypertextovodkaz"/>
            <w:noProof/>
          </w:rPr>
          <w:t>8.5</w:t>
        </w:r>
        <w:r w:rsidR="00833870">
          <w:rPr>
            <w:rFonts w:asciiTheme="minorHAnsi" w:eastAsiaTheme="minorEastAsia" w:hAnsiTheme="minorHAnsi" w:cstheme="minorBidi"/>
            <w:noProof/>
            <w:lang w:eastAsia="cs-CZ"/>
          </w:rPr>
          <w:tab/>
        </w:r>
        <w:r w:rsidR="00833870" w:rsidRPr="00441FBA">
          <w:rPr>
            <w:rStyle w:val="Hypertextovodkaz"/>
            <w:noProof/>
          </w:rPr>
          <w:t>Doporučení pro rozvoj ŠKOLENÍ A KONZULTACÍ</w:t>
        </w:r>
        <w:r w:rsidR="00833870">
          <w:rPr>
            <w:noProof/>
            <w:webHidden/>
          </w:rPr>
          <w:tab/>
        </w:r>
        <w:r w:rsidR="00833870">
          <w:rPr>
            <w:noProof/>
            <w:webHidden/>
          </w:rPr>
          <w:fldChar w:fldCharType="begin"/>
        </w:r>
        <w:r w:rsidR="00833870">
          <w:rPr>
            <w:noProof/>
            <w:webHidden/>
          </w:rPr>
          <w:instrText xml:space="preserve"> PAGEREF _Toc114572362 \h </w:instrText>
        </w:r>
        <w:r w:rsidR="00833870">
          <w:rPr>
            <w:noProof/>
            <w:webHidden/>
          </w:rPr>
        </w:r>
        <w:r w:rsidR="00833870">
          <w:rPr>
            <w:noProof/>
            <w:webHidden/>
          </w:rPr>
          <w:fldChar w:fldCharType="separate"/>
        </w:r>
        <w:r w:rsidR="00DF283C">
          <w:rPr>
            <w:noProof/>
            <w:webHidden/>
          </w:rPr>
          <w:t>57</w:t>
        </w:r>
        <w:r w:rsidR="00833870">
          <w:rPr>
            <w:noProof/>
            <w:webHidden/>
          </w:rPr>
          <w:fldChar w:fldCharType="end"/>
        </w:r>
      </w:hyperlink>
    </w:p>
    <w:p w14:paraId="41245752" w14:textId="0ECEF94A" w:rsidR="00833870" w:rsidRDefault="00FA7752">
      <w:pPr>
        <w:pStyle w:val="Obsah2"/>
        <w:tabs>
          <w:tab w:val="left" w:pos="880"/>
          <w:tab w:val="right" w:leader="dot" w:pos="9060"/>
        </w:tabs>
        <w:rPr>
          <w:rFonts w:asciiTheme="minorHAnsi" w:eastAsiaTheme="minorEastAsia" w:hAnsiTheme="minorHAnsi" w:cstheme="minorBidi"/>
          <w:noProof/>
          <w:lang w:eastAsia="cs-CZ"/>
        </w:rPr>
      </w:pPr>
      <w:hyperlink w:anchor="_Toc114572363" w:history="1">
        <w:r w:rsidR="00833870" w:rsidRPr="00441FBA">
          <w:rPr>
            <w:rStyle w:val="Hypertextovodkaz"/>
            <w:noProof/>
          </w:rPr>
          <w:t>8.6</w:t>
        </w:r>
        <w:r w:rsidR="00833870">
          <w:rPr>
            <w:rFonts w:asciiTheme="minorHAnsi" w:eastAsiaTheme="minorEastAsia" w:hAnsiTheme="minorHAnsi" w:cstheme="minorBidi"/>
            <w:noProof/>
            <w:lang w:eastAsia="cs-CZ"/>
          </w:rPr>
          <w:tab/>
        </w:r>
        <w:r w:rsidR="00833870" w:rsidRPr="00441FBA">
          <w:rPr>
            <w:rStyle w:val="Hypertextovodkaz"/>
            <w:noProof/>
          </w:rPr>
          <w:t>Doporučení pro posilování SÍTÍ A VAZEB pro mezinárodní spolupráci</w:t>
        </w:r>
        <w:r w:rsidR="00833870">
          <w:rPr>
            <w:noProof/>
            <w:webHidden/>
          </w:rPr>
          <w:tab/>
        </w:r>
        <w:r w:rsidR="00833870">
          <w:rPr>
            <w:noProof/>
            <w:webHidden/>
          </w:rPr>
          <w:fldChar w:fldCharType="begin"/>
        </w:r>
        <w:r w:rsidR="00833870">
          <w:rPr>
            <w:noProof/>
            <w:webHidden/>
          </w:rPr>
          <w:instrText xml:space="preserve"> PAGEREF _Toc114572363 \h </w:instrText>
        </w:r>
        <w:r w:rsidR="00833870">
          <w:rPr>
            <w:noProof/>
            <w:webHidden/>
          </w:rPr>
        </w:r>
        <w:r w:rsidR="00833870">
          <w:rPr>
            <w:noProof/>
            <w:webHidden/>
          </w:rPr>
          <w:fldChar w:fldCharType="separate"/>
        </w:r>
        <w:r w:rsidR="00DF283C">
          <w:rPr>
            <w:noProof/>
            <w:webHidden/>
          </w:rPr>
          <w:t>58</w:t>
        </w:r>
        <w:r w:rsidR="00833870">
          <w:rPr>
            <w:noProof/>
            <w:webHidden/>
          </w:rPr>
          <w:fldChar w:fldCharType="end"/>
        </w:r>
      </w:hyperlink>
    </w:p>
    <w:p w14:paraId="2A36B231" w14:textId="6D56E586" w:rsidR="00833870" w:rsidRDefault="00FA7752">
      <w:pPr>
        <w:pStyle w:val="Obsah2"/>
        <w:tabs>
          <w:tab w:val="left" w:pos="880"/>
          <w:tab w:val="right" w:leader="dot" w:pos="9060"/>
        </w:tabs>
        <w:rPr>
          <w:rFonts w:asciiTheme="minorHAnsi" w:eastAsiaTheme="minorEastAsia" w:hAnsiTheme="minorHAnsi" w:cstheme="minorBidi"/>
          <w:noProof/>
          <w:lang w:eastAsia="cs-CZ"/>
        </w:rPr>
      </w:pPr>
      <w:hyperlink w:anchor="_Toc114572364" w:history="1">
        <w:r w:rsidR="00833870" w:rsidRPr="00441FBA">
          <w:rPr>
            <w:rStyle w:val="Hypertextovodkaz"/>
            <w:noProof/>
          </w:rPr>
          <w:t>8.7</w:t>
        </w:r>
        <w:r w:rsidR="00833870">
          <w:rPr>
            <w:rFonts w:asciiTheme="minorHAnsi" w:eastAsiaTheme="minorEastAsia" w:hAnsiTheme="minorHAnsi" w:cstheme="minorBidi"/>
            <w:noProof/>
            <w:lang w:eastAsia="cs-CZ"/>
          </w:rPr>
          <w:tab/>
        </w:r>
        <w:r w:rsidR="00833870" w:rsidRPr="00441FBA">
          <w:rPr>
            <w:rStyle w:val="Hypertextovodkaz"/>
            <w:noProof/>
          </w:rPr>
          <w:t>Doporučení pro rozvoj KAPACIT pro mezinárodní spolupráci</w:t>
        </w:r>
        <w:r w:rsidR="00833870">
          <w:rPr>
            <w:noProof/>
            <w:webHidden/>
          </w:rPr>
          <w:tab/>
        </w:r>
        <w:r w:rsidR="00833870">
          <w:rPr>
            <w:noProof/>
            <w:webHidden/>
          </w:rPr>
          <w:fldChar w:fldCharType="begin"/>
        </w:r>
        <w:r w:rsidR="00833870">
          <w:rPr>
            <w:noProof/>
            <w:webHidden/>
          </w:rPr>
          <w:instrText xml:space="preserve"> PAGEREF _Toc114572364 \h </w:instrText>
        </w:r>
        <w:r w:rsidR="00833870">
          <w:rPr>
            <w:noProof/>
            <w:webHidden/>
          </w:rPr>
        </w:r>
        <w:r w:rsidR="00833870">
          <w:rPr>
            <w:noProof/>
            <w:webHidden/>
          </w:rPr>
          <w:fldChar w:fldCharType="separate"/>
        </w:r>
        <w:r w:rsidR="00DF283C">
          <w:rPr>
            <w:noProof/>
            <w:webHidden/>
          </w:rPr>
          <w:t>59</w:t>
        </w:r>
        <w:r w:rsidR="00833870">
          <w:rPr>
            <w:noProof/>
            <w:webHidden/>
          </w:rPr>
          <w:fldChar w:fldCharType="end"/>
        </w:r>
      </w:hyperlink>
    </w:p>
    <w:p w14:paraId="0F5ECDA2" w14:textId="6ABC333D" w:rsidR="00833870" w:rsidRDefault="00FA7752">
      <w:pPr>
        <w:pStyle w:val="Obsah1"/>
        <w:rPr>
          <w:rFonts w:asciiTheme="minorHAnsi" w:eastAsiaTheme="minorEastAsia" w:hAnsiTheme="minorHAnsi" w:cstheme="minorBidi"/>
          <w:b w:val="0"/>
          <w:noProof/>
          <w:lang w:eastAsia="cs-CZ"/>
        </w:rPr>
      </w:pPr>
      <w:hyperlink w:anchor="_Toc114572365" w:history="1">
        <w:r w:rsidR="00833870" w:rsidRPr="00441FBA">
          <w:rPr>
            <w:rStyle w:val="Hypertextovodkaz"/>
            <w:noProof/>
          </w:rPr>
          <w:t>9</w:t>
        </w:r>
        <w:r w:rsidR="00833870">
          <w:rPr>
            <w:rFonts w:asciiTheme="minorHAnsi" w:eastAsiaTheme="minorEastAsia" w:hAnsiTheme="minorHAnsi" w:cstheme="minorBidi"/>
            <w:b w:val="0"/>
            <w:noProof/>
            <w:lang w:eastAsia="cs-CZ"/>
          </w:rPr>
          <w:tab/>
        </w:r>
        <w:r w:rsidR="00833870" w:rsidRPr="00441FBA">
          <w:rPr>
            <w:rStyle w:val="Hypertextovodkaz"/>
            <w:noProof/>
          </w:rPr>
          <w:t>Literatura</w:t>
        </w:r>
        <w:r w:rsidR="009B66B5">
          <w:rPr>
            <w:rStyle w:val="Hypertextovodkaz"/>
            <w:noProof/>
          </w:rPr>
          <w:t xml:space="preserve"> a </w:t>
        </w:r>
        <w:r w:rsidR="00833870" w:rsidRPr="00441FBA">
          <w:rPr>
            <w:rStyle w:val="Hypertextovodkaz"/>
            <w:noProof/>
          </w:rPr>
          <w:t>zdroje</w:t>
        </w:r>
        <w:r w:rsidR="00833870">
          <w:rPr>
            <w:noProof/>
            <w:webHidden/>
          </w:rPr>
          <w:tab/>
        </w:r>
        <w:r w:rsidR="00833870">
          <w:rPr>
            <w:noProof/>
            <w:webHidden/>
          </w:rPr>
          <w:fldChar w:fldCharType="begin"/>
        </w:r>
        <w:r w:rsidR="00833870">
          <w:rPr>
            <w:noProof/>
            <w:webHidden/>
          </w:rPr>
          <w:instrText xml:space="preserve"> PAGEREF _Toc114572365 \h </w:instrText>
        </w:r>
        <w:r w:rsidR="00833870">
          <w:rPr>
            <w:noProof/>
            <w:webHidden/>
          </w:rPr>
        </w:r>
        <w:r w:rsidR="00833870">
          <w:rPr>
            <w:noProof/>
            <w:webHidden/>
          </w:rPr>
          <w:fldChar w:fldCharType="separate"/>
        </w:r>
        <w:r w:rsidR="00DF283C">
          <w:rPr>
            <w:noProof/>
            <w:webHidden/>
          </w:rPr>
          <w:t>60</w:t>
        </w:r>
        <w:r w:rsidR="00833870">
          <w:rPr>
            <w:noProof/>
            <w:webHidden/>
          </w:rPr>
          <w:fldChar w:fldCharType="end"/>
        </w:r>
      </w:hyperlink>
    </w:p>
    <w:p w14:paraId="43036C6F" w14:textId="36188329" w:rsidR="00833870" w:rsidRDefault="00FA7752">
      <w:pPr>
        <w:pStyle w:val="Obsah1"/>
        <w:rPr>
          <w:rFonts w:asciiTheme="minorHAnsi" w:eastAsiaTheme="minorEastAsia" w:hAnsiTheme="minorHAnsi" w:cstheme="minorBidi"/>
          <w:b w:val="0"/>
          <w:noProof/>
          <w:lang w:eastAsia="cs-CZ"/>
        </w:rPr>
      </w:pPr>
      <w:hyperlink w:anchor="_Toc114572366" w:history="1">
        <w:r w:rsidR="00833870" w:rsidRPr="00441FBA">
          <w:rPr>
            <w:rStyle w:val="Hypertextovodkaz"/>
            <w:noProof/>
          </w:rPr>
          <w:t>10</w:t>
        </w:r>
        <w:r w:rsidR="00833870">
          <w:rPr>
            <w:rFonts w:asciiTheme="minorHAnsi" w:eastAsiaTheme="minorEastAsia" w:hAnsiTheme="minorHAnsi" w:cstheme="minorBidi"/>
            <w:b w:val="0"/>
            <w:noProof/>
            <w:lang w:eastAsia="cs-CZ"/>
          </w:rPr>
          <w:tab/>
        </w:r>
        <w:r w:rsidR="00833870" w:rsidRPr="00441FBA">
          <w:rPr>
            <w:rStyle w:val="Hypertextovodkaz"/>
            <w:noProof/>
          </w:rPr>
          <w:t>Přílohy</w:t>
        </w:r>
        <w:r w:rsidR="00833870">
          <w:rPr>
            <w:noProof/>
            <w:webHidden/>
          </w:rPr>
          <w:tab/>
        </w:r>
        <w:r w:rsidR="00833870">
          <w:rPr>
            <w:noProof/>
            <w:webHidden/>
          </w:rPr>
          <w:fldChar w:fldCharType="begin"/>
        </w:r>
        <w:r w:rsidR="00833870">
          <w:rPr>
            <w:noProof/>
            <w:webHidden/>
          </w:rPr>
          <w:instrText xml:space="preserve"> PAGEREF _Toc114572366 \h </w:instrText>
        </w:r>
        <w:r w:rsidR="00833870">
          <w:rPr>
            <w:noProof/>
            <w:webHidden/>
          </w:rPr>
        </w:r>
        <w:r w:rsidR="00833870">
          <w:rPr>
            <w:noProof/>
            <w:webHidden/>
          </w:rPr>
          <w:fldChar w:fldCharType="separate"/>
        </w:r>
        <w:r w:rsidR="00DF283C">
          <w:rPr>
            <w:noProof/>
            <w:webHidden/>
          </w:rPr>
          <w:t>64</w:t>
        </w:r>
        <w:r w:rsidR="00833870">
          <w:rPr>
            <w:noProof/>
            <w:webHidden/>
          </w:rPr>
          <w:fldChar w:fldCharType="end"/>
        </w:r>
      </w:hyperlink>
    </w:p>
    <w:p w14:paraId="7563BB15" w14:textId="4AA92B22" w:rsidR="00833870" w:rsidRDefault="00FA7752">
      <w:pPr>
        <w:pStyle w:val="Obsah2"/>
        <w:tabs>
          <w:tab w:val="left" w:pos="880"/>
          <w:tab w:val="right" w:leader="dot" w:pos="9060"/>
        </w:tabs>
        <w:rPr>
          <w:rFonts w:asciiTheme="minorHAnsi" w:eastAsiaTheme="minorEastAsia" w:hAnsiTheme="minorHAnsi" w:cstheme="minorBidi"/>
          <w:noProof/>
          <w:lang w:eastAsia="cs-CZ"/>
        </w:rPr>
      </w:pPr>
      <w:hyperlink w:anchor="_Toc114572367" w:history="1">
        <w:r w:rsidR="00833870" w:rsidRPr="00441FBA">
          <w:rPr>
            <w:rStyle w:val="Hypertextovodkaz"/>
            <w:noProof/>
          </w:rPr>
          <w:t>10.1</w:t>
        </w:r>
        <w:r w:rsidR="00833870">
          <w:rPr>
            <w:rFonts w:asciiTheme="minorHAnsi" w:eastAsiaTheme="minorEastAsia" w:hAnsiTheme="minorHAnsi" w:cstheme="minorBidi"/>
            <w:noProof/>
            <w:lang w:eastAsia="cs-CZ"/>
          </w:rPr>
          <w:tab/>
        </w:r>
        <w:r w:rsidR="00833870" w:rsidRPr="00441FBA">
          <w:rPr>
            <w:rStyle w:val="Hypertextovodkaz"/>
            <w:noProof/>
          </w:rPr>
          <w:t>Dotazníkové šetření ve VŠ</w:t>
        </w:r>
        <w:r w:rsidR="009B66B5">
          <w:rPr>
            <w:rStyle w:val="Hypertextovodkaz"/>
            <w:noProof/>
          </w:rPr>
          <w:t xml:space="preserve"> a </w:t>
        </w:r>
        <w:r w:rsidR="00833870" w:rsidRPr="00441FBA">
          <w:rPr>
            <w:rStyle w:val="Hypertextovodkaz"/>
            <w:noProof/>
          </w:rPr>
          <w:t>ústavech AV ČR</w:t>
        </w:r>
        <w:r w:rsidR="00833870">
          <w:rPr>
            <w:noProof/>
            <w:webHidden/>
          </w:rPr>
          <w:tab/>
        </w:r>
        <w:r w:rsidR="00833870">
          <w:rPr>
            <w:noProof/>
            <w:webHidden/>
          </w:rPr>
          <w:fldChar w:fldCharType="begin"/>
        </w:r>
        <w:r w:rsidR="00833870">
          <w:rPr>
            <w:noProof/>
            <w:webHidden/>
          </w:rPr>
          <w:instrText xml:space="preserve"> PAGEREF _Toc114572367 \h </w:instrText>
        </w:r>
        <w:r w:rsidR="00833870">
          <w:rPr>
            <w:noProof/>
            <w:webHidden/>
          </w:rPr>
        </w:r>
        <w:r w:rsidR="00833870">
          <w:rPr>
            <w:noProof/>
            <w:webHidden/>
          </w:rPr>
          <w:fldChar w:fldCharType="separate"/>
        </w:r>
        <w:r w:rsidR="00DF283C">
          <w:rPr>
            <w:noProof/>
            <w:webHidden/>
          </w:rPr>
          <w:t>64</w:t>
        </w:r>
        <w:r w:rsidR="00833870">
          <w:rPr>
            <w:noProof/>
            <w:webHidden/>
          </w:rPr>
          <w:fldChar w:fldCharType="end"/>
        </w:r>
      </w:hyperlink>
    </w:p>
    <w:p w14:paraId="0E0D0FE4" w14:textId="66CEA7E4" w:rsidR="00833870" w:rsidRDefault="00FA7752">
      <w:pPr>
        <w:pStyle w:val="Obsah3"/>
        <w:tabs>
          <w:tab w:val="left" w:pos="1320"/>
          <w:tab w:val="right" w:leader="dot" w:pos="9060"/>
        </w:tabs>
        <w:rPr>
          <w:rFonts w:asciiTheme="minorHAnsi" w:eastAsiaTheme="minorEastAsia" w:hAnsiTheme="minorHAnsi" w:cstheme="minorBidi"/>
          <w:noProof/>
          <w:sz w:val="22"/>
          <w:lang w:eastAsia="cs-CZ"/>
        </w:rPr>
      </w:pPr>
      <w:hyperlink w:anchor="_Toc114572368" w:history="1">
        <w:r w:rsidR="00833870" w:rsidRPr="00441FBA">
          <w:rPr>
            <w:rStyle w:val="Hypertextovodkaz"/>
            <w:noProof/>
          </w:rPr>
          <w:t>10.1.1</w:t>
        </w:r>
        <w:r w:rsidR="00833870">
          <w:rPr>
            <w:rFonts w:asciiTheme="minorHAnsi" w:eastAsiaTheme="minorEastAsia" w:hAnsiTheme="minorHAnsi" w:cstheme="minorBidi"/>
            <w:noProof/>
            <w:sz w:val="22"/>
            <w:lang w:eastAsia="cs-CZ"/>
          </w:rPr>
          <w:tab/>
        </w:r>
        <w:r w:rsidR="00833870" w:rsidRPr="00441FBA">
          <w:rPr>
            <w:rStyle w:val="Hypertextovodkaz"/>
            <w:noProof/>
          </w:rPr>
          <w:t>Dotazník pro zjištění podmínek pro internacionalizaci ve VŠ</w:t>
        </w:r>
        <w:r w:rsidR="009B66B5">
          <w:rPr>
            <w:rStyle w:val="Hypertextovodkaz"/>
            <w:noProof/>
          </w:rPr>
          <w:t xml:space="preserve"> a </w:t>
        </w:r>
        <w:r w:rsidR="00833870" w:rsidRPr="00441FBA">
          <w:rPr>
            <w:rStyle w:val="Hypertextovodkaz"/>
            <w:noProof/>
          </w:rPr>
          <w:t>ústavech AV ČR</w:t>
        </w:r>
        <w:r w:rsidR="00833870">
          <w:rPr>
            <w:noProof/>
            <w:webHidden/>
          </w:rPr>
          <w:tab/>
        </w:r>
        <w:r w:rsidR="00833870">
          <w:rPr>
            <w:noProof/>
            <w:webHidden/>
          </w:rPr>
          <w:fldChar w:fldCharType="begin"/>
        </w:r>
        <w:r w:rsidR="00833870">
          <w:rPr>
            <w:noProof/>
            <w:webHidden/>
          </w:rPr>
          <w:instrText xml:space="preserve"> PAGEREF _Toc114572368 \h </w:instrText>
        </w:r>
        <w:r w:rsidR="00833870">
          <w:rPr>
            <w:noProof/>
            <w:webHidden/>
          </w:rPr>
        </w:r>
        <w:r w:rsidR="00833870">
          <w:rPr>
            <w:noProof/>
            <w:webHidden/>
          </w:rPr>
          <w:fldChar w:fldCharType="separate"/>
        </w:r>
        <w:r w:rsidR="00DF283C">
          <w:rPr>
            <w:noProof/>
            <w:webHidden/>
          </w:rPr>
          <w:t>64</w:t>
        </w:r>
        <w:r w:rsidR="00833870">
          <w:rPr>
            <w:noProof/>
            <w:webHidden/>
          </w:rPr>
          <w:fldChar w:fldCharType="end"/>
        </w:r>
      </w:hyperlink>
    </w:p>
    <w:p w14:paraId="262749AA" w14:textId="53990CD6" w:rsidR="00833870" w:rsidRDefault="00FA7752">
      <w:pPr>
        <w:pStyle w:val="Obsah3"/>
        <w:tabs>
          <w:tab w:val="left" w:pos="1320"/>
          <w:tab w:val="right" w:leader="dot" w:pos="9060"/>
        </w:tabs>
        <w:rPr>
          <w:rFonts w:asciiTheme="minorHAnsi" w:eastAsiaTheme="minorEastAsia" w:hAnsiTheme="minorHAnsi" w:cstheme="minorBidi"/>
          <w:noProof/>
          <w:sz w:val="22"/>
          <w:lang w:eastAsia="cs-CZ"/>
        </w:rPr>
      </w:pPr>
      <w:hyperlink w:anchor="_Toc114572369" w:history="1">
        <w:r w:rsidR="00833870" w:rsidRPr="00441FBA">
          <w:rPr>
            <w:rStyle w:val="Hypertextovodkaz"/>
            <w:noProof/>
          </w:rPr>
          <w:t>10.1.2</w:t>
        </w:r>
        <w:r w:rsidR="00833870">
          <w:rPr>
            <w:rFonts w:asciiTheme="minorHAnsi" w:eastAsiaTheme="minorEastAsia" w:hAnsiTheme="minorHAnsi" w:cstheme="minorBidi"/>
            <w:noProof/>
            <w:sz w:val="22"/>
            <w:lang w:eastAsia="cs-CZ"/>
          </w:rPr>
          <w:tab/>
        </w:r>
        <w:r w:rsidR="00833870" w:rsidRPr="00441FBA">
          <w:rPr>
            <w:rStyle w:val="Hypertextovodkaz"/>
            <w:noProof/>
          </w:rPr>
          <w:t>Výsledky dotazníkového šetření</w:t>
        </w:r>
        <w:r w:rsidR="00833870">
          <w:rPr>
            <w:noProof/>
            <w:webHidden/>
          </w:rPr>
          <w:tab/>
        </w:r>
        <w:r w:rsidR="00833870">
          <w:rPr>
            <w:noProof/>
            <w:webHidden/>
          </w:rPr>
          <w:fldChar w:fldCharType="begin"/>
        </w:r>
        <w:r w:rsidR="00833870">
          <w:rPr>
            <w:noProof/>
            <w:webHidden/>
          </w:rPr>
          <w:instrText xml:space="preserve"> PAGEREF _Toc114572369 \h </w:instrText>
        </w:r>
        <w:r w:rsidR="00833870">
          <w:rPr>
            <w:noProof/>
            <w:webHidden/>
          </w:rPr>
        </w:r>
        <w:r w:rsidR="00833870">
          <w:rPr>
            <w:noProof/>
            <w:webHidden/>
          </w:rPr>
          <w:fldChar w:fldCharType="separate"/>
        </w:r>
        <w:r w:rsidR="00DF283C">
          <w:rPr>
            <w:noProof/>
            <w:webHidden/>
          </w:rPr>
          <w:t>68</w:t>
        </w:r>
        <w:r w:rsidR="00833870">
          <w:rPr>
            <w:noProof/>
            <w:webHidden/>
          </w:rPr>
          <w:fldChar w:fldCharType="end"/>
        </w:r>
      </w:hyperlink>
    </w:p>
    <w:p w14:paraId="4C41BC33" w14:textId="77777777" w:rsidR="003211CC" w:rsidRDefault="00CA07C7">
      <w:r>
        <w:rPr>
          <w:b/>
        </w:rPr>
        <w:fldChar w:fldCharType="end"/>
      </w:r>
    </w:p>
    <w:p w14:paraId="10DDC846" w14:textId="77777777" w:rsidR="00D1019A" w:rsidRDefault="00977FB8" w:rsidP="005515AB">
      <w:pPr>
        <w:pStyle w:val="Nadpis1"/>
      </w:pPr>
      <w:bookmarkStart w:id="2" w:name="_Ref496972504"/>
      <w:bookmarkStart w:id="3" w:name="_Toc519688028"/>
      <w:bookmarkStart w:id="4" w:name="_Ref15826811"/>
      <w:bookmarkStart w:id="5" w:name="_Toc114572306"/>
      <w:r>
        <w:lastRenderedPageBreak/>
        <w:t>Ú</w:t>
      </w:r>
      <w:bookmarkEnd w:id="2"/>
      <w:bookmarkEnd w:id="3"/>
      <w:r w:rsidR="006026D5">
        <w:t>vod</w:t>
      </w:r>
      <w:bookmarkEnd w:id="4"/>
      <w:bookmarkEnd w:id="5"/>
    </w:p>
    <w:p w14:paraId="2758CD71" w14:textId="77777777" w:rsidR="00FD7B14" w:rsidRDefault="00FD7B14" w:rsidP="00FD7B14">
      <w:r>
        <w:t>Tato studie vznikla na základě požadavku Rady pro výzkum, vývoj</w:t>
      </w:r>
      <w:r w:rsidR="009B66B5">
        <w:t xml:space="preserve"> a </w:t>
      </w:r>
      <w:r>
        <w:t>inovace</w:t>
      </w:r>
      <w:r w:rsidR="009B66B5">
        <w:t xml:space="preserve"> a </w:t>
      </w:r>
      <w:r>
        <w:t>Ministerstva školství, mládeže</w:t>
      </w:r>
      <w:r w:rsidR="009B66B5">
        <w:t xml:space="preserve"> a </w:t>
      </w:r>
      <w:r>
        <w:t>tělovýchovy na rozpracování doporučení pro zvýšení účasti ČR</w:t>
      </w:r>
      <w:r w:rsidR="009B66B5">
        <w:t xml:space="preserve"> v </w:t>
      </w:r>
      <w:r w:rsidR="00EB3974">
        <w:t xml:space="preserve">rámcovém </w:t>
      </w:r>
      <w:r>
        <w:t xml:space="preserve">programu </w:t>
      </w:r>
      <w:r w:rsidR="00EB3974">
        <w:t>EU pro výzkum</w:t>
      </w:r>
      <w:r w:rsidR="009B66B5">
        <w:t xml:space="preserve"> a </w:t>
      </w:r>
      <w:r w:rsidR="00EB3974">
        <w:t xml:space="preserve">inovace </w:t>
      </w:r>
      <w:r>
        <w:t>Horizont Evropa</w:t>
      </w:r>
      <w:r w:rsidR="00EB3974">
        <w:t xml:space="preserve"> (2021–2027)</w:t>
      </w:r>
      <w:r>
        <w:t xml:space="preserve">. Studie byla zpracována ve spolupráci expertních týmů podílejících </w:t>
      </w:r>
      <w:r w:rsidR="00E31C0A">
        <w:t xml:space="preserve">se </w:t>
      </w:r>
      <w:r>
        <w:t>na řešení projektů sdílených činností CZERA, STRATIN+</w:t>
      </w:r>
      <w:r w:rsidR="009B66B5">
        <w:t xml:space="preserve"> a </w:t>
      </w:r>
      <w:r>
        <w:t>CZELO.</w:t>
      </w:r>
    </w:p>
    <w:p w14:paraId="14CE41BE" w14:textId="77777777" w:rsidR="00FD7B14" w:rsidRDefault="00FD7B14" w:rsidP="00FD7B14">
      <w:r>
        <w:t>Cílem studie je shrnout dosavadní zkušenosti</w:t>
      </w:r>
      <w:r w:rsidR="009B66B5">
        <w:t xml:space="preserve"> s </w:t>
      </w:r>
      <w:r>
        <w:t>účastí výzkumných týmu</w:t>
      </w:r>
      <w:r w:rsidR="009B66B5">
        <w:t xml:space="preserve"> z </w:t>
      </w:r>
      <w:r>
        <w:t>ČR</w:t>
      </w:r>
      <w:r w:rsidR="009B66B5">
        <w:t xml:space="preserve"> v </w:t>
      </w:r>
      <w:r>
        <w:t xml:space="preserve">rámcových programech </w:t>
      </w:r>
      <w:r w:rsidR="00EB3974">
        <w:t xml:space="preserve">EU </w:t>
      </w:r>
      <w:r>
        <w:t>(zejm.</w:t>
      </w:r>
      <w:r w:rsidR="00493F5A">
        <w:t xml:space="preserve"> RP</w:t>
      </w:r>
      <w:r>
        <w:t xml:space="preserve"> Horizont 2020), identifikovat hlavní nedostatky</w:t>
      </w:r>
      <w:r w:rsidR="009B66B5">
        <w:t xml:space="preserve"> a </w:t>
      </w:r>
      <w:r>
        <w:t>bariéry této účasti</w:t>
      </w:r>
      <w:r w:rsidR="009B66B5">
        <w:t xml:space="preserve"> a </w:t>
      </w:r>
      <w:r>
        <w:t>na základě posouzení současného stavu rozpracovat doporučení pro zvýšení účasti</w:t>
      </w:r>
      <w:r w:rsidR="009B66B5">
        <w:t xml:space="preserve"> v </w:t>
      </w:r>
      <w:r w:rsidR="00EB3974">
        <w:t xml:space="preserve">rámcovém </w:t>
      </w:r>
      <w:r>
        <w:t>programu Horizont Evropa</w:t>
      </w:r>
      <w:r w:rsidR="009B66B5">
        <w:t xml:space="preserve"> a </w:t>
      </w:r>
      <w:r>
        <w:t>obecněji</w:t>
      </w:r>
      <w:r w:rsidR="009B66B5">
        <w:t xml:space="preserve"> v </w:t>
      </w:r>
      <w:r>
        <w:t>mezinárodních projektech výzkumné</w:t>
      </w:r>
      <w:r w:rsidR="009B66B5">
        <w:t xml:space="preserve"> a </w:t>
      </w:r>
      <w:r>
        <w:t>inovační spolupráce</w:t>
      </w:r>
      <w:r w:rsidR="009B66B5">
        <w:t xml:space="preserve"> v </w:t>
      </w:r>
      <w:r>
        <w:t>Evropském výzkumném prostoru</w:t>
      </w:r>
      <w:r w:rsidR="009B66B5">
        <w:t xml:space="preserve"> i </w:t>
      </w:r>
      <w:r w:rsidR="00EB3974">
        <w:t>mimo něj</w:t>
      </w:r>
      <w:r>
        <w:t xml:space="preserve">. </w:t>
      </w:r>
    </w:p>
    <w:p w14:paraId="47BCD9C2" w14:textId="77777777" w:rsidR="00FD7B14" w:rsidRDefault="00FD7B14" w:rsidP="00FD7B14">
      <w:r>
        <w:t>Nezřídka zmiňovaným motivem</w:t>
      </w:r>
      <w:r w:rsidR="009B66B5">
        <w:t xml:space="preserve"> k </w:t>
      </w:r>
      <w:r>
        <w:t>účasti</w:t>
      </w:r>
      <w:r w:rsidR="009B66B5">
        <w:t xml:space="preserve"> v </w:t>
      </w:r>
      <w:r>
        <w:t>rámcových programech</w:t>
      </w:r>
      <w:r w:rsidR="00EB3974">
        <w:t xml:space="preserve"> EU</w:t>
      </w:r>
      <w:r w:rsidR="00E31C0A">
        <w:t>,</w:t>
      </w:r>
      <w:r w:rsidR="009B66B5">
        <w:t xml:space="preserve"> a </w:t>
      </w:r>
      <w:r w:rsidR="00E31C0A">
        <w:t>to jak ze strany výzkumníků</w:t>
      </w:r>
      <w:r w:rsidR="009B66B5">
        <w:t xml:space="preserve"> a </w:t>
      </w:r>
      <w:r>
        <w:t xml:space="preserve">výzkumných organizací, </w:t>
      </w:r>
      <w:r w:rsidR="00E31C0A">
        <w:t>tak</w:t>
      </w:r>
      <w:r w:rsidR="009B66B5">
        <w:t xml:space="preserve"> i </w:t>
      </w:r>
      <w:r>
        <w:t>podniků</w:t>
      </w:r>
      <w:r w:rsidR="009B66B5">
        <w:t xml:space="preserve"> a </w:t>
      </w:r>
      <w:r>
        <w:t>tvůrců politik, je získání finančních prostředků na výzkum</w:t>
      </w:r>
      <w:r w:rsidR="009B66B5">
        <w:t xml:space="preserve"> a </w:t>
      </w:r>
      <w:r w:rsidR="00EB3974">
        <w:t>inovace</w:t>
      </w:r>
      <w:r>
        <w:t>. Tento pohled na účast</w:t>
      </w:r>
      <w:r w:rsidR="009B66B5">
        <w:t xml:space="preserve"> v </w:t>
      </w:r>
      <w:r>
        <w:t>evropských projektech výzkumné</w:t>
      </w:r>
      <w:r w:rsidR="009B66B5">
        <w:t xml:space="preserve"> a </w:t>
      </w:r>
      <w:r>
        <w:t>inovační spolupráce je však velmi zúžený, neboť realizace projektů</w:t>
      </w:r>
      <w:r w:rsidR="009B66B5">
        <w:t xml:space="preserve"> v </w:t>
      </w:r>
      <w:r>
        <w:t xml:space="preserve">rámcových programech </w:t>
      </w:r>
      <w:r w:rsidR="00EB3974">
        <w:t xml:space="preserve">EU </w:t>
      </w:r>
      <w:r>
        <w:t>přináší zapojeným týmům, organizacím</w:t>
      </w:r>
      <w:r w:rsidR="009B66B5">
        <w:t xml:space="preserve"> i </w:t>
      </w:r>
      <w:r>
        <w:t>národnímu výzkumnému</w:t>
      </w:r>
      <w:r w:rsidR="009B66B5">
        <w:t xml:space="preserve"> a </w:t>
      </w:r>
      <w:r>
        <w:t>inovačnímu systému jako celku mnohem více než jen finanční prostředky. Spolupráce na projektech</w:t>
      </w:r>
      <w:r w:rsidR="009B66B5">
        <w:t xml:space="preserve"> v </w:t>
      </w:r>
      <w:r>
        <w:t xml:space="preserve">rámcových programech </w:t>
      </w:r>
      <w:r w:rsidR="00EB3974">
        <w:t xml:space="preserve">EU </w:t>
      </w:r>
      <w:r>
        <w:t xml:space="preserve">prokazatelně zvyšuje kvalitu výzkumných </w:t>
      </w:r>
      <w:r w:rsidR="00E31C0A">
        <w:br/>
      </w:r>
      <w:r>
        <w:t>a inovačních aktivit, usnadňuje přenos znalostí</w:t>
      </w:r>
      <w:r w:rsidR="00E31C0A">
        <w:t>,</w:t>
      </w:r>
      <w:r w:rsidR="009B66B5">
        <w:t xml:space="preserve"> a </w:t>
      </w:r>
      <w:r>
        <w:t>tím urychluje inovační proces</w:t>
      </w:r>
      <w:r w:rsidR="009B66B5">
        <w:t xml:space="preserve"> a v </w:t>
      </w:r>
      <w:r>
        <w:t>neposlední řadě kultivuje</w:t>
      </w:r>
      <w:r w:rsidR="009B66B5">
        <w:t xml:space="preserve"> a </w:t>
      </w:r>
      <w:r>
        <w:t>internacionalizuje národní výzkumné</w:t>
      </w:r>
      <w:r w:rsidR="009B66B5">
        <w:t xml:space="preserve"> a </w:t>
      </w:r>
      <w:r>
        <w:t>inovační systémy. Motivem pro zpracování této studie je snaha</w:t>
      </w:r>
      <w:r w:rsidR="009B66B5">
        <w:t xml:space="preserve"> o </w:t>
      </w:r>
      <w:r>
        <w:t xml:space="preserve">formulaci doporučení pro větší </w:t>
      </w:r>
      <w:r w:rsidR="00EB3974">
        <w:t xml:space="preserve">míru </w:t>
      </w:r>
      <w:r>
        <w:t>zapojení ČR do mezinárodních výzkumných</w:t>
      </w:r>
      <w:r w:rsidR="009B66B5">
        <w:t xml:space="preserve"> a </w:t>
      </w:r>
      <w:r>
        <w:t>inovačních projektů, které na jedné straně umožní využít výzkumný</w:t>
      </w:r>
      <w:r w:rsidR="009B66B5">
        <w:t xml:space="preserve"> a </w:t>
      </w:r>
      <w:r>
        <w:t>inovační potenciál ČR pro řeš</w:t>
      </w:r>
      <w:r w:rsidR="00E31C0A">
        <w:t xml:space="preserve">ení </w:t>
      </w:r>
      <w:r w:rsidR="00EB3974">
        <w:t xml:space="preserve">národních, </w:t>
      </w:r>
      <w:r w:rsidR="00E31C0A">
        <w:t>evropských</w:t>
      </w:r>
      <w:r w:rsidR="009B66B5">
        <w:t xml:space="preserve"> i </w:t>
      </w:r>
      <w:r w:rsidR="00EB3974">
        <w:t xml:space="preserve">globálních </w:t>
      </w:r>
      <w:r w:rsidR="00E31C0A">
        <w:t>potřeb</w:t>
      </w:r>
      <w:r w:rsidR="009B66B5">
        <w:t xml:space="preserve"> a </w:t>
      </w:r>
      <w:r w:rsidR="00E31C0A">
        <w:t xml:space="preserve">výzev, </w:t>
      </w:r>
      <w:r>
        <w:t>na straně druhé posílí excelenci</w:t>
      </w:r>
      <w:r w:rsidR="00EB3974">
        <w:t>, konkurenceschopnost</w:t>
      </w:r>
      <w:r w:rsidR="009B66B5">
        <w:t xml:space="preserve"> a </w:t>
      </w:r>
      <w:r>
        <w:t>společenskou relevanci českého výzkumu</w:t>
      </w:r>
      <w:r w:rsidR="009B66B5">
        <w:t xml:space="preserve"> a </w:t>
      </w:r>
      <w:r w:rsidR="00EB3974">
        <w:t>inovací</w:t>
      </w:r>
      <w:r>
        <w:t>.</w:t>
      </w:r>
    </w:p>
    <w:p w14:paraId="32FAC91C" w14:textId="77777777" w:rsidR="00FD7B14" w:rsidRDefault="00FD7B14" w:rsidP="00FD7B14">
      <w:r>
        <w:t>Struktura studie je následující. V první kapitole jsou</w:t>
      </w:r>
      <w:r w:rsidRPr="009F58A1">
        <w:t xml:space="preserve"> shrnuty závěry </w:t>
      </w:r>
      <w:r>
        <w:t xml:space="preserve">recentních </w:t>
      </w:r>
      <w:r w:rsidRPr="009F58A1">
        <w:t>analýz, které se zabývají účastí ČR</w:t>
      </w:r>
      <w:r w:rsidR="009B66B5">
        <w:t xml:space="preserve"> v </w:t>
      </w:r>
      <w:r w:rsidRPr="009F58A1">
        <w:t>rámcových programech EU</w:t>
      </w:r>
      <w:r w:rsidR="009B66B5">
        <w:t xml:space="preserve"> v </w:t>
      </w:r>
      <w:r w:rsidRPr="009F58A1">
        <w:t>mezinárodním srovnání</w:t>
      </w:r>
      <w:r w:rsidR="009B66B5">
        <w:t xml:space="preserve"> a </w:t>
      </w:r>
      <w:r>
        <w:t>souvisejícími vývojovými trendy</w:t>
      </w:r>
      <w:r w:rsidRPr="009F58A1">
        <w:t xml:space="preserve">. </w:t>
      </w:r>
      <w:r>
        <w:t>V této kapitole jsou rovněž nastíněny některé přetrvávající limitující faktory, které brání plnému využití potenciálu ČR pro zapojení do rámcových programů</w:t>
      </w:r>
      <w:r w:rsidR="00D74FBD">
        <w:t xml:space="preserve"> EU</w:t>
      </w:r>
      <w:r>
        <w:t xml:space="preserve">. </w:t>
      </w:r>
    </w:p>
    <w:p w14:paraId="5A0204A5" w14:textId="77777777" w:rsidR="00FD7B14" w:rsidRDefault="00FD7B14" w:rsidP="00FD7B14">
      <w:r>
        <w:t>Druhá kapitola je specificky věnována motivaci výzkumníků</w:t>
      </w:r>
      <w:r w:rsidR="009B66B5">
        <w:t xml:space="preserve"> a </w:t>
      </w:r>
      <w:r>
        <w:t>výzkumných organizací</w:t>
      </w:r>
      <w:r w:rsidR="009B66B5">
        <w:t xml:space="preserve"> k </w:t>
      </w:r>
      <w:r>
        <w:t>zapojení do rámcových programů</w:t>
      </w:r>
      <w:r w:rsidR="00051013">
        <w:t xml:space="preserve"> EU</w:t>
      </w:r>
      <w:r>
        <w:t>. Pozornost je zde věnována jak systému hodnocení výzkumu</w:t>
      </w:r>
      <w:r w:rsidR="009B66B5">
        <w:t xml:space="preserve"> v </w:t>
      </w:r>
      <w:r>
        <w:t xml:space="preserve">ČR, tak také </w:t>
      </w:r>
      <w:r w:rsidRPr="002C79D1">
        <w:t>prostředí ve výzkumných organizacích</w:t>
      </w:r>
      <w:r>
        <w:t xml:space="preserve"> pro navazování</w:t>
      </w:r>
      <w:r w:rsidR="009B66B5">
        <w:t xml:space="preserve"> a </w:t>
      </w:r>
      <w:r>
        <w:t xml:space="preserve">rozvoj mezinárodní spolupráce. </w:t>
      </w:r>
    </w:p>
    <w:p w14:paraId="1A79271A" w14:textId="77777777" w:rsidR="00FD7B14" w:rsidRDefault="00FD7B14" w:rsidP="00FD7B14">
      <w:pPr>
        <w:rPr>
          <w:rFonts w:cs="Calibri"/>
        </w:rPr>
      </w:pPr>
      <w:r>
        <w:t>Ve t</w:t>
      </w:r>
      <w:r w:rsidR="00E31C0A">
        <w:t>řetí kapitole jsou diskutována e</w:t>
      </w:r>
      <w:r>
        <w:t xml:space="preserve">vropská partnerství, která představují </w:t>
      </w:r>
      <w:r w:rsidRPr="00594CE3">
        <w:rPr>
          <w:rFonts w:cs="Calibri"/>
        </w:rPr>
        <w:t xml:space="preserve">klíčový nástroj realizace </w:t>
      </w:r>
      <w:r w:rsidR="00051013">
        <w:rPr>
          <w:rFonts w:cs="Calibri"/>
        </w:rPr>
        <w:t xml:space="preserve">rámcového </w:t>
      </w:r>
      <w:r w:rsidRPr="00594CE3">
        <w:rPr>
          <w:rFonts w:cs="Calibri"/>
        </w:rPr>
        <w:t>programu Horizont Evropa</w:t>
      </w:r>
      <w:r w:rsidR="009B66B5">
        <w:rPr>
          <w:rFonts w:cs="Calibri"/>
        </w:rPr>
        <w:t xml:space="preserve"> a </w:t>
      </w:r>
      <w:r w:rsidRPr="00594CE3">
        <w:rPr>
          <w:rFonts w:cs="Calibri"/>
        </w:rPr>
        <w:t>významně přispívají ke snížení roztříštěnosti výzkumn</w:t>
      </w:r>
      <w:r w:rsidR="00051013">
        <w:rPr>
          <w:rFonts w:cs="Calibri"/>
        </w:rPr>
        <w:t>ých</w:t>
      </w:r>
      <w:r w:rsidR="009B66B5">
        <w:rPr>
          <w:rFonts w:cs="Calibri"/>
        </w:rPr>
        <w:t xml:space="preserve"> a </w:t>
      </w:r>
      <w:r w:rsidRPr="00594CE3">
        <w:rPr>
          <w:rFonts w:cs="Calibri"/>
        </w:rPr>
        <w:t>inovační</w:t>
      </w:r>
      <w:r w:rsidR="00051013">
        <w:rPr>
          <w:rFonts w:cs="Calibri"/>
        </w:rPr>
        <w:t>ch</w:t>
      </w:r>
      <w:r w:rsidRPr="00594CE3">
        <w:rPr>
          <w:rFonts w:cs="Calibri"/>
        </w:rPr>
        <w:t xml:space="preserve"> </w:t>
      </w:r>
      <w:r w:rsidR="00051013">
        <w:rPr>
          <w:rFonts w:cs="Calibri"/>
        </w:rPr>
        <w:t>kapacit</w:t>
      </w:r>
      <w:r w:rsidR="009B66B5">
        <w:rPr>
          <w:rFonts w:cs="Calibri"/>
        </w:rPr>
        <w:t xml:space="preserve"> v </w:t>
      </w:r>
      <w:r w:rsidRPr="00594CE3">
        <w:rPr>
          <w:rFonts w:cs="Calibri"/>
        </w:rPr>
        <w:t>EU</w:t>
      </w:r>
      <w:r>
        <w:rPr>
          <w:rFonts w:cs="Calibri"/>
        </w:rPr>
        <w:t>. Současně tato partnerství hrají důležitou roli při definování strategické orientace výzkumu</w:t>
      </w:r>
      <w:r w:rsidR="009B66B5">
        <w:rPr>
          <w:rFonts w:cs="Calibri"/>
        </w:rPr>
        <w:t xml:space="preserve"> a </w:t>
      </w:r>
      <w:r w:rsidR="00051013">
        <w:rPr>
          <w:rFonts w:cs="Calibri"/>
        </w:rPr>
        <w:t xml:space="preserve">inovací </w:t>
      </w:r>
      <w:r>
        <w:rPr>
          <w:rFonts w:cs="Calibri"/>
        </w:rPr>
        <w:t>podporovan</w:t>
      </w:r>
      <w:r w:rsidR="00051013">
        <w:rPr>
          <w:rFonts w:cs="Calibri"/>
        </w:rPr>
        <w:t>ých</w:t>
      </w:r>
      <w:r w:rsidR="009B66B5">
        <w:rPr>
          <w:rFonts w:cs="Calibri"/>
        </w:rPr>
        <w:t xml:space="preserve"> z </w:t>
      </w:r>
      <w:r w:rsidR="00051013">
        <w:rPr>
          <w:rFonts w:cs="Calibri"/>
        </w:rPr>
        <w:t xml:space="preserve">rámcového </w:t>
      </w:r>
      <w:r>
        <w:rPr>
          <w:rFonts w:cs="Calibri"/>
        </w:rPr>
        <w:t>programu Horizont Evropa</w:t>
      </w:r>
      <w:r w:rsidR="009B66B5">
        <w:rPr>
          <w:rFonts w:cs="Calibri"/>
        </w:rPr>
        <w:t xml:space="preserve"> a </w:t>
      </w:r>
      <w:r>
        <w:rPr>
          <w:rFonts w:cs="Calibri"/>
        </w:rPr>
        <w:t>při</w:t>
      </w:r>
      <w:r w:rsidR="00051013">
        <w:rPr>
          <w:rFonts w:cs="Calibri"/>
        </w:rPr>
        <w:t xml:space="preserve"> jeho</w:t>
      </w:r>
      <w:r>
        <w:rPr>
          <w:rFonts w:cs="Calibri"/>
        </w:rPr>
        <w:t xml:space="preserve"> implementaci.</w:t>
      </w:r>
    </w:p>
    <w:p w14:paraId="34DDDF45" w14:textId="77777777" w:rsidR="00FD7B14" w:rsidRDefault="00FD7B14" w:rsidP="00FD7B14">
      <w:pPr>
        <w:rPr>
          <w:rFonts w:cs="Calibri"/>
        </w:rPr>
      </w:pPr>
      <w:r>
        <w:rPr>
          <w:rFonts w:cs="Calibri"/>
        </w:rPr>
        <w:t>Čtvrtá kapitola se zaměřuje na s</w:t>
      </w:r>
      <w:r w:rsidRPr="00594CE3">
        <w:rPr>
          <w:rFonts w:cs="Calibri"/>
        </w:rPr>
        <w:t>ynergie evropských</w:t>
      </w:r>
      <w:r w:rsidR="009B66B5">
        <w:rPr>
          <w:rFonts w:cs="Calibri"/>
        </w:rPr>
        <w:t xml:space="preserve"> a </w:t>
      </w:r>
      <w:r w:rsidRPr="00594CE3">
        <w:rPr>
          <w:rFonts w:cs="Calibri"/>
        </w:rPr>
        <w:t>národních nástrojů podpory</w:t>
      </w:r>
      <w:r>
        <w:rPr>
          <w:rFonts w:cs="Calibri"/>
        </w:rPr>
        <w:t>, které by měly napomoci</w:t>
      </w:r>
      <w:r w:rsidR="009B66B5">
        <w:rPr>
          <w:rFonts w:cs="Calibri"/>
        </w:rPr>
        <w:t xml:space="preserve"> k </w:t>
      </w:r>
      <w:r>
        <w:rPr>
          <w:rFonts w:cs="Calibri"/>
        </w:rPr>
        <w:t>efektivnějšímu využívání prostředků na výzkum, vývoj</w:t>
      </w:r>
      <w:r w:rsidR="009B66B5">
        <w:rPr>
          <w:rFonts w:cs="Calibri"/>
        </w:rPr>
        <w:t xml:space="preserve"> a </w:t>
      </w:r>
      <w:r>
        <w:rPr>
          <w:rFonts w:cs="Calibri"/>
        </w:rPr>
        <w:t>inovace</w:t>
      </w:r>
      <w:r w:rsidR="009B66B5">
        <w:rPr>
          <w:rFonts w:cs="Calibri"/>
        </w:rPr>
        <w:t xml:space="preserve"> z </w:t>
      </w:r>
      <w:r>
        <w:rPr>
          <w:rFonts w:cs="Calibri"/>
        </w:rPr>
        <w:t>různých zdrojů. Kvalitně</w:t>
      </w:r>
      <w:r w:rsidR="009B66B5">
        <w:rPr>
          <w:rFonts w:cs="Calibri"/>
        </w:rPr>
        <w:t xml:space="preserve"> a </w:t>
      </w:r>
      <w:r>
        <w:rPr>
          <w:rFonts w:cs="Calibri"/>
        </w:rPr>
        <w:t>efektivně uplatňované synergie mohou rovněž posílit motivace výzkumných týmů</w:t>
      </w:r>
      <w:r w:rsidR="009B66B5">
        <w:rPr>
          <w:rFonts w:cs="Calibri"/>
        </w:rPr>
        <w:t xml:space="preserve"> z </w:t>
      </w:r>
      <w:r>
        <w:rPr>
          <w:rFonts w:cs="Calibri"/>
        </w:rPr>
        <w:t>ČR</w:t>
      </w:r>
      <w:r w:rsidR="009B66B5">
        <w:rPr>
          <w:rFonts w:cs="Calibri"/>
        </w:rPr>
        <w:t xml:space="preserve"> k </w:t>
      </w:r>
      <w:r>
        <w:rPr>
          <w:rFonts w:cs="Calibri"/>
        </w:rPr>
        <w:t xml:space="preserve">podávání návrhů projektů do </w:t>
      </w:r>
      <w:r w:rsidR="00051013">
        <w:rPr>
          <w:rFonts w:cs="Calibri"/>
        </w:rPr>
        <w:t xml:space="preserve">rámcového </w:t>
      </w:r>
      <w:r>
        <w:rPr>
          <w:rFonts w:cs="Calibri"/>
        </w:rPr>
        <w:t>programu Horizont Evropa.</w:t>
      </w:r>
    </w:p>
    <w:p w14:paraId="3ECB3734" w14:textId="5FA1036D" w:rsidR="00FD7B14" w:rsidRDefault="00FD7B14" w:rsidP="00FD7B14">
      <w:r>
        <w:lastRenderedPageBreak/>
        <w:t>V páté kapitole jsou posouzeny administrativní</w:t>
      </w:r>
      <w:r w:rsidR="009B66B5">
        <w:t xml:space="preserve"> a </w:t>
      </w:r>
      <w:r>
        <w:t xml:space="preserve">finanční aspekty zapojení do </w:t>
      </w:r>
      <w:r w:rsidR="00051013">
        <w:t xml:space="preserve">rámcového </w:t>
      </w:r>
      <w:r>
        <w:t>programu Horizont Evropa</w:t>
      </w:r>
      <w:r w:rsidR="009B66B5">
        <w:t xml:space="preserve"> a </w:t>
      </w:r>
      <w:r w:rsidRPr="0092237B">
        <w:t>jejich vliv na pravidla národních poskytovatelů</w:t>
      </w:r>
      <w:r w:rsidR="009B66B5">
        <w:t xml:space="preserve"> i </w:t>
      </w:r>
      <w:r w:rsidRPr="0092237B">
        <w:t>samotných příjemců na úrovni jednotlivých institucí</w:t>
      </w:r>
      <w:r>
        <w:t>. Jak je</w:t>
      </w:r>
      <w:r w:rsidR="009B66B5">
        <w:t xml:space="preserve"> v </w:t>
      </w:r>
      <w:r>
        <w:t xml:space="preserve">úvodu této kapitoly zdůrazněno, </w:t>
      </w:r>
      <w:r w:rsidRPr="0092237B">
        <w:t xml:space="preserve">efektivní nastavení </w:t>
      </w:r>
      <w:r>
        <w:t>administrativních</w:t>
      </w:r>
      <w:r w:rsidR="009B66B5">
        <w:t xml:space="preserve"> a </w:t>
      </w:r>
      <w:r>
        <w:t xml:space="preserve">finančních </w:t>
      </w:r>
      <w:r w:rsidRPr="0092237B">
        <w:t>pravid</w:t>
      </w:r>
      <w:r>
        <w:t>e</w:t>
      </w:r>
      <w:r w:rsidRPr="0092237B">
        <w:t>l</w:t>
      </w:r>
      <w:r>
        <w:t xml:space="preserve"> u</w:t>
      </w:r>
      <w:r w:rsidRPr="0092237B">
        <w:t xml:space="preserve"> poskytovatelů</w:t>
      </w:r>
      <w:r w:rsidR="009B66B5">
        <w:t xml:space="preserve"> a </w:t>
      </w:r>
      <w:r w:rsidRPr="0092237B">
        <w:t xml:space="preserve">příjemců může </w:t>
      </w:r>
      <w:r>
        <w:t>snížit</w:t>
      </w:r>
      <w:r w:rsidRPr="0092237B">
        <w:t xml:space="preserve"> administrativní zátěž spojen</w:t>
      </w:r>
      <w:r>
        <w:t>ou</w:t>
      </w:r>
      <w:r w:rsidR="009B66B5">
        <w:t xml:space="preserve"> s </w:t>
      </w:r>
      <w:r w:rsidRPr="0092237B">
        <w:t>přípravou</w:t>
      </w:r>
      <w:r w:rsidR="009B66B5">
        <w:t xml:space="preserve"> a </w:t>
      </w:r>
      <w:r w:rsidRPr="0092237B">
        <w:t>realizací výzkumných</w:t>
      </w:r>
      <w:r w:rsidR="009B66B5">
        <w:t xml:space="preserve"> a </w:t>
      </w:r>
      <w:r>
        <w:t xml:space="preserve">inovačních </w:t>
      </w:r>
      <w:r w:rsidRPr="0092237B">
        <w:t>projektů</w:t>
      </w:r>
      <w:r w:rsidR="009B66B5">
        <w:t xml:space="preserve"> a v </w:t>
      </w:r>
      <w:r w:rsidRPr="0092237B">
        <w:t xml:space="preserve">konečném důsledku </w:t>
      </w:r>
      <w:r>
        <w:t xml:space="preserve">přispět </w:t>
      </w:r>
      <w:r w:rsidRPr="0092237B">
        <w:t>k</w:t>
      </w:r>
      <w:r>
        <w:t>e</w:t>
      </w:r>
      <w:r w:rsidRPr="0092237B">
        <w:t> </w:t>
      </w:r>
      <w:r>
        <w:t>zvýšení</w:t>
      </w:r>
      <w:r w:rsidRPr="0092237B">
        <w:t xml:space="preserve"> </w:t>
      </w:r>
      <w:r>
        <w:t>motivací</w:t>
      </w:r>
      <w:r w:rsidR="009B66B5">
        <w:t xml:space="preserve"> a </w:t>
      </w:r>
      <w:r>
        <w:t>připravenosti</w:t>
      </w:r>
      <w:r w:rsidR="009B66B5">
        <w:t xml:space="preserve"> k </w:t>
      </w:r>
      <w:r w:rsidRPr="0092237B">
        <w:t xml:space="preserve">účasti </w:t>
      </w:r>
      <w:r>
        <w:t>výzkumných týmů</w:t>
      </w:r>
      <w:r w:rsidR="009B66B5">
        <w:t xml:space="preserve"> z </w:t>
      </w:r>
      <w:r w:rsidRPr="0092237B">
        <w:t>ČR</w:t>
      </w:r>
      <w:r w:rsidR="009B66B5">
        <w:t xml:space="preserve"> v </w:t>
      </w:r>
      <w:r w:rsidR="00051013">
        <w:t xml:space="preserve">rámcovém programu </w:t>
      </w:r>
      <w:r w:rsidRPr="0092237B">
        <w:t>Horizont Evropa.</w:t>
      </w:r>
    </w:p>
    <w:p w14:paraId="3F0D65C2" w14:textId="77777777" w:rsidR="00CC0854" w:rsidRDefault="00CC0854" w:rsidP="00FD7B14"/>
    <w:p w14:paraId="15119744" w14:textId="77777777" w:rsidR="00FD7B14" w:rsidRDefault="00FD7B14" w:rsidP="00FD7B14">
      <w:r>
        <w:t xml:space="preserve">Šestá kapitola se soustřeďuje na systém </w:t>
      </w:r>
      <w:r w:rsidRPr="0092237B">
        <w:t>specializované informační</w:t>
      </w:r>
      <w:r w:rsidR="009B66B5">
        <w:t xml:space="preserve"> a </w:t>
      </w:r>
      <w:r w:rsidRPr="0092237B">
        <w:t>konzultační podpory</w:t>
      </w:r>
      <w:r w:rsidRPr="006720D1">
        <w:t xml:space="preserve"> pro </w:t>
      </w:r>
      <w:r>
        <w:t>uchazeče</w:t>
      </w:r>
      <w:r w:rsidR="009B66B5">
        <w:t xml:space="preserve"> a </w:t>
      </w:r>
      <w:r>
        <w:t>účastníky projektů rámcových programů</w:t>
      </w:r>
      <w:r w:rsidR="00051013">
        <w:t xml:space="preserve"> EU</w:t>
      </w:r>
      <w:r>
        <w:t xml:space="preserve">. Tato podpora je nezbytnou (nikoliv však </w:t>
      </w:r>
      <w:r w:rsidR="00051013">
        <w:t>výlučnou</w:t>
      </w:r>
      <w:r>
        <w:t xml:space="preserve">) podmínkou pro zapojení do </w:t>
      </w:r>
      <w:r w:rsidR="00051013">
        <w:t xml:space="preserve">rámcového </w:t>
      </w:r>
      <w:r>
        <w:t>programu Horizont Evropa</w:t>
      </w:r>
      <w:r w:rsidR="009B66B5">
        <w:t xml:space="preserve"> a </w:t>
      </w:r>
      <w:r>
        <w:t>p</w:t>
      </w:r>
      <w:r w:rsidRPr="006720D1">
        <w:t xml:space="preserve">odpůrné systémy národních informačních pracovníků jsou </w:t>
      </w:r>
      <w:r>
        <w:t>rozvíjeny</w:t>
      </w:r>
      <w:r w:rsidRPr="006720D1">
        <w:t xml:space="preserve"> ve všech členských </w:t>
      </w:r>
      <w:r w:rsidR="00051013">
        <w:t>státech</w:t>
      </w:r>
      <w:r w:rsidR="00051013" w:rsidRPr="006720D1">
        <w:t xml:space="preserve"> </w:t>
      </w:r>
      <w:r w:rsidRPr="006720D1">
        <w:t>EU, zemích asociovaných</w:t>
      </w:r>
      <w:r w:rsidR="009B66B5">
        <w:t xml:space="preserve"> k </w:t>
      </w:r>
      <w:r w:rsidRPr="006720D1">
        <w:t xml:space="preserve">rámcovému programu </w:t>
      </w:r>
      <w:r w:rsidR="00051013">
        <w:t>EU</w:t>
      </w:r>
      <w:r w:rsidR="009B66B5">
        <w:t xml:space="preserve"> i v </w:t>
      </w:r>
      <w:r w:rsidRPr="006720D1">
        <w:t xml:space="preserve">řadě </w:t>
      </w:r>
      <w:r>
        <w:t>dalších</w:t>
      </w:r>
      <w:r w:rsidR="00051013">
        <w:t xml:space="preserve"> třetích</w:t>
      </w:r>
      <w:r>
        <w:t xml:space="preserve"> </w:t>
      </w:r>
      <w:r w:rsidRPr="006720D1">
        <w:t>zemí</w:t>
      </w:r>
      <w:r>
        <w:t>.</w:t>
      </w:r>
    </w:p>
    <w:p w14:paraId="5EE4C938" w14:textId="77777777" w:rsidR="00FD7B14" w:rsidRDefault="00FD7B14" w:rsidP="00FD7B14">
      <w:r>
        <w:t>V sedmé kapitole jsou popsány podmínky pro p</w:t>
      </w:r>
      <w:r w:rsidRPr="000F6E30">
        <w:t>ropagac</w:t>
      </w:r>
      <w:r>
        <w:t>i</w:t>
      </w:r>
      <w:r w:rsidRPr="000F6E30">
        <w:t>, vzdělávání</w:t>
      </w:r>
      <w:r w:rsidR="009B66B5">
        <w:t xml:space="preserve"> a </w:t>
      </w:r>
      <w:r w:rsidRPr="000F6E30">
        <w:t>rozvoj manažerských dovedností</w:t>
      </w:r>
      <w:r>
        <w:t>, což jsou aspekty, které napomáhají ke zvýšení motivace</w:t>
      </w:r>
      <w:r w:rsidR="009B66B5">
        <w:t xml:space="preserve"> a </w:t>
      </w:r>
      <w:r>
        <w:t>připravenosti pro zapojení výzkumných organizací</w:t>
      </w:r>
      <w:r w:rsidR="009B66B5">
        <w:t xml:space="preserve"> i </w:t>
      </w:r>
      <w:r>
        <w:t>podniků do projektů rámcových programů</w:t>
      </w:r>
      <w:r w:rsidR="00051013">
        <w:t xml:space="preserve"> EU</w:t>
      </w:r>
      <w:r>
        <w:t>.</w:t>
      </w:r>
    </w:p>
    <w:p w14:paraId="0A08480F" w14:textId="77777777" w:rsidR="00FD7B14" w:rsidRPr="006720D1" w:rsidRDefault="00FD7B14" w:rsidP="00FD7B14">
      <w:r>
        <w:t>Poznatky</w:t>
      </w:r>
      <w:r w:rsidR="009B66B5">
        <w:t xml:space="preserve"> a </w:t>
      </w:r>
      <w:r>
        <w:t>závěry ze všech těchto kapitol jsou</w:t>
      </w:r>
      <w:r w:rsidR="009B66B5">
        <w:t xml:space="preserve"> v </w:t>
      </w:r>
      <w:r>
        <w:t>závěrečné kapitole shrnuty do souboru doporučení pro zvýšení účasti ČR</w:t>
      </w:r>
      <w:r w:rsidR="009B66B5">
        <w:t xml:space="preserve"> v </w:t>
      </w:r>
      <w:r w:rsidR="00051013">
        <w:t xml:space="preserve">rámcovém </w:t>
      </w:r>
      <w:r>
        <w:t>programu Horizont Evropa. Tato doporučení jsou cílena jak na národní úroveň, tak</w:t>
      </w:r>
      <w:r w:rsidR="009B66B5">
        <w:t xml:space="preserve"> i </w:t>
      </w:r>
      <w:r>
        <w:t>na úroveň jednotlivých organizací (institucionální úroveň). Struktura těchto doporučení sleduje snahu</w:t>
      </w:r>
      <w:r w:rsidR="009B66B5">
        <w:t xml:space="preserve"> o </w:t>
      </w:r>
      <w:r>
        <w:t>posílení motivací</w:t>
      </w:r>
      <w:r w:rsidR="009B66B5">
        <w:t xml:space="preserve"> k </w:t>
      </w:r>
      <w:r>
        <w:t>účasti</w:t>
      </w:r>
      <w:r w:rsidR="009B66B5">
        <w:t xml:space="preserve"> v </w:t>
      </w:r>
      <w:r w:rsidR="00051013">
        <w:t xml:space="preserve">rámcovém </w:t>
      </w:r>
      <w:r>
        <w:t>programu Horizont Evropa, usnadnění administrativy, rozvoj školení</w:t>
      </w:r>
      <w:r w:rsidR="009B66B5">
        <w:t xml:space="preserve"> a </w:t>
      </w:r>
      <w:r>
        <w:t>konzultací, posilování mezinárodních vazeb</w:t>
      </w:r>
      <w:r w:rsidR="009B66B5">
        <w:t xml:space="preserve"> a </w:t>
      </w:r>
      <w:r>
        <w:t>sítí</w:t>
      </w:r>
      <w:r w:rsidR="009B66B5">
        <w:t xml:space="preserve"> a v </w:t>
      </w:r>
      <w:r>
        <w:t>neposlední řadě rozvoj kapacit pro mezinárodní spolupráci ve výzkumu</w:t>
      </w:r>
      <w:r w:rsidR="009B66B5">
        <w:t xml:space="preserve"> a </w:t>
      </w:r>
      <w:r>
        <w:t>inovacích.</w:t>
      </w:r>
    </w:p>
    <w:p w14:paraId="7AC10B56" w14:textId="77777777" w:rsidR="006564F8" w:rsidRDefault="006564F8" w:rsidP="006564F8"/>
    <w:p w14:paraId="5ADCE2AB" w14:textId="77777777" w:rsidR="00B020F6" w:rsidRPr="005515AB" w:rsidRDefault="00B43E5B" w:rsidP="005515AB">
      <w:pPr>
        <w:pStyle w:val="Nadpis1"/>
      </w:pPr>
      <w:bookmarkStart w:id="6" w:name="_Toc114572307"/>
      <w:r w:rsidRPr="005515AB">
        <w:lastRenderedPageBreak/>
        <w:t>S</w:t>
      </w:r>
      <w:r w:rsidR="00BD3FA1">
        <w:t>ituace ČR</w:t>
      </w:r>
      <w:bookmarkEnd w:id="6"/>
    </w:p>
    <w:p w14:paraId="66F0A0D9" w14:textId="77777777" w:rsidR="00996BE2" w:rsidRDefault="00477A72" w:rsidP="5592521F">
      <w:pPr>
        <w:spacing w:after="0" w:line="259" w:lineRule="auto"/>
        <w:rPr>
          <w:rFonts w:asciiTheme="minorHAnsi" w:eastAsia="Segoe UI" w:hAnsiTheme="minorHAnsi" w:cstheme="minorHAnsi"/>
          <w:color w:val="000000" w:themeColor="text1"/>
        </w:rPr>
      </w:pPr>
      <w:r>
        <w:rPr>
          <w:rFonts w:asciiTheme="minorHAnsi" w:eastAsia="Segoe UI" w:hAnsiTheme="minorHAnsi" w:cstheme="minorHAnsi"/>
          <w:color w:val="000000" w:themeColor="text1"/>
        </w:rPr>
        <w:t xml:space="preserve">V této kapitole jsou </w:t>
      </w:r>
      <w:r w:rsidR="007E6F85">
        <w:rPr>
          <w:rFonts w:asciiTheme="minorHAnsi" w:eastAsia="Segoe UI" w:hAnsiTheme="minorHAnsi" w:cstheme="minorHAnsi"/>
          <w:color w:val="000000" w:themeColor="text1"/>
        </w:rPr>
        <w:t xml:space="preserve">přehledně </w:t>
      </w:r>
      <w:r>
        <w:rPr>
          <w:rFonts w:asciiTheme="minorHAnsi" w:eastAsia="Segoe UI" w:hAnsiTheme="minorHAnsi" w:cstheme="minorHAnsi"/>
          <w:color w:val="000000" w:themeColor="text1"/>
        </w:rPr>
        <w:t>shrnut</w:t>
      </w:r>
      <w:r w:rsidR="007E6F85">
        <w:rPr>
          <w:rFonts w:asciiTheme="minorHAnsi" w:eastAsia="Segoe UI" w:hAnsiTheme="minorHAnsi" w:cstheme="minorHAnsi"/>
          <w:color w:val="000000" w:themeColor="text1"/>
        </w:rPr>
        <w:t>y závěry</w:t>
      </w:r>
      <w:r w:rsidR="009B66B5">
        <w:rPr>
          <w:rFonts w:asciiTheme="minorHAnsi" w:eastAsia="Segoe UI" w:hAnsiTheme="minorHAnsi" w:cstheme="minorHAnsi"/>
          <w:color w:val="000000" w:themeColor="text1"/>
        </w:rPr>
        <w:t xml:space="preserve"> z </w:t>
      </w:r>
      <w:r w:rsidR="007E6F85">
        <w:rPr>
          <w:rFonts w:asciiTheme="minorHAnsi" w:eastAsia="Segoe UI" w:hAnsiTheme="minorHAnsi" w:cstheme="minorHAnsi"/>
          <w:color w:val="000000" w:themeColor="text1"/>
        </w:rPr>
        <w:t>analýz</w:t>
      </w:r>
      <w:r w:rsidR="00C53505">
        <w:rPr>
          <w:rFonts w:asciiTheme="minorHAnsi" w:eastAsia="Segoe UI" w:hAnsiTheme="minorHAnsi" w:cstheme="minorHAnsi"/>
          <w:color w:val="000000" w:themeColor="text1"/>
        </w:rPr>
        <w:t xml:space="preserve"> zpracovaných</w:t>
      </w:r>
      <w:r w:rsidR="009B66B5">
        <w:rPr>
          <w:rFonts w:asciiTheme="minorHAnsi" w:eastAsia="Segoe UI" w:hAnsiTheme="minorHAnsi" w:cstheme="minorHAnsi"/>
          <w:color w:val="000000" w:themeColor="text1"/>
        </w:rPr>
        <w:t xml:space="preserve"> v </w:t>
      </w:r>
      <w:r w:rsidR="00C53505">
        <w:rPr>
          <w:rFonts w:asciiTheme="minorHAnsi" w:eastAsia="Segoe UI" w:hAnsiTheme="minorHAnsi" w:cstheme="minorHAnsi"/>
          <w:color w:val="000000" w:themeColor="text1"/>
        </w:rPr>
        <w:t>nedávné době</w:t>
      </w:r>
      <w:r w:rsidR="007E6F85">
        <w:rPr>
          <w:rFonts w:asciiTheme="minorHAnsi" w:eastAsia="Segoe UI" w:hAnsiTheme="minorHAnsi" w:cstheme="minorHAnsi"/>
          <w:color w:val="000000" w:themeColor="text1"/>
        </w:rPr>
        <w:t>, které se zabývají účastí ČR</w:t>
      </w:r>
      <w:r w:rsidR="009B66B5">
        <w:rPr>
          <w:rFonts w:asciiTheme="minorHAnsi" w:eastAsia="Segoe UI" w:hAnsiTheme="minorHAnsi" w:cstheme="minorHAnsi"/>
          <w:color w:val="000000" w:themeColor="text1"/>
        </w:rPr>
        <w:t xml:space="preserve"> v </w:t>
      </w:r>
      <w:r w:rsidR="007E6F85">
        <w:rPr>
          <w:rFonts w:asciiTheme="minorHAnsi" w:eastAsia="Segoe UI" w:hAnsiTheme="minorHAnsi" w:cstheme="minorHAnsi"/>
          <w:color w:val="000000" w:themeColor="text1"/>
        </w:rPr>
        <w:t>rámcových programech EU</w:t>
      </w:r>
      <w:r w:rsidR="009B66B5">
        <w:rPr>
          <w:rFonts w:asciiTheme="minorHAnsi" w:eastAsia="Segoe UI" w:hAnsiTheme="minorHAnsi" w:cstheme="minorHAnsi"/>
          <w:color w:val="000000" w:themeColor="text1"/>
        </w:rPr>
        <w:t xml:space="preserve"> v </w:t>
      </w:r>
      <w:r w:rsidR="007E6F85">
        <w:rPr>
          <w:rFonts w:asciiTheme="minorHAnsi" w:eastAsia="Segoe UI" w:hAnsiTheme="minorHAnsi" w:cstheme="minorHAnsi"/>
          <w:color w:val="000000" w:themeColor="text1"/>
        </w:rPr>
        <w:t>mezinárodním srovnání.</w:t>
      </w:r>
      <w:r w:rsidR="00736013">
        <w:rPr>
          <w:rFonts w:asciiTheme="minorHAnsi" w:eastAsia="Segoe UI" w:hAnsiTheme="minorHAnsi" w:cstheme="minorHAnsi"/>
          <w:color w:val="000000" w:themeColor="text1"/>
        </w:rPr>
        <w:t xml:space="preserve"> V kapitol</w:t>
      </w:r>
      <w:r w:rsidR="00C53505">
        <w:rPr>
          <w:rFonts w:asciiTheme="minorHAnsi" w:eastAsia="Segoe UI" w:hAnsiTheme="minorHAnsi" w:cstheme="minorHAnsi"/>
          <w:color w:val="000000" w:themeColor="text1"/>
        </w:rPr>
        <w:t>e</w:t>
      </w:r>
      <w:r w:rsidR="00736013">
        <w:rPr>
          <w:rFonts w:asciiTheme="minorHAnsi" w:eastAsia="Segoe UI" w:hAnsiTheme="minorHAnsi" w:cstheme="minorHAnsi"/>
          <w:color w:val="000000" w:themeColor="text1"/>
        </w:rPr>
        <w:t xml:space="preserve"> jsou</w:t>
      </w:r>
      <w:r w:rsidR="00C53505">
        <w:rPr>
          <w:rFonts w:asciiTheme="minorHAnsi" w:eastAsia="Segoe UI" w:hAnsiTheme="minorHAnsi" w:cstheme="minorHAnsi"/>
          <w:color w:val="000000" w:themeColor="text1"/>
        </w:rPr>
        <w:t xml:space="preserve"> také</w:t>
      </w:r>
      <w:r w:rsidR="00736013">
        <w:rPr>
          <w:rFonts w:asciiTheme="minorHAnsi" w:eastAsia="Segoe UI" w:hAnsiTheme="minorHAnsi" w:cstheme="minorHAnsi"/>
          <w:color w:val="000000" w:themeColor="text1"/>
        </w:rPr>
        <w:t xml:space="preserve"> shrnuta některá zjištění</w:t>
      </w:r>
      <w:r w:rsidR="009B66B5">
        <w:rPr>
          <w:rFonts w:asciiTheme="minorHAnsi" w:eastAsia="Segoe UI" w:hAnsiTheme="minorHAnsi" w:cstheme="minorHAnsi"/>
          <w:color w:val="000000" w:themeColor="text1"/>
        </w:rPr>
        <w:t xml:space="preserve"> z </w:t>
      </w:r>
      <w:r w:rsidR="00736013">
        <w:rPr>
          <w:rFonts w:asciiTheme="minorHAnsi" w:eastAsia="Segoe UI" w:hAnsiTheme="minorHAnsi" w:cstheme="minorHAnsi"/>
          <w:color w:val="000000" w:themeColor="text1"/>
        </w:rPr>
        <w:t>analýz, vědeckých statí</w:t>
      </w:r>
      <w:r w:rsidR="009B66B5">
        <w:rPr>
          <w:rFonts w:asciiTheme="minorHAnsi" w:eastAsia="Segoe UI" w:hAnsiTheme="minorHAnsi" w:cstheme="minorHAnsi"/>
          <w:color w:val="000000" w:themeColor="text1"/>
        </w:rPr>
        <w:t xml:space="preserve"> a </w:t>
      </w:r>
      <w:r w:rsidR="00736013">
        <w:rPr>
          <w:rFonts w:asciiTheme="minorHAnsi" w:eastAsia="Segoe UI" w:hAnsiTheme="minorHAnsi" w:cstheme="minorHAnsi"/>
          <w:color w:val="000000" w:themeColor="text1"/>
        </w:rPr>
        <w:t>studií zabývajících se pozitivním vlive</w:t>
      </w:r>
      <w:r w:rsidR="00061F92">
        <w:rPr>
          <w:rFonts w:asciiTheme="minorHAnsi" w:eastAsia="Segoe UI" w:hAnsiTheme="minorHAnsi" w:cstheme="minorHAnsi"/>
          <w:color w:val="000000" w:themeColor="text1"/>
        </w:rPr>
        <w:t>m spolupráce</w:t>
      </w:r>
      <w:r w:rsidR="009B66B5">
        <w:rPr>
          <w:rFonts w:asciiTheme="minorHAnsi" w:eastAsia="Segoe UI" w:hAnsiTheme="minorHAnsi" w:cstheme="minorHAnsi"/>
          <w:color w:val="000000" w:themeColor="text1"/>
        </w:rPr>
        <w:t xml:space="preserve"> s </w:t>
      </w:r>
      <w:r w:rsidR="00061F92">
        <w:rPr>
          <w:rFonts w:asciiTheme="minorHAnsi" w:eastAsia="Segoe UI" w:hAnsiTheme="minorHAnsi" w:cstheme="minorHAnsi"/>
          <w:color w:val="000000" w:themeColor="text1"/>
        </w:rPr>
        <w:t>předními zahraničními výzkumnými pracovišti</w:t>
      </w:r>
      <w:r w:rsidR="00996BE2">
        <w:rPr>
          <w:rFonts w:asciiTheme="minorHAnsi" w:eastAsia="Segoe UI" w:hAnsiTheme="minorHAnsi" w:cstheme="minorHAnsi"/>
          <w:color w:val="000000" w:themeColor="text1"/>
        </w:rPr>
        <w:t xml:space="preserve"> na internacionalizac</w:t>
      </w:r>
      <w:r w:rsidR="00C53505">
        <w:rPr>
          <w:rFonts w:asciiTheme="minorHAnsi" w:eastAsia="Segoe UI" w:hAnsiTheme="minorHAnsi" w:cstheme="minorHAnsi"/>
          <w:color w:val="000000" w:themeColor="text1"/>
        </w:rPr>
        <w:t>i</w:t>
      </w:r>
      <w:r w:rsidR="00996BE2">
        <w:rPr>
          <w:rFonts w:asciiTheme="minorHAnsi" w:eastAsia="Segoe UI" w:hAnsiTheme="minorHAnsi" w:cstheme="minorHAnsi"/>
          <w:color w:val="000000" w:themeColor="text1"/>
        </w:rPr>
        <w:t xml:space="preserve"> domácích výzkumných </w:t>
      </w:r>
      <w:r w:rsidR="00C53505">
        <w:rPr>
          <w:rFonts w:asciiTheme="minorHAnsi" w:eastAsia="Segoe UI" w:hAnsiTheme="minorHAnsi" w:cstheme="minorHAnsi"/>
          <w:color w:val="000000" w:themeColor="text1"/>
        </w:rPr>
        <w:t>pracovišť,</w:t>
      </w:r>
      <w:r w:rsidR="009B66B5">
        <w:rPr>
          <w:rFonts w:asciiTheme="minorHAnsi" w:eastAsia="Segoe UI" w:hAnsiTheme="minorHAnsi" w:cstheme="minorHAnsi"/>
          <w:color w:val="000000" w:themeColor="text1"/>
        </w:rPr>
        <w:t xml:space="preserve"> a </w:t>
      </w:r>
      <w:r w:rsidR="00996BE2">
        <w:rPr>
          <w:rFonts w:asciiTheme="minorHAnsi" w:eastAsia="Segoe UI" w:hAnsiTheme="minorHAnsi" w:cstheme="minorHAnsi"/>
          <w:color w:val="000000" w:themeColor="text1"/>
        </w:rPr>
        <w:t>zejména na kvalitu realizovaného výzkumu.</w:t>
      </w:r>
      <w:r w:rsidR="002750FC">
        <w:rPr>
          <w:rFonts w:asciiTheme="minorHAnsi" w:eastAsia="Segoe UI" w:hAnsiTheme="minorHAnsi" w:cstheme="minorHAnsi"/>
          <w:color w:val="000000" w:themeColor="text1"/>
        </w:rPr>
        <w:t xml:space="preserve"> Závěrečná část kapitoly se zabývá genderovými aspekty příčin nízké účasti</w:t>
      </w:r>
      <w:r w:rsidR="009B66B5">
        <w:rPr>
          <w:rFonts w:asciiTheme="minorHAnsi" w:eastAsia="Segoe UI" w:hAnsiTheme="minorHAnsi" w:cstheme="minorHAnsi"/>
          <w:color w:val="000000" w:themeColor="text1"/>
        </w:rPr>
        <w:t xml:space="preserve"> v </w:t>
      </w:r>
      <w:r w:rsidR="002750FC">
        <w:rPr>
          <w:rFonts w:asciiTheme="minorHAnsi" w:eastAsia="Segoe UI" w:hAnsiTheme="minorHAnsi" w:cstheme="minorHAnsi"/>
          <w:color w:val="000000" w:themeColor="text1"/>
        </w:rPr>
        <w:t>rámcových programech EU.</w:t>
      </w:r>
    </w:p>
    <w:p w14:paraId="38577FCC" w14:textId="77777777" w:rsidR="00477A72" w:rsidRDefault="00996BE2" w:rsidP="005515AB">
      <w:pPr>
        <w:pStyle w:val="Nadpis2"/>
        <w:rPr>
          <w:rFonts w:eastAsia="Segoe UI"/>
        </w:rPr>
      </w:pPr>
      <w:bookmarkStart w:id="7" w:name="_Toc114572308"/>
      <w:r>
        <w:rPr>
          <w:rFonts w:eastAsia="Segoe UI"/>
        </w:rPr>
        <w:t>Účast ČR</w:t>
      </w:r>
      <w:r w:rsidR="009B66B5">
        <w:rPr>
          <w:rFonts w:eastAsia="Segoe UI"/>
        </w:rPr>
        <w:t xml:space="preserve"> v </w:t>
      </w:r>
      <w:r>
        <w:rPr>
          <w:rFonts w:eastAsia="Segoe UI"/>
        </w:rPr>
        <w:t>rámcových programech EU</w:t>
      </w:r>
      <w:bookmarkEnd w:id="7"/>
      <w:r w:rsidR="00736013">
        <w:rPr>
          <w:rFonts w:eastAsia="Segoe UI"/>
        </w:rPr>
        <w:t xml:space="preserve"> </w:t>
      </w:r>
    </w:p>
    <w:p w14:paraId="0FCE7C38" w14:textId="77777777" w:rsidR="00F9717D" w:rsidRPr="00B43E5B" w:rsidRDefault="00CE603D" w:rsidP="5592521F">
      <w:pPr>
        <w:spacing w:after="0" w:line="259" w:lineRule="auto"/>
        <w:rPr>
          <w:rFonts w:asciiTheme="minorHAnsi" w:eastAsia="Cambria" w:hAnsiTheme="minorHAnsi" w:cstheme="minorHAnsi"/>
          <w:color w:val="000000" w:themeColor="text1"/>
        </w:rPr>
      </w:pPr>
      <w:r w:rsidRPr="00CE603D">
        <w:rPr>
          <w:rFonts w:asciiTheme="minorHAnsi" w:eastAsia="Segoe UI" w:hAnsiTheme="minorHAnsi" w:cstheme="minorHAnsi"/>
          <w:color w:val="000000" w:themeColor="text1"/>
        </w:rPr>
        <w:t>I když jsou</w:t>
      </w:r>
      <w:r w:rsidR="009B66B5">
        <w:rPr>
          <w:rFonts w:asciiTheme="minorHAnsi" w:eastAsia="Segoe UI" w:hAnsiTheme="minorHAnsi" w:cstheme="minorHAnsi"/>
          <w:color w:val="000000" w:themeColor="text1"/>
        </w:rPr>
        <w:t xml:space="preserve"> v </w:t>
      </w:r>
      <w:r w:rsidR="00C53505">
        <w:rPr>
          <w:rFonts w:asciiTheme="minorHAnsi" w:eastAsia="Segoe UI" w:hAnsiTheme="minorHAnsi" w:cstheme="minorHAnsi"/>
          <w:color w:val="000000" w:themeColor="text1"/>
        </w:rPr>
        <w:t xml:space="preserve">posledních letech </w:t>
      </w:r>
      <w:r w:rsidRPr="00CE603D">
        <w:rPr>
          <w:rFonts w:asciiTheme="minorHAnsi" w:eastAsia="Segoe UI" w:hAnsiTheme="minorHAnsi" w:cstheme="minorHAnsi"/>
          <w:color w:val="000000" w:themeColor="text1"/>
        </w:rPr>
        <w:t>patrné některé pozitivní trendy</w:t>
      </w:r>
      <w:r w:rsidR="00996BE2">
        <w:rPr>
          <w:rFonts w:asciiTheme="minorHAnsi" w:eastAsia="Segoe UI" w:hAnsiTheme="minorHAnsi" w:cstheme="minorHAnsi"/>
          <w:color w:val="000000" w:themeColor="text1"/>
        </w:rPr>
        <w:t xml:space="preserve"> (blíže viz kap. </w:t>
      </w:r>
      <w:r w:rsidR="00996BE2">
        <w:rPr>
          <w:rFonts w:asciiTheme="minorHAnsi" w:eastAsia="Segoe UI" w:hAnsiTheme="minorHAnsi" w:cstheme="minorHAnsi"/>
          <w:color w:val="000000" w:themeColor="text1"/>
        </w:rPr>
        <w:fldChar w:fldCharType="begin"/>
      </w:r>
      <w:r w:rsidR="00996BE2">
        <w:rPr>
          <w:rFonts w:asciiTheme="minorHAnsi" w:eastAsia="Segoe UI" w:hAnsiTheme="minorHAnsi" w:cstheme="minorHAnsi"/>
          <w:color w:val="000000" w:themeColor="text1"/>
        </w:rPr>
        <w:instrText xml:space="preserve"> REF _Ref112499544 \r \h </w:instrText>
      </w:r>
      <w:r w:rsidR="00996BE2">
        <w:rPr>
          <w:rFonts w:asciiTheme="minorHAnsi" w:eastAsia="Segoe UI" w:hAnsiTheme="minorHAnsi" w:cstheme="minorHAnsi"/>
          <w:color w:val="000000" w:themeColor="text1"/>
        </w:rPr>
      </w:r>
      <w:r w:rsidR="00996BE2">
        <w:rPr>
          <w:rFonts w:asciiTheme="minorHAnsi" w:eastAsia="Segoe UI" w:hAnsiTheme="minorHAnsi" w:cstheme="minorHAnsi"/>
          <w:color w:val="000000" w:themeColor="text1"/>
        </w:rPr>
        <w:fldChar w:fldCharType="separate"/>
      </w:r>
      <w:r w:rsidR="00833870">
        <w:rPr>
          <w:rFonts w:asciiTheme="minorHAnsi" w:eastAsia="Segoe UI" w:hAnsiTheme="minorHAnsi" w:cstheme="minorHAnsi"/>
          <w:color w:val="000000" w:themeColor="text1"/>
        </w:rPr>
        <w:t>2.2</w:t>
      </w:r>
      <w:r w:rsidR="00996BE2">
        <w:rPr>
          <w:rFonts w:asciiTheme="minorHAnsi" w:eastAsia="Segoe UI" w:hAnsiTheme="minorHAnsi" w:cstheme="minorHAnsi"/>
          <w:color w:val="000000" w:themeColor="text1"/>
        </w:rPr>
        <w:fldChar w:fldCharType="end"/>
      </w:r>
      <w:r w:rsidR="00996BE2">
        <w:rPr>
          <w:rFonts w:asciiTheme="minorHAnsi" w:eastAsia="Segoe UI" w:hAnsiTheme="minorHAnsi" w:cstheme="minorHAnsi"/>
          <w:color w:val="000000" w:themeColor="text1"/>
        </w:rPr>
        <w:t>)</w:t>
      </w:r>
      <w:r w:rsidRPr="00CE603D">
        <w:rPr>
          <w:rFonts w:asciiTheme="minorHAnsi" w:eastAsia="Segoe UI" w:hAnsiTheme="minorHAnsi" w:cstheme="minorHAnsi"/>
          <w:color w:val="000000" w:themeColor="text1"/>
        </w:rPr>
        <w:t>, ú</w:t>
      </w:r>
      <w:r w:rsidR="5592521F" w:rsidRPr="00CE603D">
        <w:rPr>
          <w:rFonts w:asciiTheme="minorHAnsi" w:eastAsia="Segoe UI" w:hAnsiTheme="minorHAnsi" w:cstheme="minorHAnsi"/>
          <w:color w:val="000000" w:themeColor="text1"/>
        </w:rPr>
        <w:t>čast ČR</w:t>
      </w:r>
      <w:r w:rsidR="009B66B5">
        <w:rPr>
          <w:rFonts w:asciiTheme="minorHAnsi" w:eastAsia="Segoe UI" w:hAnsiTheme="minorHAnsi" w:cstheme="minorHAnsi"/>
          <w:color w:val="000000" w:themeColor="text1"/>
        </w:rPr>
        <w:t xml:space="preserve"> v </w:t>
      </w:r>
      <w:r w:rsidR="00301602">
        <w:rPr>
          <w:rFonts w:asciiTheme="minorHAnsi" w:eastAsia="Segoe UI" w:hAnsiTheme="minorHAnsi" w:cstheme="minorHAnsi"/>
          <w:color w:val="000000" w:themeColor="text1"/>
        </w:rPr>
        <w:t>rámcových programech EU (dále jen „</w:t>
      </w:r>
      <w:r w:rsidR="5592521F" w:rsidRPr="00CE603D">
        <w:rPr>
          <w:rFonts w:asciiTheme="minorHAnsi" w:eastAsia="Segoe UI" w:hAnsiTheme="minorHAnsi" w:cstheme="minorHAnsi"/>
          <w:color w:val="000000" w:themeColor="text1"/>
        </w:rPr>
        <w:t>RP</w:t>
      </w:r>
      <w:r w:rsidR="00301602">
        <w:rPr>
          <w:rFonts w:asciiTheme="minorHAnsi" w:eastAsia="Segoe UI" w:hAnsiTheme="minorHAnsi" w:cstheme="minorHAnsi"/>
          <w:color w:val="000000" w:themeColor="text1"/>
        </w:rPr>
        <w:t>“)</w:t>
      </w:r>
      <w:r w:rsidR="5592521F" w:rsidRPr="00CE603D">
        <w:rPr>
          <w:rFonts w:asciiTheme="minorHAnsi" w:eastAsia="Segoe UI" w:hAnsiTheme="minorHAnsi" w:cstheme="minorHAnsi"/>
          <w:color w:val="000000" w:themeColor="text1"/>
        </w:rPr>
        <w:t xml:space="preserve"> </w:t>
      </w:r>
      <w:r w:rsidRPr="00CE603D">
        <w:rPr>
          <w:rFonts w:asciiTheme="minorHAnsi" w:eastAsia="Segoe UI" w:hAnsiTheme="minorHAnsi" w:cstheme="minorHAnsi"/>
          <w:color w:val="000000" w:themeColor="text1"/>
        </w:rPr>
        <w:t xml:space="preserve">je stále </w:t>
      </w:r>
      <w:r w:rsidR="5592521F" w:rsidRPr="00CE603D">
        <w:rPr>
          <w:rFonts w:asciiTheme="minorHAnsi" w:eastAsia="Segoe UI" w:hAnsiTheme="minorHAnsi" w:cstheme="minorHAnsi"/>
          <w:color w:val="000000" w:themeColor="text1"/>
        </w:rPr>
        <w:t>n</w:t>
      </w:r>
      <w:r w:rsidRPr="00CE603D">
        <w:rPr>
          <w:rFonts w:asciiTheme="minorHAnsi" w:eastAsia="Segoe UI" w:hAnsiTheme="minorHAnsi" w:cstheme="minorHAnsi"/>
          <w:color w:val="000000" w:themeColor="text1"/>
        </w:rPr>
        <w:t>edostatečn</w:t>
      </w:r>
      <w:r w:rsidR="00301602">
        <w:rPr>
          <w:rFonts w:asciiTheme="minorHAnsi" w:eastAsia="Segoe UI" w:hAnsiTheme="minorHAnsi" w:cstheme="minorHAnsi"/>
          <w:color w:val="000000" w:themeColor="text1"/>
        </w:rPr>
        <w:t>á</w:t>
      </w:r>
      <w:r w:rsidRPr="00CE603D">
        <w:rPr>
          <w:rFonts w:asciiTheme="minorHAnsi" w:eastAsia="Segoe UI" w:hAnsiTheme="minorHAnsi" w:cstheme="minorHAnsi"/>
          <w:color w:val="000000" w:themeColor="text1"/>
        </w:rPr>
        <w:t xml:space="preserve">. </w:t>
      </w:r>
      <w:r w:rsidR="5592521F" w:rsidRPr="00B43E5B">
        <w:rPr>
          <w:rFonts w:asciiTheme="minorHAnsi" w:eastAsia="Segoe UI" w:hAnsiTheme="minorHAnsi" w:cstheme="minorHAnsi"/>
          <w:color w:val="000000" w:themeColor="text1"/>
        </w:rPr>
        <w:t xml:space="preserve">ČR </w:t>
      </w:r>
      <w:r w:rsidR="5592521F" w:rsidRPr="00B43E5B">
        <w:rPr>
          <w:rFonts w:asciiTheme="minorHAnsi" w:eastAsia="Cambria" w:hAnsiTheme="minorHAnsi" w:cstheme="minorHAnsi"/>
          <w:color w:val="000000" w:themeColor="text1"/>
        </w:rPr>
        <w:t>patří mezi členské státy EU, kter</w:t>
      </w:r>
      <w:r w:rsidR="5592521F" w:rsidRPr="00B43E5B">
        <w:rPr>
          <w:rFonts w:asciiTheme="minorHAnsi" w:eastAsia="Segoe UI" w:hAnsiTheme="minorHAnsi" w:cstheme="minorHAnsi"/>
          <w:color w:val="000000" w:themeColor="text1"/>
        </w:rPr>
        <w:t>ým</w:t>
      </w:r>
      <w:r w:rsidR="5592521F" w:rsidRPr="00B43E5B">
        <w:rPr>
          <w:rFonts w:asciiTheme="minorHAnsi" w:eastAsia="Cambria" w:hAnsiTheme="minorHAnsi" w:cstheme="minorHAnsi"/>
          <w:color w:val="000000" w:themeColor="text1"/>
        </w:rPr>
        <w:t xml:space="preserve"> se </w:t>
      </w:r>
      <w:r w:rsidR="00996BE2">
        <w:rPr>
          <w:rFonts w:asciiTheme="minorHAnsi" w:eastAsia="Cambria" w:hAnsiTheme="minorHAnsi" w:cstheme="minorHAnsi"/>
          <w:color w:val="000000" w:themeColor="text1"/>
        </w:rPr>
        <w:t>zatím</w:t>
      </w:r>
      <w:r w:rsidR="5592521F" w:rsidRPr="00B43E5B">
        <w:rPr>
          <w:rFonts w:asciiTheme="minorHAnsi" w:eastAsia="Cambria" w:hAnsiTheme="minorHAnsi" w:cstheme="minorHAnsi"/>
          <w:color w:val="000000" w:themeColor="text1"/>
        </w:rPr>
        <w:t xml:space="preserve"> nedaří proměnit relativně dobré výchozí podmínky</w:t>
      </w:r>
      <w:r w:rsidR="009B66B5">
        <w:rPr>
          <w:rFonts w:asciiTheme="minorHAnsi" w:eastAsia="Cambria" w:hAnsiTheme="minorHAnsi" w:cstheme="minorHAnsi"/>
          <w:color w:val="000000" w:themeColor="text1"/>
        </w:rPr>
        <w:t xml:space="preserve"> v </w:t>
      </w:r>
      <w:r w:rsidR="5592521F" w:rsidRPr="00B43E5B">
        <w:rPr>
          <w:rFonts w:asciiTheme="minorHAnsi" w:eastAsia="Cambria" w:hAnsiTheme="minorHAnsi" w:cstheme="minorHAnsi"/>
          <w:color w:val="000000" w:themeColor="text1"/>
        </w:rPr>
        <w:t>oblasti výzkumu</w:t>
      </w:r>
      <w:r w:rsidR="009B66B5">
        <w:rPr>
          <w:rFonts w:asciiTheme="minorHAnsi" w:eastAsia="Cambria" w:hAnsiTheme="minorHAnsi" w:cstheme="minorHAnsi"/>
          <w:color w:val="000000" w:themeColor="text1"/>
        </w:rPr>
        <w:t xml:space="preserve"> a </w:t>
      </w:r>
      <w:r w:rsidR="5592521F" w:rsidRPr="00B43E5B">
        <w:rPr>
          <w:rFonts w:asciiTheme="minorHAnsi" w:eastAsia="Cambria" w:hAnsiTheme="minorHAnsi" w:cstheme="minorHAnsi"/>
          <w:color w:val="000000" w:themeColor="text1"/>
        </w:rPr>
        <w:t>inovací ve větší</w:t>
      </w:r>
      <w:r w:rsidR="5592521F" w:rsidRPr="00B43E5B">
        <w:rPr>
          <w:rFonts w:asciiTheme="minorHAnsi" w:eastAsia="Segoe UI" w:hAnsiTheme="minorHAnsi" w:cstheme="minorHAnsi"/>
          <w:color w:val="000000" w:themeColor="text1"/>
        </w:rPr>
        <w:t xml:space="preserve"> účast</w:t>
      </w:r>
      <w:r w:rsidR="009B66B5">
        <w:rPr>
          <w:rFonts w:asciiTheme="minorHAnsi" w:eastAsia="Segoe UI" w:hAnsiTheme="minorHAnsi" w:cstheme="minorHAnsi"/>
          <w:color w:val="000000" w:themeColor="text1"/>
        </w:rPr>
        <w:t xml:space="preserve"> v </w:t>
      </w:r>
      <w:r w:rsidR="5592521F" w:rsidRPr="00B43E5B">
        <w:rPr>
          <w:rFonts w:asciiTheme="minorHAnsi" w:eastAsia="Cambria" w:hAnsiTheme="minorHAnsi" w:cstheme="minorHAnsi"/>
          <w:color w:val="000000" w:themeColor="text1"/>
        </w:rPr>
        <w:t>RP. Naopak ú</w:t>
      </w:r>
      <w:r w:rsidR="5592521F" w:rsidRPr="00B43E5B">
        <w:rPr>
          <w:rFonts w:asciiTheme="minorHAnsi" w:eastAsia="Segoe UI" w:hAnsiTheme="minorHAnsi" w:cstheme="minorHAnsi"/>
          <w:color w:val="000000" w:themeColor="text1"/>
        </w:rPr>
        <w:t>čast ČR</w:t>
      </w:r>
      <w:r w:rsidR="009B66B5">
        <w:rPr>
          <w:rFonts w:asciiTheme="minorHAnsi" w:eastAsia="Cambria" w:hAnsiTheme="minorHAnsi" w:cstheme="minorHAnsi"/>
          <w:color w:val="000000" w:themeColor="text1"/>
        </w:rPr>
        <w:t xml:space="preserve"> v </w:t>
      </w:r>
      <w:r w:rsidR="5592521F" w:rsidRPr="00B43E5B">
        <w:rPr>
          <w:rFonts w:asciiTheme="minorHAnsi" w:eastAsia="Cambria" w:hAnsiTheme="minorHAnsi" w:cstheme="minorHAnsi"/>
          <w:color w:val="000000" w:themeColor="text1"/>
        </w:rPr>
        <w:t>RP je dlouhodobě považována</w:t>
      </w:r>
      <w:r w:rsidR="009B66B5">
        <w:rPr>
          <w:rFonts w:asciiTheme="minorHAnsi" w:eastAsia="Cambria" w:hAnsiTheme="minorHAnsi" w:cstheme="minorHAnsi"/>
          <w:color w:val="000000" w:themeColor="text1"/>
        </w:rPr>
        <w:t xml:space="preserve"> a </w:t>
      </w:r>
      <w:r w:rsidR="5592521F" w:rsidRPr="00B43E5B">
        <w:rPr>
          <w:rFonts w:asciiTheme="minorHAnsi" w:eastAsia="Cambria" w:hAnsiTheme="minorHAnsi" w:cstheme="minorHAnsi"/>
          <w:color w:val="000000" w:themeColor="text1"/>
        </w:rPr>
        <w:t>vnímána za nízkou nebo přinejmenším za nedostatečnou jak</w:t>
      </w:r>
      <w:r w:rsidR="009B66B5">
        <w:rPr>
          <w:rFonts w:asciiTheme="minorHAnsi" w:eastAsia="Cambria" w:hAnsiTheme="minorHAnsi" w:cstheme="minorHAnsi"/>
          <w:color w:val="000000" w:themeColor="text1"/>
        </w:rPr>
        <w:t xml:space="preserve"> v </w:t>
      </w:r>
      <w:r w:rsidR="5592521F" w:rsidRPr="00B43E5B">
        <w:rPr>
          <w:rFonts w:asciiTheme="minorHAnsi" w:eastAsia="Cambria" w:hAnsiTheme="minorHAnsi" w:cstheme="minorHAnsi"/>
          <w:color w:val="000000" w:themeColor="text1"/>
        </w:rPr>
        <w:t>absolutních číslech, tak ve vztahu</w:t>
      </w:r>
      <w:r w:rsidR="009B66B5">
        <w:rPr>
          <w:rFonts w:asciiTheme="minorHAnsi" w:eastAsia="Cambria" w:hAnsiTheme="minorHAnsi" w:cstheme="minorHAnsi"/>
          <w:color w:val="000000" w:themeColor="text1"/>
        </w:rPr>
        <w:t xml:space="preserve"> k </w:t>
      </w:r>
      <w:r w:rsidR="5592521F" w:rsidRPr="00B43E5B">
        <w:rPr>
          <w:rFonts w:asciiTheme="minorHAnsi" w:eastAsia="Cambria" w:hAnsiTheme="minorHAnsi" w:cstheme="minorHAnsi"/>
          <w:color w:val="000000" w:themeColor="text1"/>
        </w:rPr>
        <w:t xml:space="preserve">velikosti </w:t>
      </w:r>
      <w:r w:rsidR="5592521F" w:rsidRPr="00B43E5B">
        <w:rPr>
          <w:rFonts w:asciiTheme="minorHAnsi" w:eastAsia="Segoe UI" w:hAnsiTheme="minorHAnsi" w:cstheme="minorHAnsi"/>
          <w:color w:val="000000" w:themeColor="text1"/>
        </w:rPr>
        <w:t xml:space="preserve">řady </w:t>
      </w:r>
      <w:r w:rsidR="5592521F" w:rsidRPr="00B43E5B">
        <w:rPr>
          <w:rFonts w:asciiTheme="minorHAnsi" w:eastAsia="Cambria" w:hAnsiTheme="minorHAnsi" w:cstheme="minorHAnsi"/>
          <w:color w:val="000000" w:themeColor="text1"/>
        </w:rPr>
        <w:t>ukazatelů výzkumu</w:t>
      </w:r>
      <w:r w:rsidR="009B66B5">
        <w:rPr>
          <w:rFonts w:asciiTheme="minorHAnsi" w:eastAsia="Cambria" w:hAnsiTheme="minorHAnsi" w:cstheme="minorHAnsi"/>
          <w:color w:val="000000" w:themeColor="text1"/>
        </w:rPr>
        <w:t xml:space="preserve"> a </w:t>
      </w:r>
      <w:r w:rsidR="5592521F" w:rsidRPr="00B43E5B">
        <w:rPr>
          <w:rFonts w:asciiTheme="minorHAnsi" w:eastAsia="Cambria" w:hAnsiTheme="minorHAnsi" w:cstheme="minorHAnsi"/>
          <w:color w:val="000000" w:themeColor="text1"/>
        </w:rPr>
        <w:t>inovací. Tento závěr je dlouhodobě prezentován</w:t>
      </w:r>
      <w:r w:rsidR="009B66B5">
        <w:rPr>
          <w:rFonts w:asciiTheme="minorHAnsi" w:eastAsia="Cambria" w:hAnsiTheme="minorHAnsi" w:cstheme="minorHAnsi"/>
          <w:color w:val="000000" w:themeColor="text1"/>
        </w:rPr>
        <w:t xml:space="preserve"> v </w:t>
      </w:r>
      <w:r w:rsidR="5592521F" w:rsidRPr="00B43E5B">
        <w:rPr>
          <w:rFonts w:asciiTheme="minorHAnsi" w:eastAsia="Cambria" w:hAnsiTheme="minorHAnsi" w:cstheme="minorHAnsi"/>
          <w:color w:val="000000" w:themeColor="text1"/>
        </w:rPr>
        <w:t>cel</w:t>
      </w:r>
      <w:r w:rsidR="002725E1">
        <w:rPr>
          <w:rFonts w:asciiTheme="minorHAnsi" w:eastAsia="Cambria" w:hAnsiTheme="minorHAnsi" w:cstheme="minorHAnsi"/>
          <w:color w:val="000000" w:themeColor="text1"/>
        </w:rPr>
        <w:t>é řadě studií</w:t>
      </w:r>
      <w:r w:rsidR="009B66B5">
        <w:rPr>
          <w:rFonts w:asciiTheme="minorHAnsi" w:eastAsia="Cambria" w:hAnsiTheme="minorHAnsi" w:cstheme="minorHAnsi"/>
          <w:color w:val="000000" w:themeColor="text1"/>
        </w:rPr>
        <w:t xml:space="preserve"> a </w:t>
      </w:r>
      <w:r w:rsidR="002725E1">
        <w:rPr>
          <w:rFonts w:asciiTheme="minorHAnsi" w:eastAsia="Cambria" w:hAnsiTheme="minorHAnsi" w:cstheme="minorHAnsi"/>
          <w:color w:val="000000" w:themeColor="text1"/>
        </w:rPr>
        <w:t>dokumentů – viz</w:t>
      </w:r>
      <w:r w:rsidR="5592521F" w:rsidRPr="00B43E5B">
        <w:rPr>
          <w:rFonts w:asciiTheme="minorHAnsi" w:eastAsia="Cambria" w:hAnsiTheme="minorHAnsi" w:cstheme="minorHAnsi"/>
          <w:color w:val="000000" w:themeColor="text1"/>
        </w:rPr>
        <w:t xml:space="preserve"> např. studie: </w:t>
      </w:r>
      <w:r w:rsidR="5592521F" w:rsidRPr="00B43E5B">
        <w:rPr>
          <w:rFonts w:asciiTheme="minorHAnsi" w:eastAsia="Cambria" w:hAnsiTheme="minorHAnsi" w:cstheme="minorHAnsi"/>
          <w:i/>
          <w:iCs/>
          <w:color w:val="000000" w:themeColor="text1"/>
        </w:rPr>
        <w:t>Ex-Post Evaluation of the 7th EU Framework Programme</w:t>
      </w:r>
      <w:r w:rsidR="002725E1">
        <w:rPr>
          <w:rFonts w:asciiTheme="minorHAnsi" w:eastAsia="Cambria" w:hAnsiTheme="minorHAnsi" w:cstheme="minorHAnsi"/>
          <w:color w:val="000000" w:themeColor="text1"/>
        </w:rPr>
        <w:t xml:space="preserve"> (2007–</w:t>
      </w:r>
      <w:r w:rsidR="5592521F" w:rsidRPr="00B43E5B">
        <w:rPr>
          <w:rFonts w:asciiTheme="minorHAnsi" w:eastAsia="Cambria" w:hAnsiTheme="minorHAnsi" w:cstheme="minorHAnsi"/>
          <w:color w:val="000000" w:themeColor="text1"/>
        </w:rPr>
        <w:t xml:space="preserve">2013) </w:t>
      </w:r>
      <w:r w:rsidR="5592521F" w:rsidRPr="00B43E5B">
        <w:rPr>
          <w:rFonts w:asciiTheme="minorHAnsi" w:eastAsia="Cambria" w:hAnsiTheme="minorHAnsi" w:cstheme="minorHAnsi"/>
          <w:color w:val="000000" w:themeColor="text1"/>
          <w:lang w:val="en-US"/>
        </w:rPr>
        <w:t xml:space="preserve">[1], </w:t>
      </w:r>
      <w:r w:rsidR="5592521F" w:rsidRPr="00B43E5B">
        <w:rPr>
          <w:rFonts w:asciiTheme="minorHAnsi" w:eastAsia="Cambria" w:hAnsiTheme="minorHAnsi" w:cstheme="minorHAnsi"/>
          <w:i/>
          <w:iCs/>
          <w:color w:val="000000" w:themeColor="text1"/>
        </w:rPr>
        <w:t>Participation of the Central and Eastern European EU Member States in the 7th Framework Programme</w:t>
      </w:r>
      <w:r w:rsidR="5592521F" w:rsidRPr="00B43E5B">
        <w:rPr>
          <w:rFonts w:asciiTheme="minorHAnsi" w:eastAsia="Cambria" w:hAnsiTheme="minorHAnsi" w:cstheme="minorHAnsi"/>
          <w:color w:val="000000" w:themeColor="text1"/>
        </w:rPr>
        <w:t xml:space="preserve"> </w:t>
      </w:r>
      <w:r w:rsidR="5592521F" w:rsidRPr="00B43E5B">
        <w:rPr>
          <w:rFonts w:asciiTheme="minorHAnsi" w:eastAsia="Cambria" w:hAnsiTheme="minorHAnsi" w:cstheme="minorHAnsi"/>
          <w:color w:val="000000" w:themeColor="text1"/>
          <w:lang w:val="en-US"/>
        </w:rPr>
        <w:t>[2],</w:t>
      </w:r>
      <w:r w:rsidR="5592521F" w:rsidRPr="00B43E5B">
        <w:rPr>
          <w:rFonts w:asciiTheme="minorHAnsi" w:eastAsia="Cambria" w:hAnsiTheme="minorHAnsi" w:cstheme="minorHAnsi"/>
          <w:color w:val="000000" w:themeColor="text1"/>
        </w:rPr>
        <w:t xml:space="preserve"> Interim evaluation of Horizon 2020 [3]. Podrobně se účastí států EU-13</w:t>
      </w:r>
      <w:r w:rsidR="002725E1">
        <w:rPr>
          <w:rFonts w:asciiTheme="minorHAnsi" w:eastAsia="Cambria" w:hAnsiTheme="minorHAnsi" w:cstheme="minorHAnsi"/>
          <w:color w:val="000000" w:themeColor="text1"/>
        </w:rPr>
        <w:t>,</w:t>
      </w:r>
      <w:r w:rsidR="009B66B5">
        <w:rPr>
          <w:rFonts w:asciiTheme="minorHAnsi" w:eastAsia="Cambria" w:hAnsiTheme="minorHAnsi" w:cstheme="minorHAnsi"/>
          <w:color w:val="000000" w:themeColor="text1"/>
        </w:rPr>
        <w:t xml:space="preserve"> a </w:t>
      </w:r>
      <w:r w:rsidR="5592521F" w:rsidRPr="00B43E5B">
        <w:rPr>
          <w:rFonts w:asciiTheme="minorHAnsi" w:eastAsia="Cambria" w:hAnsiTheme="minorHAnsi" w:cstheme="minorHAnsi"/>
          <w:color w:val="000000" w:themeColor="text1"/>
        </w:rPr>
        <w:t>tedy</w:t>
      </w:r>
      <w:r w:rsidR="009B66B5">
        <w:rPr>
          <w:rFonts w:asciiTheme="minorHAnsi" w:eastAsia="Cambria" w:hAnsiTheme="minorHAnsi" w:cstheme="minorHAnsi"/>
          <w:color w:val="000000" w:themeColor="text1"/>
        </w:rPr>
        <w:t xml:space="preserve"> i </w:t>
      </w:r>
      <w:r w:rsidR="5592521F" w:rsidRPr="00B43E5B">
        <w:rPr>
          <w:rFonts w:asciiTheme="minorHAnsi" w:eastAsia="Cambria" w:hAnsiTheme="minorHAnsi" w:cstheme="minorHAnsi"/>
          <w:color w:val="000000" w:themeColor="text1"/>
        </w:rPr>
        <w:t xml:space="preserve">ČR zabývá studie </w:t>
      </w:r>
      <w:r w:rsidR="5592521F" w:rsidRPr="00B43E5B">
        <w:rPr>
          <w:rFonts w:asciiTheme="minorHAnsi" w:eastAsia="Cambria" w:hAnsiTheme="minorHAnsi" w:cstheme="minorHAnsi"/>
          <w:i/>
          <w:iCs/>
          <w:color w:val="000000" w:themeColor="text1"/>
        </w:rPr>
        <w:t xml:space="preserve">Overcoming innovation gaps in the EU-13 Member States </w:t>
      </w:r>
      <w:r w:rsidR="5592521F" w:rsidRPr="00B43E5B">
        <w:rPr>
          <w:rFonts w:asciiTheme="minorHAnsi" w:eastAsia="Cambria" w:hAnsiTheme="minorHAnsi" w:cstheme="minorHAnsi"/>
          <w:color w:val="000000" w:themeColor="text1"/>
        </w:rPr>
        <w:t>[</w:t>
      </w:r>
      <w:r w:rsidR="001E6D54">
        <w:rPr>
          <w:rFonts w:asciiTheme="minorHAnsi" w:eastAsia="Cambria" w:hAnsiTheme="minorHAnsi" w:cstheme="minorHAnsi"/>
          <w:color w:val="000000" w:themeColor="text1"/>
        </w:rPr>
        <w:t>4</w:t>
      </w:r>
      <w:r w:rsidR="5592521F" w:rsidRPr="00B43E5B">
        <w:rPr>
          <w:rFonts w:asciiTheme="minorHAnsi" w:eastAsia="Cambria" w:hAnsiTheme="minorHAnsi" w:cstheme="minorHAnsi"/>
          <w:color w:val="000000" w:themeColor="text1"/>
        </w:rPr>
        <w:t>], která zařazuje ČR do skupiny zemí, jejichž potenciál výzkumn</w:t>
      </w:r>
      <w:r w:rsidR="5592521F" w:rsidRPr="00B43E5B">
        <w:rPr>
          <w:rFonts w:asciiTheme="minorHAnsi" w:eastAsia="Segoe UI" w:hAnsiTheme="minorHAnsi" w:cstheme="minorHAnsi"/>
          <w:color w:val="000000" w:themeColor="text1"/>
        </w:rPr>
        <w:t>ých</w:t>
      </w:r>
      <w:r w:rsidR="009B66B5">
        <w:rPr>
          <w:rFonts w:asciiTheme="minorHAnsi" w:eastAsia="Cambria" w:hAnsiTheme="minorHAnsi" w:cstheme="minorHAnsi"/>
          <w:color w:val="000000" w:themeColor="text1"/>
        </w:rPr>
        <w:t xml:space="preserve"> a </w:t>
      </w:r>
      <w:r w:rsidR="5592521F" w:rsidRPr="00B43E5B">
        <w:rPr>
          <w:rFonts w:asciiTheme="minorHAnsi" w:eastAsia="Cambria" w:hAnsiTheme="minorHAnsi" w:cstheme="minorHAnsi"/>
          <w:color w:val="000000" w:themeColor="text1"/>
        </w:rPr>
        <w:t>inovační systém</w:t>
      </w:r>
      <w:r w:rsidR="5592521F" w:rsidRPr="00B43E5B">
        <w:rPr>
          <w:rFonts w:asciiTheme="minorHAnsi" w:eastAsia="Segoe UI" w:hAnsiTheme="minorHAnsi" w:cstheme="minorHAnsi"/>
          <w:color w:val="000000" w:themeColor="text1"/>
        </w:rPr>
        <w:t>ů není využit</w:t>
      </w:r>
      <w:r w:rsidR="009B66B5">
        <w:rPr>
          <w:rFonts w:asciiTheme="minorHAnsi" w:eastAsia="Segoe UI" w:hAnsiTheme="minorHAnsi" w:cstheme="minorHAnsi"/>
          <w:color w:val="000000" w:themeColor="text1"/>
        </w:rPr>
        <w:t xml:space="preserve"> v </w:t>
      </w:r>
      <w:r w:rsidR="5592521F" w:rsidRPr="00B43E5B">
        <w:rPr>
          <w:rFonts w:asciiTheme="minorHAnsi" w:eastAsia="Segoe UI" w:hAnsiTheme="minorHAnsi" w:cstheme="minorHAnsi"/>
          <w:color w:val="000000" w:themeColor="text1"/>
        </w:rPr>
        <w:t>dostatečné</w:t>
      </w:r>
      <w:r w:rsidR="5592521F" w:rsidRPr="00B43E5B">
        <w:rPr>
          <w:rFonts w:asciiTheme="minorHAnsi" w:eastAsia="Cambria" w:hAnsiTheme="minorHAnsi" w:cstheme="minorHAnsi"/>
          <w:color w:val="000000" w:themeColor="text1"/>
        </w:rPr>
        <w:t xml:space="preserve"> míře</w:t>
      </w:r>
      <w:r w:rsidR="009B66B5">
        <w:rPr>
          <w:rFonts w:asciiTheme="minorHAnsi" w:eastAsia="Cambria" w:hAnsiTheme="minorHAnsi" w:cstheme="minorHAnsi"/>
          <w:color w:val="000000" w:themeColor="text1"/>
        </w:rPr>
        <w:t xml:space="preserve"> k </w:t>
      </w:r>
      <w:r w:rsidR="5592521F" w:rsidRPr="00B43E5B">
        <w:rPr>
          <w:rFonts w:asciiTheme="minorHAnsi" w:eastAsia="Segoe UI" w:hAnsiTheme="minorHAnsi" w:cstheme="minorHAnsi"/>
          <w:color w:val="000000" w:themeColor="text1"/>
        </w:rPr>
        <w:t>účasti</w:t>
      </w:r>
      <w:r w:rsidR="009B66B5">
        <w:rPr>
          <w:rFonts w:asciiTheme="minorHAnsi" w:eastAsia="Segoe UI" w:hAnsiTheme="minorHAnsi" w:cstheme="minorHAnsi"/>
          <w:color w:val="000000" w:themeColor="text1"/>
        </w:rPr>
        <w:t xml:space="preserve"> v </w:t>
      </w:r>
      <w:r w:rsidR="5592521F" w:rsidRPr="00B43E5B">
        <w:rPr>
          <w:rFonts w:asciiTheme="minorHAnsi" w:eastAsia="Segoe UI" w:hAnsiTheme="minorHAnsi" w:cstheme="minorHAnsi"/>
          <w:color w:val="000000" w:themeColor="text1"/>
        </w:rPr>
        <w:t>systémech zaměřených na excelenci</w:t>
      </w:r>
      <w:r w:rsidR="009B66B5">
        <w:rPr>
          <w:rFonts w:asciiTheme="minorHAnsi" w:eastAsia="Segoe UI" w:hAnsiTheme="minorHAnsi" w:cstheme="minorHAnsi"/>
          <w:color w:val="000000" w:themeColor="text1"/>
        </w:rPr>
        <w:t xml:space="preserve"> a </w:t>
      </w:r>
      <w:r w:rsidR="5592521F" w:rsidRPr="00B43E5B">
        <w:rPr>
          <w:rFonts w:asciiTheme="minorHAnsi" w:eastAsia="Segoe UI" w:hAnsiTheme="minorHAnsi" w:cstheme="minorHAnsi"/>
          <w:color w:val="000000" w:themeColor="text1"/>
        </w:rPr>
        <w:t>inovace</w:t>
      </w:r>
      <w:r w:rsidR="5592521F" w:rsidRPr="00B43E5B">
        <w:rPr>
          <w:rFonts w:asciiTheme="minorHAnsi" w:eastAsia="Cambria" w:hAnsiTheme="minorHAnsi" w:cstheme="minorHAnsi"/>
          <w:color w:val="000000" w:themeColor="text1"/>
        </w:rPr>
        <w:t xml:space="preserve">. </w:t>
      </w:r>
    </w:p>
    <w:p w14:paraId="7F803247" w14:textId="77777777" w:rsidR="00F9717D" w:rsidRPr="00B43E5B" w:rsidRDefault="00A44512" w:rsidP="5592521F">
      <w:pPr>
        <w:spacing w:after="0" w:line="259" w:lineRule="auto"/>
        <w:rPr>
          <w:rFonts w:asciiTheme="minorHAnsi" w:eastAsia="Cambria" w:hAnsiTheme="minorHAnsi" w:cstheme="minorHAnsi"/>
          <w:color w:val="000000" w:themeColor="text1"/>
        </w:rPr>
      </w:pPr>
      <w:r>
        <w:rPr>
          <w:rFonts w:asciiTheme="minorHAnsi" w:eastAsia="Cambria" w:hAnsiTheme="minorHAnsi" w:cstheme="minorHAnsi"/>
          <w:color w:val="000000" w:themeColor="text1"/>
        </w:rPr>
        <w:t>Také</w:t>
      </w:r>
      <w:r w:rsidR="009B66B5">
        <w:rPr>
          <w:rFonts w:asciiTheme="minorHAnsi" w:eastAsia="Cambria" w:hAnsiTheme="minorHAnsi" w:cstheme="minorHAnsi"/>
          <w:color w:val="000000" w:themeColor="text1"/>
        </w:rPr>
        <w:t xml:space="preserve"> z </w:t>
      </w:r>
      <w:r>
        <w:rPr>
          <w:rFonts w:asciiTheme="minorHAnsi" w:eastAsia="Cambria" w:hAnsiTheme="minorHAnsi" w:cstheme="minorHAnsi"/>
          <w:color w:val="000000" w:themeColor="text1"/>
        </w:rPr>
        <w:t>vyhodnocení</w:t>
      </w:r>
      <w:r w:rsidR="5592521F" w:rsidRPr="00B43E5B">
        <w:rPr>
          <w:rFonts w:asciiTheme="minorHAnsi" w:eastAsia="Cambria" w:hAnsiTheme="minorHAnsi" w:cstheme="minorHAnsi"/>
          <w:color w:val="000000" w:themeColor="text1"/>
        </w:rPr>
        <w:t xml:space="preserve"> účasti ČR</w:t>
      </w:r>
      <w:r w:rsidR="009B66B5">
        <w:rPr>
          <w:rFonts w:asciiTheme="minorHAnsi" w:eastAsia="Cambria" w:hAnsiTheme="minorHAnsi" w:cstheme="minorHAnsi"/>
          <w:color w:val="000000" w:themeColor="text1"/>
        </w:rPr>
        <w:t xml:space="preserve"> v </w:t>
      </w:r>
      <w:r w:rsidR="5592521F" w:rsidRPr="00B43E5B">
        <w:rPr>
          <w:rFonts w:asciiTheme="minorHAnsi" w:eastAsia="Cambria" w:hAnsiTheme="minorHAnsi" w:cstheme="minorHAnsi"/>
          <w:color w:val="000000" w:themeColor="text1"/>
        </w:rPr>
        <w:t>RP prováděn</w:t>
      </w:r>
      <w:r>
        <w:rPr>
          <w:rFonts w:asciiTheme="minorHAnsi" w:eastAsia="Cambria" w:hAnsiTheme="minorHAnsi" w:cstheme="minorHAnsi"/>
          <w:color w:val="000000" w:themeColor="text1"/>
        </w:rPr>
        <w:t>ém</w:t>
      </w:r>
      <w:r w:rsidR="5592521F" w:rsidRPr="00B43E5B">
        <w:rPr>
          <w:rFonts w:asciiTheme="minorHAnsi" w:eastAsia="Cambria" w:hAnsiTheme="minorHAnsi" w:cstheme="minorHAnsi"/>
          <w:color w:val="000000" w:themeColor="text1"/>
        </w:rPr>
        <w:t xml:space="preserve"> kontinuálně</w:t>
      </w:r>
      <w:r w:rsidR="009B66B5">
        <w:rPr>
          <w:rFonts w:asciiTheme="minorHAnsi" w:eastAsia="Cambria" w:hAnsiTheme="minorHAnsi" w:cstheme="minorHAnsi"/>
          <w:color w:val="000000" w:themeColor="text1"/>
        </w:rPr>
        <w:t xml:space="preserve"> v</w:t>
      </w:r>
      <w:r w:rsidR="002D7AEF">
        <w:rPr>
          <w:rFonts w:asciiTheme="minorHAnsi" w:eastAsia="Cambria" w:hAnsiTheme="minorHAnsi" w:cstheme="minorHAnsi"/>
          <w:color w:val="000000" w:themeColor="text1"/>
        </w:rPr>
        <w:t xml:space="preserve"> Technologickém centru</w:t>
      </w:r>
      <w:r w:rsidR="5592521F" w:rsidRPr="00B43E5B">
        <w:rPr>
          <w:rFonts w:asciiTheme="minorHAnsi" w:eastAsia="Cambria" w:hAnsiTheme="minorHAnsi" w:cstheme="minorHAnsi"/>
          <w:color w:val="000000" w:themeColor="text1"/>
        </w:rPr>
        <w:t xml:space="preserve"> AV ČR</w:t>
      </w:r>
      <w:r w:rsidR="002725E1">
        <w:rPr>
          <w:rFonts w:asciiTheme="minorHAnsi" w:eastAsia="Cambria" w:hAnsiTheme="minorHAnsi" w:cstheme="minorHAnsi"/>
          <w:color w:val="000000" w:themeColor="text1"/>
        </w:rPr>
        <w:t>,</w:t>
      </w:r>
      <w:r w:rsidR="5592521F" w:rsidRPr="00B43E5B">
        <w:rPr>
          <w:rFonts w:asciiTheme="minorHAnsi" w:eastAsia="Cambria" w:hAnsiTheme="minorHAnsi" w:cstheme="minorHAnsi"/>
          <w:color w:val="000000" w:themeColor="text1"/>
        </w:rPr>
        <w:t xml:space="preserve"> zejména prostřednictvím každoročně vydávaných souborných Zpráv</w:t>
      </w:r>
      <w:r w:rsidR="009B66B5">
        <w:rPr>
          <w:rFonts w:asciiTheme="minorHAnsi" w:eastAsia="Cambria" w:hAnsiTheme="minorHAnsi" w:cstheme="minorHAnsi"/>
          <w:color w:val="000000" w:themeColor="text1"/>
        </w:rPr>
        <w:t xml:space="preserve"> o </w:t>
      </w:r>
      <w:r w:rsidR="5592521F" w:rsidRPr="00B43E5B">
        <w:rPr>
          <w:rFonts w:asciiTheme="minorHAnsi" w:eastAsia="Cambria" w:hAnsiTheme="minorHAnsi" w:cstheme="minorHAnsi"/>
          <w:color w:val="000000" w:themeColor="text1"/>
        </w:rPr>
        <w:t>účasti</w:t>
      </w:r>
      <w:r w:rsidR="5592521F" w:rsidRPr="00B43E5B">
        <w:rPr>
          <w:rFonts w:asciiTheme="minorHAnsi" w:eastAsia="Segoe UI" w:hAnsiTheme="minorHAnsi" w:cstheme="minorHAnsi"/>
          <w:color w:val="000000" w:themeColor="text1"/>
        </w:rPr>
        <w:t xml:space="preserve"> ČR</w:t>
      </w:r>
      <w:r w:rsidR="009B66B5">
        <w:rPr>
          <w:rFonts w:asciiTheme="minorHAnsi" w:eastAsia="Segoe UI" w:hAnsiTheme="minorHAnsi" w:cstheme="minorHAnsi"/>
          <w:color w:val="000000" w:themeColor="text1"/>
        </w:rPr>
        <w:t xml:space="preserve"> v </w:t>
      </w:r>
      <w:r w:rsidR="5592521F" w:rsidRPr="00B43E5B">
        <w:rPr>
          <w:rFonts w:asciiTheme="minorHAnsi" w:eastAsia="Cambria" w:hAnsiTheme="minorHAnsi" w:cstheme="minorHAnsi"/>
          <w:color w:val="000000" w:themeColor="text1"/>
        </w:rPr>
        <w:t>RP</w:t>
      </w:r>
      <w:r w:rsidR="009B66B5">
        <w:rPr>
          <w:rFonts w:asciiTheme="minorHAnsi" w:eastAsia="Cambria" w:hAnsiTheme="minorHAnsi" w:cstheme="minorHAnsi"/>
          <w:color w:val="000000" w:themeColor="text1"/>
        </w:rPr>
        <w:t xml:space="preserve"> a </w:t>
      </w:r>
      <w:r>
        <w:rPr>
          <w:rFonts w:asciiTheme="minorHAnsi" w:eastAsia="Cambria" w:hAnsiTheme="minorHAnsi" w:cstheme="minorHAnsi"/>
          <w:color w:val="000000" w:themeColor="text1"/>
        </w:rPr>
        <w:t>d</w:t>
      </w:r>
      <w:r w:rsidR="5592521F" w:rsidRPr="00B43E5B">
        <w:rPr>
          <w:rFonts w:asciiTheme="minorHAnsi" w:eastAsia="Cambria" w:hAnsiTheme="minorHAnsi" w:cstheme="minorHAnsi"/>
          <w:color w:val="000000" w:themeColor="text1"/>
        </w:rPr>
        <w:t>ílčí</w:t>
      </w:r>
      <w:r>
        <w:rPr>
          <w:rFonts w:asciiTheme="minorHAnsi" w:eastAsia="Cambria" w:hAnsiTheme="minorHAnsi" w:cstheme="minorHAnsi"/>
          <w:color w:val="000000" w:themeColor="text1"/>
        </w:rPr>
        <w:t>ch</w:t>
      </w:r>
      <w:r w:rsidR="5592521F" w:rsidRPr="00B43E5B">
        <w:rPr>
          <w:rFonts w:asciiTheme="minorHAnsi" w:eastAsia="Cambria" w:hAnsiTheme="minorHAnsi" w:cstheme="minorHAnsi"/>
          <w:color w:val="000000" w:themeColor="text1"/>
        </w:rPr>
        <w:t xml:space="preserve"> analýz publikov</w:t>
      </w:r>
      <w:r>
        <w:rPr>
          <w:rFonts w:asciiTheme="minorHAnsi" w:eastAsia="Cambria" w:hAnsiTheme="minorHAnsi" w:cstheme="minorHAnsi"/>
          <w:color w:val="000000" w:themeColor="text1"/>
        </w:rPr>
        <w:t>aných</w:t>
      </w:r>
      <w:r w:rsidR="009B66B5">
        <w:rPr>
          <w:rFonts w:asciiTheme="minorHAnsi" w:eastAsia="Cambria" w:hAnsiTheme="minorHAnsi" w:cstheme="minorHAnsi"/>
          <w:color w:val="000000" w:themeColor="text1"/>
        </w:rPr>
        <w:t xml:space="preserve"> v </w:t>
      </w:r>
      <w:r w:rsidR="5592521F" w:rsidRPr="00B43E5B">
        <w:rPr>
          <w:rFonts w:asciiTheme="minorHAnsi" w:eastAsia="Cambria" w:hAnsiTheme="minorHAnsi" w:cstheme="minorHAnsi"/>
          <w:color w:val="000000" w:themeColor="text1"/>
        </w:rPr>
        <w:t>časopisech ECHO</w:t>
      </w:r>
      <w:r w:rsidR="009B66B5">
        <w:rPr>
          <w:rFonts w:asciiTheme="minorHAnsi" w:eastAsia="Cambria" w:hAnsiTheme="minorHAnsi" w:cstheme="minorHAnsi"/>
          <w:color w:val="000000" w:themeColor="text1"/>
        </w:rPr>
        <w:t xml:space="preserve"> a </w:t>
      </w:r>
      <w:r w:rsidR="5592521F" w:rsidRPr="00B43E5B">
        <w:rPr>
          <w:rFonts w:asciiTheme="minorHAnsi" w:eastAsia="Cambria" w:hAnsiTheme="minorHAnsi" w:cstheme="minorHAnsi"/>
          <w:color w:val="000000" w:themeColor="text1"/>
        </w:rPr>
        <w:t>ERGO vydáv</w:t>
      </w:r>
      <w:r>
        <w:rPr>
          <w:rFonts w:asciiTheme="minorHAnsi" w:eastAsia="Cambria" w:hAnsiTheme="minorHAnsi" w:cstheme="minorHAnsi"/>
          <w:color w:val="000000" w:themeColor="text1"/>
        </w:rPr>
        <w:t>aných</w:t>
      </w:r>
      <w:r w:rsidR="002D7AEF">
        <w:rPr>
          <w:rFonts w:asciiTheme="minorHAnsi" w:eastAsia="Cambria" w:hAnsiTheme="minorHAnsi" w:cstheme="minorHAnsi"/>
          <w:color w:val="000000" w:themeColor="text1"/>
        </w:rPr>
        <w:t xml:space="preserve"> Technologickým centrem</w:t>
      </w:r>
      <w:r w:rsidR="5592521F" w:rsidRPr="00B43E5B">
        <w:rPr>
          <w:rFonts w:asciiTheme="minorHAnsi" w:eastAsia="Cambria" w:hAnsiTheme="minorHAnsi" w:cstheme="minorHAnsi"/>
          <w:color w:val="000000" w:themeColor="text1"/>
        </w:rPr>
        <w:t xml:space="preserve"> AV ČR</w:t>
      </w:r>
      <w:r w:rsidR="002725E1">
        <w:rPr>
          <w:rFonts w:asciiTheme="minorHAnsi" w:eastAsia="Cambria" w:hAnsiTheme="minorHAnsi" w:cstheme="minorHAnsi"/>
          <w:color w:val="000000" w:themeColor="text1"/>
        </w:rPr>
        <w:t>,</w:t>
      </w:r>
      <w:r>
        <w:rPr>
          <w:rFonts w:asciiTheme="minorHAnsi" w:eastAsia="Cambria" w:hAnsiTheme="minorHAnsi" w:cstheme="minorHAnsi"/>
          <w:color w:val="000000" w:themeColor="text1"/>
        </w:rPr>
        <w:t xml:space="preserve"> vyplývá, že </w:t>
      </w:r>
      <w:r w:rsidR="5592521F" w:rsidRPr="00B43E5B">
        <w:rPr>
          <w:rFonts w:asciiTheme="minorHAnsi" w:eastAsia="Segoe UI" w:hAnsiTheme="minorHAnsi" w:cstheme="minorHAnsi"/>
          <w:color w:val="000000" w:themeColor="text1"/>
        </w:rPr>
        <w:t>účast ČR</w:t>
      </w:r>
      <w:r w:rsidR="009B66B5">
        <w:rPr>
          <w:rFonts w:asciiTheme="minorHAnsi" w:eastAsia="Segoe UI" w:hAnsiTheme="minorHAnsi" w:cstheme="minorHAnsi"/>
          <w:color w:val="000000" w:themeColor="text1"/>
        </w:rPr>
        <w:t xml:space="preserve"> v </w:t>
      </w:r>
      <w:r w:rsidR="5592521F" w:rsidRPr="00B43E5B">
        <w:rPr>
          <w:rFonts w:asciiTheme="minorHAnsi" w:eastAsia="Segoe UI" w:hAnsiTheme="minorHAnsi" w:cstheme="minorHAnsi"/>
          <w:color w:val="000000" w:themeColor="text1"/>
        </w:rPr>
        <w:t>evropském výzkumu</w:t>
      </w:r>
      <w:r w:rsidR="009B66B5">
        <w:rPr>
          <w:rFonts w:asciiTheme="minorHAnsi" w:eastAsia="Segoe UI" w:hAnsiTheme="minorHAnsi" w:cstheme="minorHAnsi"/>
          <w:color w:val="000000" w:themeColor="text1"/>
        </w:rPr>
        <w:t xml:space="preserve"> a </w:t>
      </w:r>
      <w:r w:rsidR="00301602">
        <w:rPr>
          <w:rFonts w:asciiTheme="minorHAnsi" w:eastAsia="Segoe UI" w:hAnsiTheme="minorHAnsi" w:cstheme="minorHAnsi"/>
          <w:color w:val="000000" w:themeColor="text1"/>
        </w:rPr>
        <w:t xml:space="preserve">inovacích </w:t>
      </w:r>
      <w:r w:rsidR="5592521F" w:rsidRPr="00B43E5B">
        <w:rPr>
          <w:rFonts w:asciiTheme="minorHAnsi" w:eastAsia="Segoe UI" w:hAnsiTheme="minorHAnsi" w:cstheme="minorHAnsi"/>
          <w:color w:val="000000" w:themeColor="text1"/>
        </w:rPr>
        <w:t xml:space="preserve">je setrvale malá (menší než států </w:t>
      </w:r>
      <w:r w:rsidR="00301602">
        <w:rPr>
          <w:rFonts w:asciiTheme="minorHAnsi" w:eastAsia="Segoe UI" w:hAnsiTheme="minorHAnsi" w:cstheme="minorHAnsi"/>
          <w:color w:val="000000" w:themeColor="text1"/>
        </w:rPr>
        <w:t>srovnatelné</w:t>
      </w:r>
      <w:r w:rsidR="00301602" w:rsidRPr="00B43E5B">
        <w:rPr>
          <w:rFonts w:asciiTheme="minorHAnsi" w:eastAsia="Segoe UI" w:hAnsiTheme="minorHAnsi" w:cstheme="minorHAnsi"/>
          <w:color w:val="000000" w:themeColor="text1"/>
        </w:rPr>
        <w:t xml:space="preserve"> </w:t>
      </w:r>
      <w:r w:rsidR="00301602">
        <w:rPr>
          <w:rFonts w:asciiTheme="minorHAnsi" w:eastAsia="Segoe UI" w:hAnsiTheme="minorHAnsi" w:cstheme="minorHAnsi"/>
          <w:color w:val="000000" w:themeColor="text1"/>
        </w:rPr>
        <w:t>geografické</w:t>
      </w:r>
      <w:r w:rsidR="009B66B5">
        <w:rPr>
          <w:rFonts w:asciiTheme="minorHAnsi" w:eastAsia="Segoe UI" w:hAnsiTheme="minorHAnsi" w:cstheme="minorHAnsi"/>
          <w:color w:val="000000" w:themeColor="text1"/>
        </w:rPr>
        <w:t xml:space="preserve"> a </w:t>
      </w:r>
      <w:r w:rsidR="00301602">
        <w:rPr>
          <w:rFonts w:asciiTheme="minorHAnsi" w:eastAsia="Segoe UI" w:hAnsiTheme="minorHAnsi" w:cstheme="minorHAnsi"/>
          <w:color w:val="000000" w:themeColor="text1"/>
        </w:rPr>
        <w:t xml:space="preserve">populační </w:t>
      </w:r>
      <w:r w:rsidR="5592521F" w:rsidRPr="00B43E5B">
        <w:rPr>
          <w:rFonts w:asciiTheme="minorHAnsi" w:eastAsia="Segoe UI" w:hAnsiTheme="minorHAnsi" w:cstheme="minorHAnsi"/>
          <w:color w:val="000000" w:themeColor="text1"/>
        </w:rPr>
        <w:t>velikosti či menší než u států, které na výzkum</w:t>
      </w:r>
      <w:r w:rsidR="009B66B5">
        <w:rPr>
          <w:rFonts w:asciiTheme="minorHAnsi" w:eastAsia="Segoe UI" w:hAnsiTheme="minorHAnsi" w:cstheme="minorHAnsi"/>
          <w:color w:val="000000" w:themeColor="text1"/>
        </w:rPr>
        <w:t xml:space="preserve"> a </w:t>
      </w:r>
      <w:r w:rsidR="5592521F" w:rsidRPr="00B43E5B">
        <w:rPr>
          <w:rFonts w:asciiTheme="minorHAnsi" w:eastAsia="Segoe UI" w:hAnsiTheme="minorHAnsi" w:cstheme="minorHAnsi"/>
          <w:color w:val="000000" w:themeColor="text1"/>
        </w:rPr>
        <w:t xml:space="preserve">vývoj vydávají </w:t>
      </w:r>
      <w:r w:rsidR="00301602">
        <w:rPr>
          <w:rFonts w:asciiTheme="minorHAnsi" w:eastAsia="Segoe UI" w:hAnsiTheme="minorHAnsi" w:cstheme="minorHAnsi"/>
          <w:color w:val="000000" w:themeColor="text1"/>
        </w:rPr>
        <w:t>nižší</w:t>
      </w:r>
      <w:r w:rsidR="00301602" w:rsidRPr="00B43E5B">
        <w:rPr>
          <w:rFonts w:asciiTheme="minorHAnsi" w:eastAsia="Segoe UI" w:hAnsiTheme="minorHAnsi" w:cstheme="minorHAnsi"/>
          <w:color w:val="000000" w:themeColor="text1"/>
        </w:rPr>
        <w:t xml:space="preserve"> </w:t>
      </w:r>
      <w:r w:rsidR="5592521F" w:rsidRPr="00B43E5B">
        <w:rPr>
          <w:rFonts w:asciiTheme="minorHAnsi" w:eastAsia="Segoe UI" w:hAnsiTheme="minorHAnsi" w:cstheme="minorHAnsi"/>
          <w:color w:val="000000" w:themeColor="text1"/>
        </w:rPr>
        <w:t>procento svého HDP než ČR</w:t>
      </w:r>
      <w:r w:rsidR="5592521F" w:rsidRPr="00B43E5B">
        <w:rPr>
          <w:rFonts w:asciiTheme="minorHAnsi" w:eastAsia="Cambria" w:hAnsiTheme="minorHAnsi" w:cstheme="minorHAnsi"/>
          <w:color w:val="000000" w:themeColor="text1"/>
        </w:rPr>
        <w:t xml:space="preserve"> [</w:t>
      </w:r>
      <w:r w:rsidR="001E6D54">
        <w:rPr>
          <w:rFonts w:asciiTheme="minorHAnsi" w:eastAsia="Cambria" w:hAnsiTheme="minorHAnsi" w:cstheme="minorHAnsi"/>
          <w:color w:val="000000" w:themeColor="text1"/>
        </w:rPr>
        <w:t>6</w:t>
      </w:r>
      <w:r w:rsidR="5592521F" w:rsidRPr="00B43E5B">
        <w:rPr>
          <w:rFonts w:asciiTheme="minorHAnsi" w:eastAsia="Cambria" w:hAnsiTheme="minorHAnsi" w:cstheme="minorHAnsi"/>
          <w:color w:val="000000" w:themeColor="text1"/>
        </w:rPr>
        <w:t>]</w:t>
      </w:r>
      <w:r w:rsidR="00C53505">
        <w:rPr>
          <w:rFonts w:asciiTheme="minorHAnsi" w:eastAsia="Cambria" w:hAnsiTheme="minorHAnsi" w:cstheme="minorHAnsi"/>
          <w:color w:val="000000" w:themeColor="text1"/>
        </w:rPr>
        <w:t>)</w:t>
      </w:r>
      <w:r w:rsidR="5592521F" w:rsidRPr="00B43E5B">
        <w:rPr>
          <w:rFonts w:asciiTheme="minorHAnsi" w:eastAsia="Cambria" w:hAnsiTheme="minorHAnsi" w:cstheme="minorHAnsi"/>
          <w:color w:val="000000" w:themeColor="text1"/>
        </w:rPr>
        <w:t xml:space="preserve">. </w:t>
      </w:r>
    </w:p>
    <w:p w14:paraId="7415C800" w14:textId="630B4703" w:rsidR="00F9717D" w:rsidRPr="00B43E5B" w:rsidRDefault="26E5C05E" w:rsidP="09F46A13">
      <w:pPr>
        <w:spacing w:after="160" w:line="259" w:lineRule="auto"/>
        <w:rPr>
          <w:rFonts w:asciiTheme="minorHAnsi" w:eastAsia="Cambria" w:hAnsiTheme="minorHAnsi" w:cstheme="minorHAnsi"/>
          <w:color w:val="000000" w:themeColor="text1"/>
        </w:rPr>
      </w:pPr>
      <w:r w:rsidRPr="00B43E5B">
        <w:rPr>
          <w:rFonts w:asciiTheme="minorHAnsi" w:eastAsia="Segoe UI" w:hAnsiTheme="minorHAnsi" w:cstheme="minorHAnsi"/>
          <w:color w:val="000000" w:themeColor="text1"/>
        </w:rPr>
        <w:t>Účast ČR</w:t>
      </w:r>
      <w:r w:rsidR="009B66B5">
        <w:rPr>
          <w:rFonts w:asciiTheme="minorHAnsi" w:eastAsia="Segoe UI" w:hAnsiTheme="minorHAnsi" w:cstheme="minorHAnsi"/>
          <w:color w:val="000000" w:themeColor="text1"/>
        </w:rPr>
        <w:t xml:space="preserve"> v </w:t>
      </w:r>
      <w:r w:rsidRPr="00B43E5B">
        <w:rPr>
          <w:rFonts w:asciiTheme="minorHAnsi" w:eastAsia="Segoe UI" w:hAnsiTheme="minorHAnsi" w:cstheme="minorHAnsi"/>
          <w:color w:val="000000" w:themeColor="text1"/>
        </w:rPr>
        <w:t>RP má</w:t>
      </w:r>
      <w:r w:rsidR="009B66B5">
        <w:rPr>
          <w:rFonts w:asciiTheme="minorHAnsi" w:eastAsia="Segoe UI" w:hAnsiTheme="minorHAnsi" w:cstheme="minorHAnsi"/>
          <w:color w:val="000000" w:themeColor="text1"/>
        </w:rPr>
        <w:t xml:space="preserve"> v </w:t>
      </w:r>
      <w:r w:rsidRPr="00B43E5B">
        <w:rPr>
          <w:rFonts w:asciiTheme="minorHAnsi" w:eastAsia="Segoe UI" w:hAnsiTheme="minorHAnsi" w:cstheme="minorHAnsi"/>
          <w:color w:val="000000" w:themeColor="text1"/>
        </w:rPr>
        <w:t>mnoha ohledech stejné rysy jako účast velkých států (DE, FR, UK atd.). Ty</w:t>
      </w:r>
      <w:r w:rsidRPr="00B43E5B">
        <w:rPr>
          <w:rFonts w:asciiTheme="minorHAnsi" w:eastAsia="Cambria" w:hAnsiTheme="minorHAnsi" w:cstheme="minorHAnsi"/>
          <w:color w:val="000000" w:themeColor="text1"/>
        </w:rPr>
        <w:t>to státy však vytvářejí na národní úrovni takové podmínky, aby jejich systém VaV</w:t>
      </w:r>
      <w:r w:rsidR="00301602">
        <w:rPr>
          <w:rFonts w:asciiTheme="minorHAnsi" w:eastAsia="Cambria" w:hAnsiTheme="minorHAnsi" w:cstheme="minorHAnsi"/>
          <w:color w:val="000000" w:themeColor="text1"/>
        </w:rPr>
        <w:t>aI</w:t>
      </w:r>
      <w:r w:rsidRPr="00B43E5B">
        <w:rPr>
          <w:rFonts w:asciiTheme="minorHAnsi" w:eastAsia="Cambria" w:hAnsiTheme="minorHAnsi" w:cstheme="minorHAnsi"/>
          <w:color w:val="000000" w:themeColor="text1"/>
        </w:rPr>
        <w:t xml:space="preserve"> umožnil řešit co nejširší spektrum výzkumných</w:t>
      </w:r>
      <w:r w:rsidR="009B66B5">
        <w:rPr>
          <w:rFonts w:asciiTheme="minorHAnsi" w:eastAsia="Cambria" w:hAnsiTheme="minorHAnsi" w:cstheme="minorHAnsi"/>
          <w:color w:val="000000" w:themeColor="text1"/>
        </w:rPr>
        <w:t xml:space="preserve"> a </w:t>
      </w:r>
      <w:r w:rsidR="00301602">
        <w:rPr>
          <w:rFonts w:asciiTheme="minorHAnsi" w:eastAsia="Cambria" w:hAnsiTheme="minorHAnsi" w:cstheme="minorHAnsi"/>
          <w:color w:val="000000" w:themeColor="text1"/>
        </w:rPr>
        <w:t>inovačních</w:t>
      </w:r>
      <w:r w:rsidRPr="00B43E5B">
        <w:rPr>
          <w:rFonts w:asciiTheme="minorHAnsi" w:eastAsia="Cambria" w:hAnsiTheme="minorHAnsi" w:cstheme="minorHAnsi"/>
          <w:color w:val="000000" w:themeColor="text1"/>
        </w:rPr>
        <w:t xml:space="preserve"> témat, jejich instituce mají silné zahraniční vazby či přímo svá zahraniční výzkumná pracoviště,</w:t>
      </w:r>
      <w:r w:rsidR="009B66B5">
        <w:rPr>
          <w:rFonts w:asciiTheme="minorHAnsi" w:eastAsia="Cambria" w:hAnsiTheme="minorHAnsi" w:cstheme="minorHAnsi"/>
          <w:color w:val="000000" w:themeColor="text1"/>
        </w:rPr>
        <w:t xml:space="preserve"> a </w:t>
      </w:r>
      <w:r w:rsidRPr="00B43E5B">
        <w:rPr>
          <w:rFonts w:asciiTheme="minorHAnsi" w:eastAsia="Cambria" w:hAnsiTheme="minorHAnsi" w:cstheme="minorHAnsi"/>
          <w:color w:val="000000" w:themeColor="text1"/>
        </w:rPr>
        <w:t xml:space="preserve">proto pro ně </w:t>
      </w:r>
      <w:r w:rsidR="00301602">
        <w:rPr>
          <w:rFonts w:asciiTheme="minorHAnsi" w:eastAsia="Cambria" w:hAnsiTheme="minorHAnsi" w:cstheme="minorHAnsi"/>
          <w:color w:val="000000" w:themeColor="text1"/>
        </w:rPr>
        <w:t xml:space="preserve">má </w:t>
      </w:r>
      <w:r w:rsidR="00301602" w:rsidRPr="00B43E5B">
        <w:rPr>
          <w:rFonts w:asciiTheme="minorHAnsi" w:eastAsia="Cambria" w:hAnsiTheme="minorHAnsi" w:cstheme="minorHAnsi"/>
          <w:color w:val="000000" w:themeColor="text1"/>
        </w:rPr>
        <w:t xml:space="preserve">jejich zapojení do </w:t>
      </w:r>
      <w:r w:rsidR="00301602">
        <w:rPr>
          <w:rFonts w:asciiTheme="minorHAnsi" w:eastAsia="Cambria" w:hAnsiTheme="minorHAnsi" w:cstheme="minorHAnsi"/>
          <w:color w:val="000000" w:themeColor="text1"/>
        </w:rPr>
        <w:t>RP</w:t>
      </w:r>
      <w:r w:rsidR="00301602" w:rsidRPr="00B43E5B">
        <w:rPr>
          <w:rFonts w:asciiTheme="minorHAnsi" w:eastAsia="Cambria" w:hAnsiTheme="minorHAnsi" w:cstheme="minorHAnsi"/>
          <w:color w:val="000000" w:themeColor="text1"/>
        </w:rPr>
        <w:t xml:space="preserve"> </w:t>
      </w:r>
      <w:r w:rsidRPr="00B43E5B">
        <w:rPr>
          <w:rFonts w:asciiTheme="minorHAnsi" w:eastAsia="Cambria" w:hAnsiTheme="minorHAnsi" w:cstheme="minorHAnsi"/>
          <w:color w:val="000000" w:themeColor="text1"/>
        </w:rPr>
        <w:t>jiný význam, než je tomu u</w:t>
      </w:r>
      <w:r w:rsidR="009B66B5">
        <w:rPr>
          <w:rFonts w:asciiTheme="minorHAnsi" w:eastAsia="Cambria" w:hAnsiTheme="minorHAnsi" w:cstheme="minorHAnsi"/>
          <w:color w:val="000000" w:themeColor="text1"/>
        </w:rPr>
        <w:t> </w:t>
      </w:r>
      <w:r w:rsidRPr="00B43E5B">
        <w:rPr>
          <w:rFonts w:asciiTheme="minorHAnsi" w:eastAsia="Cambria" w:hAnsiTheme="minorHAnsi" w:cstheme="minorHAnsi"/>
          <w:color w:val="000000" w:themeColor="text1"/>
        </w:rPr>
        <w:t>menších států, jimž spolupráce</w:t>
      </w:r>
      <w:r w:rsidR="009B66B5">
        <w:rPr>
          <w:rFonts w:asciiTheme="minorHAnsi" w:eastAsia="Cambria" w:hAnsiTheme="minorHAnsi" w:cstheme="minorHAnsi"/>
          <w:color w:val="000000" w:themeColor="text1"/>
        </w:rPr>
        <w:t xml:space="preserve"> v </w:t>
      </w:r>
      <w:r w:rsidR="00301602">
        <w:rPr>
          <w:rFonts w:asciiTheme="minorHAnsi" w:eastAsia="Cambria" w:hAnsiTheme="minorHAnsi" w:cstheme="minorHAnsi"/>
          <w:color w:val="000000" w:themeColor="text1"/>
        </w:rPr>
        <w:t>RP</w:t>
      </w:r>
      <w:r w:rsidRPr="00B43E5B">
        <w:rPr>
          <w:rFonts w:asciiTheme="minorHAnsi" w:eastAsia="Cambria" w:hAnsiTheme="minorHAnsi" w:cstheme="minorHAnsi"/>
          <w:color w:val="000000" w:themeColor="text1"/>
        </w:rPr>
        <w:t xml:space="preserve"> umožňuje řešit problémy, které svými nároky překračují možnosti jejich národního systému VaV</w:t>
      </w:r>
      <w:r w:rsidR="00301602">
        <w:rPr>
          <w:rFonts w:asciiTheme="minorHAnsi" w:eastAsia="Cambria" w:hAnsiTheme="minorHAnsi" w:cstheme="minorHAnsi"/>
          <w:color w:val="000000" w:themeColor="text1"/>
        </w:rPr>
        <w:t>aI</w:t>
      </w:r>
      <w:r w:rsidRPr="00B43E5B">
        <w:rPr>
          <w:rFonts w:asciiTheme="minorHAnsi" w:eastAsia="Segoe UI" w:hAnsiTheme="minorHAnsi" w:cstheme="minorHAnsi"/>
          <w:color w:val="000000" w:themeColor="text1"/>
        </w:rPr>
        <w:t xml:space="preserve">. </w:t>
      </w:r>
      <w:r w:rsidRPr="00ED05C2">
        <w:rPr>
          <w:rFonts w:asciiTheme="minorHAnsi" w:eastAsia="Segoe UI" w:hAnsiTheme="minorHAnsi" w:cstheme="minorHAnsi"/>
          <w:b/>
          <w:bCs/>
          <w:color w:val="000000" w:themeColor="text1"/>
        </w:rPr>
        <w:t xml:space="preserve">ČR nemá žádné </w:t>
      </w:r>
      <w:r w:rsidRPr="00ED05C2">
        <w:rPr>
          <w:rFonts w:asciiTheme="minorHAnsi" w:eastAsia="Cambria" w:hAnsiTheme="minorHAnsi" w:cstheme="minorHAnsi"/>
          <w:b/>
          <w:bCs/>
          <w:color w:val="000000" w:themeColor="text1"/>
        </w:rPr>
        <w:t>pevně dané výzkumné priority, které by potřebovala</w:t>
      </w:r>
      <w:r w:rsidR="00301602">
        <w:rPr>
          <w:rFonts w:asciiTheme="minorHAnsi" w:eastAsia="Cambria" w:hAnsiTheme="minorHAnsi" w:cstheme="minorHAnsi"/>
          <w:b/>
          <w:bCs/>
          <w:color w:val="000000" w:themeColor="text1"/>
        </w:rPr>
        <w:t>, resp.</w:t>
      </w:r>
      <w:r w:rsidRPr="00ED05C2">
        <w:rPr>
          <w:rFonts w:asciiTheme="minorHAnsi" w:eastAsia="Cambria" w:hAnsiTheme="minorHAnsi" w:cstheme="minorHAnsi"/>
          <w:b/>
          <w:bCs/>
          <w:color w:val="000000" w:themeColor="text1"/>
        </w:rPr>
        <w:t xml:space="preserve"> chtěla řešit prostřednictvím spolupráce</w:t>
      </w:r>
      <w:r w:rsidR="009B66B5">
        <w:rPr>
          <w:rFonts w:asciiTheme="minorHAnsi" w:eastAsia="Cambria" w:hAnsiTheme="minorHAnsi" w:cstheme="minorHAnsi"/>
          <w:b/>
          <w:bCs/>
          <w:color w:val="000000" w:themeColor="text1"/>
        </w:rPr>
        <w:t xml:space="preserve"> v </w:t>
      </w:r>
      <w:r w:rsidRPr="00ED05C2">
        <w:rPr>
          <w:rFonts w:asciiTheme="minorHAnsi" w:eastAsia="Cambria" w:hAnsiTheme="minorHAnsi" w:cstheme="minorHAnsi"/>
          <w:b/>
          <w:bCs/>
          <w:color w:val="000000" w:themeColor="text1"/>
        </w:rPr>
        <w:t>evropském výzkumu</w:t>
      </w:r>
      <w:r w:rsidR="009B66B5">
        <w:rPr>
          <w:rFonts w:asciiTheme="minorHAnsi" w:eastAsia="Cambria" w:hAnsiTheme="minorHAnsi" w:cstheme="minorHAnsi"/>
          <w:b/>
          <w:bCs/>
          <w:color w:val="000000" w:themeColor="text1"/>
        </w:rPr>
        <w:t xml:space="preserve"> a </w:t>
      </w:r>
      <w:r w:rsidR="00301602">
        <w:rPr>
          <w:rFonts w:asciiTheme="minorHAnsi" w:eastAsia="Cambria" w:hAnsiTheme="minorHAnsi" w:cstheme="minorHAnsi"/>
          <w:b/>
          <w:bCs/>
          <w:color w:val="000000" w:themeColor="text1"/>
        </w:rPr>
        <w:t>inovacích</w:t>
      </w:r>
      <w:r w:rsidR="71B5573C" w:rsidRPr="00ED05C2">
        <w:rPr>
          <w:rFonts w:asciiTheme="minorHAnsi" w:eastAsia="Cambria" w:hAnsiTheme="minorHAnsi" w:cstheme="minorHAnsi"/>
          <w:b/>
          <w:bCs/>
          <w:color w:val="000000" w:themeColor="text1"/>
        </w:rPr>
        <w:t>.</w:t>
      </w:r>
      <w:r w:rsidR="71B5573C" w:rsidRPr="00B43E5B">
        <w:rPr>
          <w:rFonts w:asciiTheme="minorHAnsi" w:eastAsia="Cambria" w:hAnsiTheme="minorHAnsi" w:cstheme="minorHAnsi"/>
          <w:color w:val="000000" w:themeColor="text1"/>
        </w:rPr>
        <w:t xml:space="preserve"> </w:t>
      </w:r>
      <w:r w:rsidRPr="00B43E5B">
        <w:rPr>
          <w:rFonts w:asciiTheme="minorHAnsi" w:eastAsia="Cambria" w:hAnsiTheme="minorHAnsi" w:cstheme="minorHAnsi"/>
          <w:color w:val="000000" w:themeColor="text1"/>
        </w:rPr>
        <w:t>Cíl ČR, který se týká zvýšení kvality</w:t>
      </w:r>
      <w:r w:rsidR="009B66B5">
        <w:rPr>
          <w:rFonts w:asciiTheme="minorHAnsi" w:eastAsia="Cambria" w:hAnsiTheme="minorHAnsi" w:cstheme="minorHAnsi"/>
          <w:color w:val="000000" w:themeColor="text1"/>
        </w:rPr>
        <w:t xml:space="preserve"> a </w:t>
      </w:r>
      <w:r w:rsidRPr="00B43E5B">
        <w:rPr>
          <w:rFonts w:asciiTheme="minorHAnsi" w:eastAsia="Cambria" w:hAnsiTheme="minorHAnsi" w:cstheme="minorHAnsi"/>
          <w:color w:val="000000" w:themeColor="text1"/>
        </w:rPr>
        <w:t>mezinárodní excelence výzkumu</w:t>
      </w:r>
      <w:r w:rsidR="009B66B5">
        <w:rPr>
          <w:rFonts w:asciiTheme="minorHAnsi" w:eastAsia="Cambria" w:hAnsiTheme="minorHAnsi" w:cstheme="minorHAnsi"/>
          <w:color w:val="000000" w:themeColor="text1"/>
        </w:rPr>
        <w:t xml:space="preserve"> a </w:t>
      </w:r>
      <w:r w:rsidR="00301602">
        <w:rPr>
          <w:rFonts w:asciiTheme="minorHAnsi" w:eastAsia="Cambria" w:hAnsiTheme="minorHAnsi" w:cstheme="minorHAnsi"/>
          <w:color w:val="000000" w:themeColor="text1"/>
        </w:rPr>
        <w:t>inovací</w:t>
      </w:r>
      <w:r w:rsidR="009B66B5">
        <w:rPr>
          <w:rFonts w:asciiTheme="minorHAnsi" w:eastAsia="Cambria" w:hAnsiTheme="minorHAnsi" w:cstheme="minorHAnsi"/>
          <w:color w:val="000000" w:themeColor="text1"/>
        </w:rPr>
        <w:t xml:space="preserve"> v </w:t>
      </w:r>
      <w:r w:rsidRPr="00B43E5B">
        <w:rPr>
          <w:rFonts w:asciiTheme="minorHAnsi" w:eastAsia="Cambria" w:hAnsiTheme="minorHAnsi" w:cstheme="minorHAnsi"/>
          <w:color w:val="000000" w:themeColor="text1"/>
        </w:rPr>
        <w:t>ČR, dosažení zvýšení otevřenosti</w:t>
      </w:r>
      <w:r w:rsidR="009B66B5">
        <w:rPr>
          <w:rFonts w:asciiTheme="minorHAnsi" w:eastAsia="Cambria" w:hAnsiTheme="minorHAnsi" w:cstheme="minorHAnsi"/>
          <w:color w:val="000000" w:themeColor="text1"/>
        </w:rPr>
        <w:t xml:space="preserve"> a </w:t>
      </w:r>
      <w:r w:rsidRPr="00B43E5B">
        <w:rPr>
          <w:rFonts w:asciiTheme="minorHAnsi" w:eastAsia="Cambria" w:hAnsiTheme="minorHAnsi" w:cstheme="minorHAnsi"/>
          <w:color w:val="000000" w:themeColor="text1"/>
        </w:rPr>
        <w:t xml:space="preserve">atraktivity ČR pro mezinárodní </w:t>
      </w:r>
      <w:r w:rsidR="008D6CE1">
        <w:rPr>
          <w:rFonts w:asciiTheme="minorHAnsi" w:eastAsia="Cambria" w:hAnsiTheme="minorHAnsi" w:cstheme="minorHAnsi"/>
          <w:color w:val="000000" w:themeColor="text1"/>
        </w:rPr>
        <w:t>VaVaI</w:t>
      </w:r>
      <w:r w:rsidR="009B66B5">
        <w:rPr>
          <w:rFonts w:asciiTheme="minorHAnsi" w:eastAsia="Cambria" w:hAnsiTheme="minorHAnsi" w:cstheme="minorHAnsi"/>
          <w:color w:val="000000" w:themeColor="text1"/>
        </w:rPr>
        <w:t xml:space="preserve"> a </w:t>
      </w:r>
      <w:r w:rsidRPr="00B43E5B">
        <w:rPr>
          <w:rFonts w:asciiTheme="minorHAnsi" w:eastAsia="Cambria" w:hAnsiTheme="minorHAnsi" w:cstheme="minorHAnsi"/>
          <w:color w:val="000000" w:themeColor="text1"/>
        </w:rPr>
        <w:t>zintenzivnění integrace VaVaI</w:t>
      </w:r>
      <w:r w:rsidRPr="00B43E5B">
        <w:rPr>
          <w:rFonts w:asciiTheme="minorHAnsi" w:eastAsia="Segoe UI" w:hAnsiTheme="minorHAnsi" w:cstheme="minorHAnsi"/>
          <w:color w:val="000000" w:themeColor="text1"/>
        </w:rPr>
        <w:t xml:space="preserve"> ČR do Evropského výzkumného prostoru</w:t>
      </w:r>
      <w:r w:rsidR="002725E1">
        <w:rPr>
          <w:rFonts w:asciiTheme="minorHAnsi" w:eastAsia="Cambria" w:hAnsiTheme="minorHAnsi" w:cstheme="minorHAnsi"/>
          <w:color w:val="000000" w:themeColor="text1"/>
        </w:rPr>
        <w:t xml:space="preserve"> je</w:t>
      </w:r>
      <w:r w:rsidRPr="00B43E5B">
        <w:rPr>
          <w:rFonts w:asciiTheme="minorHAnsi" w:eastAsia="Cambria" w:hAnsiTheme="minorHAnsi" w:cstheme="minorHAnsi"/>
          <w:color w:val="000000" w:themeColor="text1"/>
        </w:rPr>
        <w:t xml:space="preserve"> sice součástí Národní politiky </w:t>
      </w:r>
      <w:r w:rsidR="008D6CE1">
        <w:rPr>
          <w:rFonts w:asciiTheme="minorHAnsi" w:eastAsia="Cambria" w:hAnsiTheme="minorHAnsi" w:cstheme="minorHAnsi"/>
          <w:color w:val="000000" w:themeColor="text1"/>
        </w:rPr>
        <w:t>VaVaI</w:t>
      </w:r>
      <w:r w:rsidRPr="00B43E5B">
        <w:rPr>
          <w:rFonts w:asciiTheme="minorHAnsi" w:eastAsia="Cambria" w:hAnsiTheme="minorHAnsi" w:cstheme="minorHAnsi"/>
          <w:color w:val="000000" w:themeColor="text1"/>
        </w:rPr>
        <w:t xml:space="preserve"> </w:t>
      </w:r>
      <w:r w:rsidR="00301602">
        <w:rPr>
          <w:rFonts w:asciiTheme="minorHAnsi" w:eastAsia="Cambria" w:hAnsiTheme="minorHAnsi" w:cstheme="minorHAnsi"/>
          <w:color w:val="000000" w:themeColor="text1"/>
        </w:rPr>
        <w:t>ČR</w:t>
      </w:r>
      <w:r w:rsidRPr="00B43E5B">
        <w:rPr>
          <w:rFonts w:asciiTheme="minorHAnsi" w:eastAsia="Cambria" w:hAnsiTheme="minorHAnsi" w:cstheme="minorHAnsi"/>
          <w:color w:val="000000" w:themeColor="text1"/>
        </w:rPr>
        <w:t xml:space="preserve"> 2021+</w:t>
      </w:r>
      <w:r w:rsidR="003C7822">
        <w:rPr>
          <w:rFonts w:asciiTheme="minorHAnsi" w:eastAsia="Cambria" w:hAnsiTheme="minorHAnsi" w:cstheme="minorHAnsi"/>
          <w:color w:val="000000" w:themeColor="text1"/>
        </w:rPr>
        <w:t xml:space="preserve"> </w:t>
      </w:r>
      <w:r w:rsidRPr="00B43E5B">
        <w:rPr>
          <w:rFonts w:asciiTheme="minorHAnsi" w:eastAsia="Cambria" w:hAnsiTheme="minorHAnsi" w:cstheme="minorHAnsi"/>
          <w:color w:val="000000" w:themeColor="text1"/>
        </w:rPr>
        <w:t>[</w:t>
      </w:r>
      <w:r w:rsidR="00317719">
        <w:rPr>
          <w:rFonts w:asciiTheme="minorHAnsi" w:eastAsia="Cambria" w:hAnsiTheme="minorHAnsi" w:cstheme="minorHAnsi"/>
          <w:color w:val="000000" w:themeColor="text1"/>
        </w:rPr>
        <w:t>7</w:t>
      </w:r>
      <w:r w:rsidRPr="00B43E5B">
        <w:rPr>
          <w:rFonts w:asciiTheme="minorHAnsi" w:eastAsia="Cambria" w:hAnsiTheme="minorHAnsi" w:cstheme="minorHAnsi"/>
          <w:color w:val="000000" w:themeColor="text1"/>
        </w:rPr>
        <w:t xml:space="preserve">], ale implementace jeho obsahu do praxe postupuje jen velmi obtížně </w:t>
      </w:r>
      <w:r w:rsidR="00C53505">
        <w:rPr>
          <w:rFonts w:asciiTheme="minorHAnsi" w:eastAsia="Cambria" w:hAnsiTheme="minorHAnsi" w:cstheme="minorHAnsi"/>
          <w:color w:val="000000" w:themeColor="text1"/>
        </w:rPr>
        <w:t>(b</w:t>
      </w:r>
      <w:r w:rsidR="00095149">
        <w:rPr>
          <w:rFonts w:asciiTheme="minorHAnsi" w:eastAsia="Cambria" w:hAnsiTheme="minorHAnsi" w:cstheme="minorHAnsi"/>
          <w:color w:val="000000" w:themeColor="text1"/>
        </w:rPr>
        <w:t>líže je z</w:t>
      </w:r>
      <w:r w:rsidR="0061398E">
        <w:rPr>
          <w:rFonts w:asciiTheme="minorHAnsi" w:eastAsia="Cambria" w:hAnsiTheme="minorHAnsi" w:cstheme="minorHAnsi"/>
          <w:color w:val="000000" w:themeColor="text1"/>
        </w:rPr>
        <w:t>ohlednění</w:t>
      </w:r>
      <w:r w:rsidR="00095149">
        <w:rPr>
          <w:rFonts w:asciiTheme="minorHAnsi" w:eastAsia="Cambria" w:hAnsiTheme="minorHAnsi" w:cstheme="minorHAnsi"/>
          <w:color w:val="000000" w:themeColor="text1"/>
        </w:rPr>
        <w:t xml:space="preserve"> mezinárodní</w:t>
      </w:r>
      <w:r w:rsidR="0061398E">
        <w:rPr>
          <w:rFonts w:asciiTheme="minorHAnsi" w:eastAsia="Cambria" w:hAnsiTheme="minorHAnsi" w:cstheme="minorHAnsi"/>
          <w:color w:val="000000" w:themeColor="text1"/>
        </w:rPr>
        <w:t xml:space="preserve"> </w:t>
      </w:r>
      <w:r w:rsidR="0061398E">
        <w:rPr>
          <w:rFonts w:asciiTheme="minorHAnsi" w:eastAsia="Cambria" w:hAnsiTheme="minorHAnsi" w:cstheme="minorHAnsi"/>
          <w:color w:val="000000" w:themeColor="text1"/>
        </w:rPr>
        <w:lastRenderedPageBreak/>
        <w:t>spolupráce</w:t>
      </w:r>
      <w:r w:rsidR="009B66B5">
        <w:rPr>
          <w:rFonts w:asciiTheme="minorHAnsi" w:eastAsia="Cambria" w:hAnsiTheme="minorHAnsi" w:cstheme="minorHAnsi"/>
          <w:color w:val="000000" w:themeColor="text1"/>
        </w:rPr>
        <w:t xml:space="preserve"> v </w:t>
      </w:r>
      <w:r w:rsidR="00095149">
        <w:rPr>
          <w:rFonts w:asciiTheme="minorHAnsi" w:eastAsia="Cambria" w:hAnsiTheme="minorHAnsi" w:cstheme="minorHAnsi"/>
          <w:color w:val="000000" w:themeColor="text1"/>
        </w:rPr>
        <w:t xml:space="preserve">hodnocení </w:t>
      </w:r>
      <w:r w:rsidR="008D6CE1">
        <w:rPr>
          <w:rFonts w:asciiTheme="minorHAnsi" w:eastAsia="Cambria" w:hAnsiTheme="minorHAnsi" w:cstheme="minorHAnsi"/>
          <w:color w:val="000000" w:themeColor="text1"/>
        </w:rPr>
        <w:t xml:space="preserve">výzkumných organizací pro potřeby jejich institucionálního financování </w:t>
      </w:r>
      <w:r w:rsidR="00095149">
        <w:rPr>
          <w:rFonts w:asciiTheme="minorHAnsi" w:eastAsia="Cambria" w:hAnsiTheme="minorHAnsi" w:cstheme="minorHAnsi"/>
          <w:color w:val="000000" w:themeColor="text1"/>
        </w:rPr>
        <w:t>popsáno</w:t>
      </w:r>
      <w:r w:rsidR="009B66B5">
        <w:rPr>
          <w:rFonts w:asciiTheme="minorHAnsi" w:eastAsia="Cambria" w:hAnsiTheme="minorHAnsi" w:cstheme="minorHAnsi"/>
          <w:color w:val="000000" w:themeColor="text1"/>
        </w:rPr>
        <w:t xml:space="preserve"> v </w:t>
      </w:r>
      <w:r w:rsidR="00095149">
        <w:rPr>
          <w:rFonts w:asciiTheme="minorHAnsi" w:eastAsia="Cambria" w:hAnsiTheme="minorHAnsi" w:cstheme="minorHAnsi"/>
          <w:color w:val="000000" w:themeColor="text1"/>
        </w:rPr>
        <w:t xml:space="preserve">kap. </w:t>
      </w:r>
      <w:r w:rsidR="0061398E">
        <w:rPr>
          <w:rFonts w:asciiTheme="minorHAnsi" w:eastAsia="Cambria" w:hAnsiTheme="minorHAnsi" w:cstheme="minorHAnsi"/>
          <w:color w:val="000000" w:themeColor="text1"/>
        </w:rPr>
        <w:fldChar w:fldCharType="begin"/>
      </w:r>
      <w:r w:rsidR="0061398E">
        <w:rPr>
          <w:rFonts w:asciiTheme="minorHAnsi" w:eastAsia="Cambria" w:hAnsiTheme="minorHAnsi" w:cstheme="minorHAnsi"/>
          <w:color w:val="000000" w:themeColor="text1"/>
        </w:rPr>
        <w:instrText xml:space="preserve"> REF _Ref112501139 \r \h </w:instrText>
      </w:r>
      <w:r w:rsidR="0061398E">
        <w:rPr>
          <w:rFonts w:asciiTheme="minorHAnsi" w:eastAsia="Cambria" w:hAnsiTheme="minorHAnsi" w:cstheme="minorHAnsi"/>
          <w:color w:val="000000" w:themeColor="text1"/>
        </w:rPr>
      </w:r>
      <w:r w:rsidR="0061398E">
        <w:rPr>
          <w:rFonts w:asciiTheme="minorHAnsi" w:eastAsia="Cambria" w:hAnsiTheme="minorHAnsi" w:cstheme="minorHAnsi"/>
          <w:color w:val="000000" w:themeColor="text1"/>
        </w:rPr>
        <w:fldChar w:fldCharType="separate"/>
      </w:r>
      <w:r w:rsidR="00833870">
        <w:rPr>
          <w:rFonts w:asciiTheme="minorHAnsi" w:eastAsia="Cambria" w:hAnsiTheme="minorHAnsi" w:cstheme="minorHAnsi"/>
          <w:color w:val="000000" w:themeColor="text1"/>
        </w:rPr>
        <w:t>3.1.1</w:t>
      </w:r>
      <w:r w:rsidR="0061398E">
        <w:rPr>
          <w:rFonts w:asciiTheme="minorHAnsi" w:eastAsia="Cambria" w:hAnsiTheme="minorHAnsi" w:cstheme="minorHAnsi"/>
          <w:color w:val="000000" w:themeColor="text1"/>
        </w:rPr>
        <w:fldChar w:fldCharType="end"/>
      </w:r>
      <w:r w:rsidR="00095149">
        <w:rPr>
          <w:rFonts w:asciiTheme="minorHAnsi" w:eastAsia="Cambria" w:hAnsiTheme="minorHAnsi" w:cstheme="minorHAnsi"/>
          <w:color w:val="000000" w:themeColor="text1"/>
        </w:rPr>
        <w:t>).</w:t>
      </w:r>
    </w:p>
    <w:p w14:paraId="02A68BBC" w14:textId="77777777" w:rsidR="00F9717D" w:rsidRPr="00B43E5B" w:rsidRDefault="5592521F" w:rsidP="5592521F">
      <w:pPr>
        <w:spacing w:after="160" w:line="259" w:lineRule="auto"/>
        <w:rPr>
          <w:rFonts w:asciiTheme="minorHAnsi" w:eastAsia="Cambria" w:hAnsiTheme="minorHAnsi" w:cstheme="minorHAnsi"/>
          <w:color w:val="000000" w:themeColor="text1"/>
        </w:rPr>
      </w:pPr>
      <w:r w:rsidRPr="00B43E5B">
        <w:rPr>
          <w:rFonts w:asciiTheme="minorHAnsi" w:eastAsia="Cambria" w:hAnsiTheme="minorHAnsi" w:cstheme="minorHAnsi"/>
          <w:color w:val="000000" w:themeColor="text1"/>
        </w:rPr>
        <w:t xml:space="preserve">České investice do </w:t>
      </w:r>
      <w:r w:rsidR="008D6CE1">
        <w:rPr>
          <w:rFonts w:asciiTheme="minorHAnsi" w:eastAsia="Cambria" w:hAnsiTheme="minorHAnsi" w:cstheme="minorHAnsi"/>
          <w:color w:val="000000" w:themeColor="text1"/>
        </w:rPr>
        <w:t>VaVaI</w:t>
      </w:r>
      <w:r w:rsidRPr="00B43E5B">
        <w:rPr>
          <w:rFonts w:asciiTheme="minorHAnsi" w:eastAsia="Cambria" w:hAnsiTheme="minorHAnsi" w:cstheme="minorHAnsi"/>
          <w:color w:val="000000" w:themeColor="text1"/>
        </w:rPr>
        <w:t xml:space="preserve"> se pohybují kolem hranic</w:t>
      </w:r>
      <w:r w:rsidR="0061398E">
        <w:rPr>
          <w:rFonts w:asciiTheme="minorHAnsi" w:eastAsia="Cambria" w:hAnsiTheme="minorHAnsi" w:cstheme="minorHAnsi"/>
          <w:color w:val="000000" w:themeColor="text1"/>
        </w:rPr>
        <w:t>e</w:t>
      </w:r>
      <w:r w:rsidRPr="00B43E5B">
        <w:rPr>
          <w:rFonts w:asciiTheme="minorHAnsi" w:eastAsia="Cambria" w:hAnsiTheme="minorHAnsi" w:cstheme="minorHAnsi"/>
          <w:color w:val="000000" w:themeColor="text1"/>
        </w:rPr>
        <w:t xml:space="preserve"> 2 % HDP, což je</w:t>
      </w:r>
      <w:r w:rsidR="009B66B5">
        <w:rPr>
          <w:rFonts w:asciiTheme="minorHAnsi" w:eastAsia="Cambria" w:hAnsiTheme="minorHAnsi" w:cstheme="minorHAnsi"/>
          <w:color w:val="000000" w:themeColor="text1"/>
        </w:rPr>
        <w:t xml:space="preserve"> v </w:t>
      </w:r>
      <w:r w:rsidRPr="00B43E5B">
        <w:rPr>
          <w:rFonts w:asciiTheme="minorHAnsi" w:eastAsia="Cambria" w:hAnsiTheme="minorHAnsi" w:cstheme="minorHAnsi"/>
          <w:color w:val="000000" w:themeColor="text1"/>
        </w:rPr>
        <w:t>porovnání</w:t>
      </w:r>
      <w:r w:rsidR="009B66B5">
        <w:rPr>
          <w:rFonts w:asciiTheme="minorHAnsi" w:eastAsia="Cambria" w:hAnsiTheme="minorHAnsi" w:cstheme="minorHAnsi"/>
          <w:color w:val="000000" w:themeColor="text1"/>
        </w:rPr>
        <w:t xml:space="preserve"> s </w:t>
      </w:r>
      <w:r w:rsidRPr="00B43E5B">
        <w:rPr>
          <w:rFonts w:asciiTheme="minorHAnsi" w:eastAsia="Cambria" w:hAnsiTheme="minorHAnsi" w:cstheme="minorHAnsi"/>
          <w:color w:val="000000" w:themeColor="text1"/>
        </w:rPr>
        <w:t>os</w:t>
      </w:r>
      <w:r w:rsidR="00970811">
        <w:rPr>
          <w:rFonts w:asciiTheme="minorHAnsi" w:eastAsia="Cambria" w:hAnsiTheme="minorHAnsi" w:cstheme="minorHAnsi"/>
          <w:color w:val="000000" w:themeColor="text1"/>
        </w:rPr>
        <w:t xml:space="preserve">tatními </w:t>
      </w:r>
      <w:r w:rsidR="008D6CE1">
        <w:rPr>
          <w:rFonts w:asciiTheme="minorHAnsi" w:eastAsia="Cambria" w:hAnsiTheme="minorHAnsi" w:cstheme="minorHAnsi"/>
          <w:color w:val="000000" w:themeColor="text1"/>
        </w:rPr>
        <w:t xml:space="preserve">tzv. </w:t>
      </w:r>
      <w:r w:rsidR="00970811">
        <w:rPr>
          <w:rFonts w:asciiTheme="minorHAnsi" w:eastAsia="Cambria" w:hAnsiTheme="minorHAnsi" w:cstheme="minorHAnsi"/>
          <w:color w:val="000000" w:themeColor="text1"/>
        </w:rPr>
        <w:t>novými členskými státy</w:t>
      </w:r>
      <w:r w:rsidRPr="00B43E5B">
        <w:rPr>
          <w:rFonts w:asciiTheme="minorHAnsi" w:eastAsia="Cambria" w:hAnsiTheme="minorHAnsi" w:cstheme="minorHAnsi"/>
          <w:color w:val="000000" w:themeColor="text1"/>
        </w:rPr>
        <w:t xml:space="preserve"> </w:t>
      </w:r>
      <w:r w:rsidR="008D6CE1">
        <w:rPr>
          <w:rFonts w:asciiTheme="minorHAnsi" w:eastAsia="Cambria" w:hAnsiTheme="minorHAnsi" w:cstheme="minorHAnsi"/>
          <w:color w:val="000000" w:themeColor="text1"/>
        </w:rPr>
        <w:t>EU</w:t>
      </w:r>
      <w:r w:rsidR="007E2323">
        <w:rPr>
          <w:rFonts w:asciiTheme="minorHAnsi" w:eastAsia="Cambria" w:hAnsiTheme="minorHAnsi" w:cstheme="minorHAnsi"/>
          <w:color w:val="000000" w:themeColor="text1"/>
        </w:rPr>
        <w:t xml:space="preserve"> </w:t>
      </w:r>
      <w:r w:rsidRPr="00B43E5B">
        <w:rPr>
          <w:rFonts w:asciiTheme="minorHAnsi" w:eastAsia="Cambria" w:hAnsiTheme="minorHAnsi" w:cstheme="minorHAnsi"/>
          <w:color w:val="000000" w:themeColor="text1"/>
        </w:rPr>
        <w:t>mimořádné (větší podíl HDP investují jen Slovinsko</w:t>
      </w:r>
      <w:r w:rsidR="009B66B5">
        <w:rPr>
          <w:rFonts w:asciiTheme="minorHAnsi" w:eastAsia="Cambria" w:hAnsiTheme="minorHAnsi" w:cstheme="minorHAnsi"/>
          <w:color w:val="000000" w:themeColor="text1"/>
        </w:rPr>
        <w:t xml:space="preserve"> a </w:t>
      </w:r>
      <w:r w:rsidRPr="00B43E5B">
        <w:rPr>
          <w:rFonts w:asciiTheme="minorHAnsi" w:eastAsia="Cambria" w:hAnsiTheme="minorHAnsi" w:cstheme="minorHAnsi"/>
          <w:color w:val="000000" w:themeColor="text1"/>
        </w:rPr>
        <w:t>Estonsko). A</w:t>
      </w:r>
      <w:r w:rsidR="008D6CE1">
        <w:rPr>
          <w:rFonts w:asciiTheme="minorHAnsi" w:eastAsia="Cambria" w:hAnsiTheme="minorHAnsi" w:cstheme="minorHAnsi"/>
          <w:color w:val="000000" w:themeColor="text1"/>
        </w:rPr>
        <w:t>však</w:t>
      </w:r>
      <w:r w:rsidRPr="00B43E5B">
        <w:rPr>
          <w:rFonts w:asciiTheme="minorHAnsi" w:eastAsia="Cambria" w:hAnsiTheme="minorHAnsi" w:cstheme="minorHAnsi"/>
          <w:color w:val="000000" w:themeColor="text1"/>
        </w:rPr>
        <w:t xml:space="preserve"> rostoucí národní investice nevedou</w:t>
      </w:r>
      <w:r w:rsidR="009B66B5">
        <w:rPr>
          <w:rFonts w:asciiTheme="minorHAnsi" w:eastAsia="Cambria" w:hAnsiTheme="minorHAnsi" w:cstheme="minorHAnsi"/>
          <w:color w:val="000000" w:themeColor="text1"/>
        </w:rPr>
        <w:t xml:space="preserve"> k </w:t>
      </w:r>
      <w:r w:rsidRPr="00B43E5B">
        <w:rPr>
          <w:rFonts w:asciiTheme="minorHAnsi" w:eastAsia="Cambria" w:hAnsiTheme="minorHAnsi" w:cstheme="minorHAnsi"/>
          <w:color w:val="000000" w:themeColor="text1"/>
        </w:rPr>
        <w:t>rostoucí účasti</w:t>
      </w:r>
      <w:r w:rsidR="009B66B5">
        <w:rPr>
          <w:rFonts w:asciiTheme="minorHAnsi" w:eastAsia="Cambria" w:hAnsiTheme="minorHAnsi" w:cstheme="minorHAnsi"/>
          <w:color w:val="000000" w:themeColor="text1"/>
        </w:rPr>
        <w:t xml:space="preserve"> v </w:t>
      </w:r>
      <w:r w:rsidR="008D6CE1">
        <w:rPr>
          <w:rFonts w:asciiTheme="minorHAnsi" w:eastAsia="Cambria" w:hAnsiTheme="minorHAnsi" w:cstheme="minorHAnsi"/>
          <w:color w:val="000000" w:themeColor="text1"/>
        </w:rPr>
        <w:t>RP</w:t>
      </w:r>
      <w:r w:rsidRPr="00B43E5B">
        <w:rPr>
          <w:rFonts w:asciiTheme="minorHAnsi" w:eastAsia="Cambria" w:hAnsiTheme="minorHAnsi" w:cstheme="minorHAnsi"/>
          <w:color w:val="000000" w:themeColor="text1"/>
        </w:rPr>
        <w:t xml:space="preserve">. </w:t>
      </w:r>
      <w:r w:rsidR="008D6CE1">
        <w:rPr>
          <w:rFonts w:asciiTheme="minorHAnsi" w:eastAsia="Cambria" w:hAnsiTheme="minorHAnsi" w:cstheme="minorHAnsi"/>
          <w:color w:val="000000" w:themeColor="text1"/>
        </w:rPr>
        <w:t>ČR se s</w:t>
      </w:r>
      <w:r w:rsidRPr="00B43E5B">
        <w:rPr>
          <w:rFonts w:asciiTheme="minorHAnsi" w:eastAsia="Cambria" w:hAnsiTheme="minorHAnsi" w:cstheme="minorHAnsi"/>
          <w:color w:val="000000" w:themeColor="text1"/>
        </w:rPr>
        <w:t>tále řadí mezi země, které mají nejvyšší národní výdaje na jedno euro získané</w:t>
      </w:r>
      <w:r w:rsidR="009B66B5">
        <w:rPr>
          <w:rFonts w:asciiTheme="minorHAnsi" w:eastAsia="Cambria" w:hAnsiTheme="minorHAnsi" w:cstheme="minorHAnsi"/>
          <w:color w:val="000000" w:themeColor="text1"/>
        </w:rPr>
        <w:t xml:space="preserve"> z </w:t>
      </w:r>
      <w:r w:rsidRPr="00B43E5B">
        <w:rPr>
          <w:rFonts w:asciiTheme="minorHAnsi" w:eastAsia="Cambria" w:hAnsiTheme="minorHAnsi" w:cstheme="minorHAnsi"/>
          <w:color w:val="000000" w:themeColor="text1"/>
        </w:rPr>
        <w:t xml:space="preserve">rozpočtu </w:t>
      </w:r>
      <w:r w:rsidR="008D6CE1">
        <w:rPr>
          <w:rFonts w:asciiTheme="minorHAnsi" w:eastAsia="Cambria" w:hAnsiTheme="minorHAnsi" w:cstheme="minorHAnsi"/>
          <w:color w:val="000000" w:themeColor="text1"/>
        </w:rPr>
        <w:t>RP</w:t>
      </w:r>
      <w:r w:rsidRPr="00B43E5B">
        <w:rPr>
          <w:rFonts w:asciiTheme="minorHAnsi" w:eastAsia="Cambria" w:hAnsiTheme="minorHAnsi" w:cstheme="minorHAnsi"/>
          <w:color w:val="000000" w:themeColor="text1"/>
        </w:rPr>
        <w:t>. Tato fakta potvrzují</w:t>
      </w:r>
      <w:r w:rsidR="009B66B5">
        <w:rPr>
          <w:rFonts w:asciiTheme="minorHAnsi" w:eastAsia="Cambria" w:hAnsiTheme="minorHAnsi" w:cstheme="minorHAnsi"/>
          <w:color w:val="000000" w:themeColor="text1"/>
        </w:rPr>
        <w:t xml:space="preserve"> i </w:t>
      </w:r>
      <w:r w:rsidRPr="00B43E5B">
        <w:rPr>
          <w:rFonts w:asciiTheme="minorHAnsi" w:eastAsia="Cambria" w:hAnsiTheme="minorHAnsi" w:cstheme="minorHAnsi"/>
          <w:color w:val="000000" w:themeColor="text1"/>
        </w:rPr>
        <w:t xml:space="preserve">studie zahraničních autorů [2, </w:t>
      </w:r>
      <w:r w:rsidR="00317719">
        <w:rPr>
          <w:rFonts w:asciiTheme="minorHAnsi" w:eastAsia="Cambria" w:hAnsiTheme="minorHAnsi" w:cstheme="minorHAnsi"/>
          <w:color w:val="000000" w:themeColor="text1"/>
        </w:rPr>
        <w:t>8</w:t>
      </w:r>
      <w:r w:rsidRPr="00B43E5B">
        <w:rPr>
          <w:rFonts w:asciiTheme="minorHAnsi" w:eastAsia="Cambria" w:hAnsiTheme="minorHAnsi" w:cstheme="minorHAnsi"/>
          <w:color w:val="000000" w:themeColor="text1"/>
        </w:rPr>
        <w:t>]. Jakkoli</w:t>
      </w:r>
      <w:r w:rsidR="008D6CE1">
        <w:rPr>
          <w:rFonts w:asciiTheme="minorHAnsi" w:eastAsia="Cambria" w:hAnsiTheme="minorHAnsi" w:cstheme="minorHAnsi"/>
          <w:color w:val="000000" w:themeColor="text1"/>
        </w:rPr>
        <w:t>v</w:t>
      </w:r>
      <w:r w:rsidRPr="00B43E5B">
        <w:rPr>
          <w:rFonts w:asciiTheme="minorHAnsi" w:eastAsia="Cambria" w:hAnsiTheme="minorHAnsi" w:cstheme="minorHAnsi"/>
          <w:color w:val="000000" w:themeColor="text1"/>
        </w:rPr>
        <w:t xml:space="preserve"> není </w:t>
      </w:r>
      <w:r w:rsidRPr="00B43E5B">
        <w:rPr>
          <w:rFonts w:asciiTheme="minorHAnsi" w:eastAsia="Segoe UI" w:hAnsiTheme="minorHAnsi" w:cstheme="minorHAnsi"/>
          <w:color w:val="000000" w:themeColor="text1"/>
        </w:rPr>
        <w:t>účelem účasti</w:t>
      </w:r>
      <w:r w:rsidR="009B66B5">
        <w:rPr>
          <w:rFonts w:asciiTheme="minorHAnsi" w:eastAsia="Segoe UI" w:hAnsiTheme="minorHAnsi" w:cstheme="minorHAnsi"/>
          <w:color w:val="000000" w:themeColor="text1"/>
        </w:rPr>
        <w:t xml:space="preserve"> v </w:t>
      </w:r>
      <w:r w:rsidRPr="00B43E5B">
        <w:rPr>
          <w:rFonts w:asciiTheme="minorHAnsi" w:eastAsia="Segoe UI" w:hAnsiTheme="minorHAnsi" w:cstheme="minorHAnsi"/>
          <w:color w:val="000000" w:themeColor="text1"/>
        </w:rPr>
        <w:t xml:space="preserve">RP </w:t>
      </w:r>
      <w:r w:rsidRPr="00B43E5B">
        <w:rPr>
          <w:rFonts w:asciiTheme="minorHAnsi" w:eastAsia="Cambria" w:hAnsiTheme="minorHAnsi" w:cstheme="minorHAnsi"/>
          <w:color w:val="000000" w:themeColor="text1"/>
        </w:rPr>
        <w:t>pouze zisk finančních prostředků sám</w:t>
      </w:r>
      <w:r w:rsidR="009B66B5">
        <w:rPr>
          <w:rFonts w:asciiTheme="minorHAnsi" w:eastAsia="Cambria" w:hAnsiTheme="minorHAnsi" w:cstheme="minorHAnsi"/>
          <w:color w:val="000000" w:themeColor="text1"/>
        </w:rPr>
        <w:t xml:space="preserve"> o </w:t>
      </w:r>
      <w:r w:rsidRPr="00B43E5B">
        <w:rPr>
          <w:rFonts w:asciiTheme="minorHAnsi" w:eastAsia="Cambria" w:hAnsiTheme="minorHAnsi" w:cstheme="minorHAnsi"/>
          <w:color w:val="000000" w:themeColor="text1"/>
        </w:rPr>
        <w:t>sobě či sanování rozpočtových nedostatků</w:t>
      </w:r>
      <w:r w:rsidR="009B66B5">
        <w:rPr>
          <w:rFonts w:asciiTheme="minorHAnsi" w:eastAsia="Cambria" w:hAnsiTheme="minorHAnsi" w:cstheme="minorHAnsi"/>
          <w:color w:val="000000" w:themeColor="text1"/>
        </w:rPr>
        <w:t xml:space="preserve"> v </w:t>
      </w:r>
      <w:r w:rsidRPr="00B43E5B">
        <w:rPr>
          <w:rFonts w:asciiTheme="minorHAnsi" w:eastAsia="Cambria" w:hAnsiTheme="minorHAnsi" w:cstheme="minorHAnsi"/>
          <w:color w:val="000000" w:themeColor="text1"/>
        </w:rPr>
        <w:t>regionální, výzkumné</w:t>
      </w:r>
      <w:r w:rsidR="009B66B5">
        <w:rPr>
          <w:rFonts w:asciiTheme="minorHAnsi" w:eastAsia="Cambria" w:hAnsiTheme="minorHAnsi" w:cstheme="minorHAnsi"/>
          <w:color w:val="000000" w:themeColor="text1"/>
        </w:rPr>
        <w:t xml:space="preserve"> a </w:t>
      </w:r>
      <w:r w:rsidRPr="00B43E5B">
        <w:rPr>
          <w:rFonts w:asciiTheme="minorHAnsi" w:eastAsia="Cambria" w:hAnsiTheme="minorHAnsi" w:cstheme="minorHAnsi"/>
          <w:color w:val="000000" w:themeColor="text1"/>
        </w:rPr>
        <w:t xml:space="preserve">inovační politice ČR, nelze opomíjet ani finanční přínos RP. </w:t>
      </w:r>
    </w:p>
    <w:p w14:paraId="4A4B55C8" w14:textId="77777777" w:rsidR="00F9717D" w:rsidRPr="00B43E5B" w:rsidRDefault="5592521F" w:rsidP="5592521F">
      <w:pPr>
        <w:spacing w:after="160" w:line="259" w:lineRule="auto"/>
        <w:rPr>
          <w:rFonts w:asciiTheme="minorHAnsi" w:eastAsia="Cambria" w:hAnsiTheme="minorHAnsi" w:cstheme="minorHAnsi"/>
          <w:color w:val="000000" w:themeColor="text1"/>
        </w:rPr>
      </w:pPr>
      <w:r w:rsidRPr="00B43E5B">
        <w:rPr>
          <w:rFonts w:asciiTheme="minorHAnsi" w:eastAsia="Cambria" w:hAnsiTheme="minorHAnsi" w:cstheme="minorHAnsi"/>
          <w:color w:val="000000" w:themeColor="text1"/>
        </w:rPr>
        <w:t>O</w:t>
      </w:r>
      <w:r w:rsidRPr="00B43E5B">
        <w:rPr>
          <w:rFonts w:asciiTheme="minorHAnsi" w:eastAsia="Segoe UI" w:hAnsiTheme="minorHAnsi" w:cstheme="minorHAnsi"/>
          <w:color w:val="000000" w:themeColor="text1"/>
        </w:rPr>
        <w:t xml:space="preserve"> úspěchu ČR nelze hovořit </w:t>
      </w:r>
      <w:r w:rsidR="008D6CE1">
        <w:rPr>
          <w:rFonts w:asciiTheme="minorHAnsi" w:eastAsia="Segoe UI" w:hAnsiTheme="minorHAnsi" w:cstheme="minorHAnsi"/>
          <w:color w:val="000000" w:themeColor="text1"/>
        </w:rPr>
        <w:t>ani</w:t>
      </w:r>
      <w:r w:rsidR="009B66B5">
        <w:rPr>
          <w:rFonts w:asciiTheme="minorHAnsi" w:eastAsia="Segoe UI" w:hAnsiTheme="minorHAnsi" w:cstheme="minorHAnsi"/>
          <w:color w:val="000000" w:themeColor="text1"/>
        </w:rPr>
        <w:t xml:space="preserve"> v </w:t>
      </w:r>
      <w:r w:rsidRPr="00B43E5B">
        <w:rPr>
          <w:rFonts w:asciiTheme="minorHAnsi" w:eastAsia="Segoe UI" w:hAnsiTheme="minorHAnsi" w:cstheme="minorHAnsi"/>
          <w:color w:val="000000" w:themeColor="text1"/>
        </w:rPr>
        <w:t xml:space="preserve">případě účasti </w:t>
      </w:r>
      <w:r w:rsidR="0061398E">
        <w:rPr>
          <w:rFonts w:asciiTheme="minorHAnsi" w:eastAsia="Segoe UI" w:hAnsiTheme="minorHAnsi" w:cstheme="minorHAnsi"/>
          <w:color w:val="000000" w:themeColor="text1"/>
        </w:rPr>
        <w:t>malých</w:t>
      </w:r>
      <w:r w:rsidR="009B66B5">
        <w:rPr>
          <w:rFonts w:asciiTheme="minorHAnsi" w:eastAsia="Segoe UI" w:hAnsiTheme="minorHAnsi" w:cstheme="minorHAnsi"/>
          <w:color w:val="000000" w:themeColor="text1"/>
        </w:rPr>
        <w:t xml:space="preserve"> a </w:t>
      </w:r>
      <w:r w:rsidR="0061398E">
        <w:rPr>
          <w:rFonts w:asciiTheme="minorHAnsi" w:eastAsia="Segoe UI" w:hAnsiTheme="minorHAnsi" w:cstheme="minorHAnsi"/>
          <w:color w:val="000000" w:themeColor="text1"/>
        </w:rPr>
        <w:t>středních podniků (</w:t>
      </w:r>
      <w:r w:rsidR="008D6CE1">
        <w:rPr>
          <w:rFonts w:asciiTheme="minorHAnsi" w:eastAsia="Segoe UI" w:hAnsiTheme="minorHAnsi" w:cstheme="minorHAnsi"/>
          <w:color w:val="000000" w:themeColor="text1"/>
        </w:rPr>
        <w:t>dále jen „</w:t>
      </w:r>
      <w:r w:rsidRPr="00B43E5B">
        <w:rPr>
          <w:rFonts w:asciiTheme="minorHAnsi" w:eastAsia="Segoe UI" w:hAnsiTheme="minorHAnsi" w:cstheme="minorHAnsi"/>
          <w:color w:val="000000" w:themeColor="text1"/>
        </w:rPr>
        <w:t>MSP</w:t>
      </w:r>
      <w:r w:rsidR="008D6CE1">
        <w:rPr>
          <w:rFonts w:asciiTheme="minorHAnsi" w:eastAsia="Segoe UI" w:hAnsiTheme="minorHAnsi" w:cstheme="minorHAnsi"/>
          <w:color w:val="000000" w:themeColor="text1"/>
        </w:rPr>
        <w:t>“</w:t>
      </w:r>
      <w:r w:rsidR="0061398E">
        <w:rPr>
          <w:rFonts w:asciiTheme="minorHAnsi" w:eastAsia="Segoe UI" w:hAnsiTheme="minorHAnsi" w:cstheme="minorHAnsi"/>
          <w:color w:val="000000" w:themeColor="text1"/>
        </w:rPr>
        <w:t>)</w:t>
      </w:r>
      <w:r w:rsidR="009B66B5">
        <w:rPr>
          <w:rFonts w:asciiTheme="minorHAnsi" w:eastAsia="Segoe UI" w:hAnsiTheme="minorHAnsi" w:cstheme="minorHAnsi"/>
          <w:color w:val="000000" w:themeColor="text1"/>
        </w:rPr>
        <w:t xml:space="preserve"> v </w:t>
      </w:r>
      <w:r w:rsidRPr="00B43E5B">
        <w:rPr>
          <w:rFonts w:asciiTheme="minorHAnsi" w:eastAsia="Cambria" w:hAnsiTheme="minorHAnsi" w:cstheme="minorHAnsi"/>
          <w:color w:val="000000" w:themeColor="text1"/>
        </w:rPr>
        <w:t>nástroj</w:t>
      </w:r>
      <w:r w:rsidRPr="00B43E5B">
        <w:rPr>
          <w:rFonts w:asciiTheme="minorHAnsi" w:eastAsia="Segoe UI" w:hAnsiTheme="minorHAnsi" w:cstheme="minorHAnsi"/>
          <w:color w:val="000000" w:themeColor="text1"/>
        </w:rPr>
        <w:t>ích</w:t>
      </w:r>
      <w:r w:rsidRPr="00B43E5B">
        <w:rPr>
          <w:rFonts w:asciiTheme="minorHAnsi" w:eastAsia="Cambria" w:hAnsiTheme="minorHAnsi" w:cstheme="minorHAnsi"/>
          <w:color w:val="000000" w:themeColor="text1"/>
        </w:rPr>
        <w:t xml:space="preserve"> RP podporuj</w:t>
      </w:r>
      <w:r w:rsidRPr="00B43E5B">
        <w:rPr>
          <w:rFonts w:asciiTheme="minorHAnsi" w:eastAsia="Segoe UI" w:hAnsiTheme="minorHAnsi" w:cstheme="minorHAnsi"/>
          <w:color w:val="000000" w:themeColor="text1"/>
        </w:rPr>
        <w:t>í</w:t>
      </w:r>
      <w:r w:rsidR="002750FC">
        <w:rPr>
          <w:rFonts w:asciiTheme="minorHAnsi" w:eastAsia="Segoe UI" w:hAnsiTheme="minorHAnsi" w:cstheme="minorHAnsi"/>
          <w:color w:val="000000" w:themeColor="text1"/>
        </w:rPr>
        <w:t>cích</w:t>
      </w:r>
      <w:r w:rsidRPr="00B43E5B">
        <w:rPr>
          <w:rFonts w:asciiTheme="minorHAnsi" w:eastAsia="Cambria" w:hAnsiTheme="minorHAnsi" w:cstheme="minorHAnsi"/>
          <w:color w:val="000000" w:themeColor="text1"/>
        </w:rPr>
        <w:t xml:space="preserve"> </w:t>
      </w:r>
      <w:r w:rsidR="0061398E">
        <w:rPr>
          <w:rFonts w:asciiTheme="minorHAnsi" w:eastAsia="Cambria" w:hAnsiTheme="minorHAnsi" w:cstheme="minorHAnsi"/>
          <w:color w:val="000000" w:themeColor="text1"/>
        </w:rPr>
        <w:t>MSP</w:t>
      </w:r>
      <w:r w:rsidRPr="00B43E5B">
        <w:rPr>
          <w:rFonts w:asciiTheme="minorHAnsi" w:eastAsia="Cambria" w:hAnsiTheme="minorHAnsi" w:cstheme="minorHAnsi"/>
          <w:color w:val="000000" w:themeColor="text1"/>
        </w:rPr>
        <w:t>, které vyvíjejí in</w:t>
      </w:r>
      <w:r w:rsidR="0089568C">
        <w:rPr>
          <w:rFonts w:asciiTheme="minorHAnsi" w:eastAsia="Cambria" w:hAnsiTheme="minorHAnsi" w:cstheme="minorHAnsi"/>
          <w:color w:val="000000" w:themeColor="text1"/>
        </w:rPr>
        <w:t>ovativní produkty</w:t>
      </w:r>
      <w:r w:rsidR="009B66B5">
        <w:rPr>
          <w:rFonts w:asciiTheme="minorHAnsi" w:eastAsia="Cambria" w:hAnsiTheme="minorHAnsi" w:cstheme="minorHAnsi"/>
          <w:color w:val="000000" w:themeColor="text1"/>
        </w:rPr>
        <w:t xml:space="preserve"> a </w:t>
      </w:r>
      <w:r w:rsidR="0089568C">
        <w:rPr>
          <w:rFonts w:asciiTheme="minorHAnsi" w:eastAsia="Cambria" w:hAnsiTheme="minorHAnsi" w:cstheme="minorHAnsi"/>
          <w:color w:val="000000" w:themeColor="text1"/>
        </w:rPr>
        <w:t>chtějí</w:t>
      </w:r>
      <w:r w:rsidR="009B66B5">
        <w:rPr>
          <w:rFonts w:asciiTheme="minorHAnsi" w:eastAsia="Cambria" w:hAnsiTheme="minorHAnsi" w:cstheme="minorHAnsi"/>
          <w:color w:val="000000" w:themeColor="text1"/>
        </w:rPr>
        <w:t xml:space="preserve"> s </w:t>
      </w:r>
      <w:r w:rsidR="0089568C">
        <w:rPr>
          <w:rFonts w:asciiTheme="minorHAnsi" w:eastAsia="Cambria" w:hAnsiTheme="minorHAnsi" w:cstheme="minorHAnsi"/>
          <w:color w:val="000000" w:themeColor="text1"/>
        </w:rPr>
        <w:t>nimi</w:t>
      </w:r>
      <w:r w:rsidRPr="00B43E5B">
        <w:rPr>
          <w:rFonts w:asciiTheme="minorHAnsi" w:eastAsia="Cambria" w:hAnsiTheme="minorHAnsi" w:cstheme="minorHAnsi"/>
          <w:color w:val="000000" w:themeColor="text1"/>
        </w:rPr>
        <w:t xml:space="preserve"> vstoupit na evropské, případně světové trhy </w:t>
      </w:r>
      <w:r w:rsidR="0089568C">
        <w:rPr>
          <w:rFonts w:asciiTheme="minorHAnsi" w:eastAsia="Cambria" w:hAnsiTheme="minorHAnsi" w:cstheme="minorHAnsi"/>
          <w:color w:val="000000" w:themeColor="text1"/>
        </w:rPr>
        <w:t xml:space="preserve">(SME instrument, Accelerator). </w:t>
      </w:r>
      <w:r w:rsidRPr="00B43E5B">
        <w:rPr>
          <w:rFonts w:asciiTheme="minorHAnsi" w:eastAsia="Cambria" w:hAnsiTheme="minorHAnsi" w:cstheme="minorHAnsi"/>
          <w:color w:val="000000" w:themeColor="text1"/>
        </w:rPr>
        <w:t>Přestože zájem podniků</w:t>
      </w:r>
      <w:r w:rsidR="009B66B5">
        <w:rPr>
          <w:rFonts w:asciiTheme="minorHAnsi" w:eastAsia="Cambria" w:hAnsiTheme="minorHAnsi" w:cstheme="minorHAnsi"/>
          <w:color w:val="000000" w:themeColor="text1"/>
        </w:rPr>
        <w:t xml:space="preserve"> o </w:t>
      </w:r>
      <w:r w:rsidRPr="00B43E5B">
        <w:rPr>
          <w:rFonts w:asciiTheme="minorHAnsi" w:eastAsia="Cambria" w:hAnsiTheme="minorHAnsi" w:cstheme="minorHAnsi"/>
          <w:color w:val="000000" w:themeColor="text1"/>
        </w:rPr>
        <w:t xml:space="preserve">nástroj SME </w:t>
      </w:r>
      <w:r w:rsidR="008D6CE1">
        <w:rPr>
          <w:rFonts w:asciiTheme="minorHAnsi" w:eastAsia="Cambria" w:hAnsiTheme="minorHAnsi" w:cstheme="minorHAnsi"/>
          <w:color w:val="000000" w:themeColor="text1"/>
        </w:rPr>
        <w:t>I</w:t>
      </w:r>
      <w:r w:rsidRPr="00B43E5B">
        <w:rPr>
          <w:rFonts w:asciiTheme="minorHAnsi" w:eastAsia="Cambria" w:hAnsiTheme="minorHAnsi" w:cstheme="minorHAnsi"/>
          <w:color w:val="000000" w:themeColor="text1"/>
        </w:rPr>
        <w:t>nstrument</w:t>
      </w:r>
      <w:r w:rsidR="009B66B5">
        <w:rPr>
          <w:rFonts w:asciiTheme="minorHAnsi" w:eastAsia="Cambria" w:hAnsiTheme="minorHAnsi" w:cstheme="minorHAnsi"/>
          <w:color w:val="000000" w:themeColor="text1"/>
        </w:rPr>
        <w:t xml:space="preserve"> v </w:t>
      </w:r>
      <w:r w:rsidRPr="00B43E5B">
        <w:rPr>
          <w:rFonts w:asciiTheme="minorHAnsi" w:eastAsia="Cambria" w:hAnsiTheme="minorHAnsi" w:cstheme="minorHAnsi"/>
          <w:color w:val="000000" w:themeColor="text1"/>
        </w:rPr>
        <w:t>průběhu času rostl, byla aktivita českých MSP</w:t>
      </w:r>
      <w:r w:rsidR="009B66B5">
        <w:rPr>
          <w:rFonts w:asciiTheme="minorHAnsi" w:eastAsia="Cambria" w:hAnsiTheme="minorHAnsi" w:cstheme="minorHAnsi"/>
          <w:color w:val="000000" w:themeColor="text1"/>
        </w:rPr>
        <w:t xml:space="preserve"> v </w:t>
      </w:r>
      <w:r w:rsidRPr="00B43E5B">
        <w:rPr>
          <w:rFonts w:asciiTheme="minorHAnsi" w:eastAsia="Cambria" w:hAnsiTheme="minorHAnsi" w:cstheme="minorHAnsi"/>
          <w:color w:val="000000" w:themeColor="text1"/>
        </w:rPr>
        <w:t>tomto nástroji mnohem menší než u</w:t>
      </w:r>
      <w:r w:rsidR="009B66B5">
        <w:rPr>
          <w:rFonts w:asciiTheme="minorHAnsi" w:eastAsia="Cambria" w:hAnsiTheme="minorHAnsi" w:cstheme="minorHAnsi"/>
          <w:color w:val="000000" w:themeColor="text1"/>
        </w:rPr>
        <w:t> </w:t>
      </w:r>
      <w:r w:rsidRPr="00B43E5B">
        <w:rPr>
          <w:rFonts w:asciiTheme="minorHAnsi" w:eastAsia="Cambria" w:hAnsiTheme="minorHAnsi" w:cstheme="minorHAnsi"/>
          <w:color w:val="000000" w:themeColor="text1"/>
        </w:rPr>
        <w:t>srovnatelných států EU. Přestože kvalita návrhů projektů</w:t>
      </w:r>
      <w:r w:rsidR="009B66B5">
        <w:rPr>
          <w:rFonts w:asciiTheme="minorHAnsi" w:eastAsia="Cambria" w:hAnsiTheme="minorHAnsi" w:cstheme="minorHAnsi"/>
          <w:color w:val="000000" w:themeColor="text1"/>
        </w:rPr>
        <w:t xml:space="preserve"> v </w:t>
      </w:r>
      <w:r w:rsidRPr="00B43E5B">
        <w:rPr>
          <w:rFonts w:asciiTheme="minorHAnsi" w:eastAsia="Cambria" w:hAnsiTheme="minorHAnsi" w:cstheme="minorHAnsi"/>
          <w:color w:val="000000" w:themeColor="text1"/>
        </w:rPr>
        <w:t>průběhu času mírně narůstala</w:t>
      </w:r>
      <w:r w:rsidR="003C7822">
        <w:rPr>
          <w:rFonts w:asciiTheme="minorHAnsi" w:eastAsia="Cambria" w:hAnsiTheme="minorHAnsi" w:cstheme="minorHAnsi"/>
          <w:color w:val="000000" w:themeColor="text1"/>
        </w:rPr>
        <w:t>,</w:t>
      </w:r>
      <w:r w:rsidR="009B66B5">
        <w:rPr>
          <w:rFonts w:asciiTheme="minorHAnsi" w:eastAsia="Cambria" w:hAnsiTheme="minorHAnsi" w:cstheme="minorHAnsi"/>
          <w:color w:val="000000" w:themeColor="text1"/>
        </w:rPr>
        <w:t xml:space="preserve"> o </w:t>
      </w:r>
      <w:r w:rsidRPr="00B43E5B">
        <w:rPr>
          <w:rFonts w:asciiTheme="minorHAnsi" w:eastAsia="Cambria" w:hAnsiTheme="minorHAnsi" w:cstheme="minorHAnsi"/>
          <w:color w:val="000000" w:themeColor="text1"/>
        </w:rPr>
        <w:t>čemž svědčí počet udělených</w:t>
      </w:r>
      <w:r w:rsidR="008D6CE1">
        <w:rPr>
          <w:rFonts w:asciiTheme="minorHAnsi" w:eastAsia="Cambria" w:hAnsiTheme="minorHAnsi" w:cstheme="minorHAnsi"/>
          <w:color w:val="000000" w:themeColor="text1"/>
        </w:rPr>
        <w:t xml:space="preserve"> statusů</w:t>
      </w:r>
      <w:r w:rsidRPr="00B43E5B">
        <w:rPr>
          <w:rFonts w:asciiTheme="minorHAnsi" w:eastAsia="Cambria" w:hAnsiTheme="minorHAnsi" w:cstheme="minorHAnsi"/>
          <w:color w:val="000000" w:themeColor="text1"/>
        </w:rPr>
        <w:t xml:space="preserve"> </w:t>
      </w:r>
      <w:r w:rsidR="008D6CE1">
        <w:rPr>
          <w:rFonts w:asciiTheme="minorHAnsi" w:eastAsia="Cambria" w:hAnsiTheme="minorHAnsi" w:cstheme="minorHAnsi"/>
          <w:color w:val="000000" w:themeColor="text1"/>
        </w:rPr>
        <w:t>„</w:t>
      </w:r>
      <w:r w:rsidRPr="00B43E5B">
        <w:rPr>
          <w:rFonts w:asciiTheme="minorHAnsi" w:eastAsia="Cambria" w:hAnsiTheme="minorHAnsi" w:cstheme="minorHAnsi"/>
          <w:color w:val="000000" w:themeColor="text1"/>
        </w:rPr>
        <w:t>Seal of Excellence</w:t>
      </w:r>
      <w:r w:rsidR="008D6CE1">
        <w:rPr>
          <w:rFonts w:asciiTheme="minorHAnsi" w:eastAsia="Cambria" w:hAnsiTheme="minorHAnsi" w:cstheme="minorHAnsi"/>
          <w:color w:val="000000" w:themeColor="text1"/>
        </w:rPr>
        <w:t>“</w:t>
      </w:r>
      <w:r w:rsidRPr="00B43E5B">
        <w:rPr>
          <w:rFonts w:asciiTheme="minorHAnsi" w:eastAsia="Cambria" w:hAnsiTheme="minorHAnsi" w:cstheme="minorHAnsi"/>
          <w:color w:val="000000" w:themeColor="text1"/>
        </w:rPr>
        <w:t>, které firmy obdržely (a mnohé</w:t>
      </w:r>
      <w:r w:rsidR="009B66B5">
        <w:rPr>
          <w:rFonts w:asciiTheme="minorHAnsi" w:eastAsia="Cambria" w:hAnsiTheme="minorHAnsi" w:cstheme="minorHAnsi"/>
          <w:color w:val="000000" w:themeColor="text1"/>
        </w:rPr>
        <w:t xml:space="preserve"> z </w:t>
      </w:r>
      <w:r w:rsidRPr="00B43E5B">
        <w:rPr>
          <w:rFonts w:asciiTheme="minorHAnsi" w:eastAsia="Cambria" w:hAnsiTheme="minorHAnsi" w:cstheme="minorHAnsi"/>
          <w:color w:val="000000" w:themeColor="text1"/>
        </w:rPr>
        <w:t>nich</w:t>
      </w:r>
      <w:r w:rsidR="009B66B5">
        <w:rPr>
          <w:rFonts w:asciiTheme="minorHAnsi" w:eastAsia="Cambria" w:hAnsiTheme="minorHAnsi" w:cstheme="minorHAnsi"/>
          <w:color w:val="000000" w:themeColor="text1"/>
        </w:rPr>
        <w:t xml:space="preserve"> i </w:t>
      </w:r>
      <w:r w:rsidRPr="00B43E5B">
        <w:rPr>
          <w:rFonts w:asciiTheme="minorHAnsi" w:eastAsia="Cambria" w:hAnsiTheme="minorHAnsi" w:cstheme="minorHAnsi"/>
          <w:color w:val="000000" w:themeColor="text1"/>
        </w:rPr>
        <w:t>opakovaně [</w:t>
      </w:r>
      <w:r w:rsidR="001E6D54">
        <w:rPr>
          <w:rFonts w:asciiTheme="minorHAnsi" w:eastAsia="Cambria" w:hAnsiTheme="minorHAnsi" w:cstheme="minorHAnsi"/>
          <w:color w:val="000000" w:themeColor="text1"/>
        </w:rPr>
        <w:t>5</w:t>
      </w:r>
      <w:r w:rsidRPr="00B43E5B">
        <w:rPr>
          <w:rFonts w:asciiTheme="minorHAnsi" w:eastAsia="Cambria" w:hAnsiTheme="minorHAnsi" w:cstheme="minorHAnsi"/>
          <w:color w:val="000000" w:themeColor="text1"/>
        </w:rPr>
        <w:t xml:space="preserve">, </w:t>
      </w:r>
      <w:r w:rsidR="00317719">
        <w:rPr>
          <w:rFonts w:asciiTheme="minorHAnsi" w:eastAsia="Cambria" w:hAnsiTheme="minorHAnsi" w:cstheme="minorHAnsi"/>
          <w:color w:val="000000" w:themeColor="text1"/>
        </w:rPr>
        <w:t>9</w:t>
      </w:r>
      <w:r w:rsidRPr="00B43E5B">
        <w:rPr>
          <w:rFonts w:asciiTheme="minorHAnsi" w:eastAsia="Cambria" w:hAnsiTheme="minorHAnsi" w:cstheme="minorHAnsi"/>
          <w:color w:val="000000" w:themeColor="text1"/>
        </w:rPr>
        <w:t>])</w:t>
      </w:r>
      <w:r w:rsidR="003C7822">
        <w:rPr>
          <w:rFonts w:asciiTheme="minorHAnsi" w:eastAsia="Cambria" w:hAnsiTheme="minorHAnsi" w:cstheme="minorHAnsi"/>
          <w:color w:val="000000" w:themeColor="text1"/>
        </w:rPr>
        <w:t>,</w:t>
      </w:r>
      <w:r w:rsidRPr="00B43E5B">
        <w:rPr>
          <w:rFonts w:asciiTheme="minorHAnsi" w:eastAsia="Cambria" w:hAnsiTheme="minorHAnsi" w:cstheme="minorHAnsi"/>
          <w:color w:val="000000" w:themeColor="text1"/>
        </w:rPr>
        <w:t xml:space="preserve"> je potřeba zapracovat na značném vylepšení jejich </w:t>
      </w:r>
      <w:r w:rsidR="00ED05C2" w:rsidRPr="00B43E5B">
        <w:rPr>
          <w:rFonts w:asciiTheme="minorHAnsi" w:eastAsia="Cambria" w:hAnsiTheme="minorHAnsi" w:cstheme="minorHAnsi"/>
          <w:color w:val="000000" w:themeColor="text1"/>
        </w:rPr>
        <w:t>schopnost</w:t>
      </w:r>
      <w:r w:rsidR="00ED05C2">
        <w:rPr>
          <w:rFonts w:asciiTheme="minorHAnsi" w:eastAsia="Cambria" w:hAnsiTheme="minorHAnsi" w:cstheme="minorHAnsi"/>
          <w:color w:val="000000" w:themeColor="text1"/>
        </w:rPr>
        <w:t>í.</w:t>
      </w:r>
    </w:p>
    <w:p w14:paraId="4726B31F" w14:textId="77777777" w:rsidR="00F9717D" w:rsidRPr="00B43E5B" w:rsidRDefault="5592521F" w:rsidP="005515AB">
      <w:pPr>
        <w:pStyle w:val="Nadpis2"/>
        <w:rPr>
          <w:rFonts w:eastAsia="Cambria"/>
        </w:rPr>
      </w:pPr>
      <w:bookmarkStart w:id="8" w:name="_Ref112499544"/>
      <w:bookmarkStart w:id="9" w:name="_Toc114572309"/>
      <w:r w:rsidRPr="00B43E5B">
        <w:rPr>
          <w:rFonts w:eastAsia="Cambria"/>
        </w:rPr>
        <w:t>Pozitivní trendy</w:t>
      </w:r>
      <w:r w:rsidR="009B66B5">
        <w:rPr>
          <w:rFonts w:eastAsia="Cambria"/>
        </w:rPr>
        <w:t xml:space="preserve"> v </w:t>
      </w:r>
      <w:r w:rsidRPr="00B43E5B">
        <w:rPr>
          <w:rFonts w:eastAsia="Cambria"/>
        </w:rPr>
        <w:t>účasti ČR</w:t>
      </w:r>
      <w:r w:rsidR="009B66B5">
        <w:rPr>
          <w:rFonts w:eastAsia="Cambria"/>
        </w:rPr>
        <w:t xml:space="preserve"> v </w:t>
      </w:r>
      <w:r w:rsidRPr="00B43E5B">
        <w:rPr>
          <w:rFonts w:eastAsia="Cambria"/>
        </w:rPr>
        <w:t>RP</w:t>
      </w:r>
      <w:bookmarkEnd w:id="8"/>
      <w:bookmarkEnd w:id="9"/>
    </w:p>
    <w:p w14:paraId="32B29876" w14:textId="77777777" w:rsidR="00E1150E" w:rsidRDefault="26E5C05E" w:rsidP="09F46A13">
      <w:pPr>
        <w:spacing w:after="160" w:line="259" w:lineRule="auto"/>
        <w:rPr>
          <w:rFonts w:asciiTheme="minorHAnsi" w:eastAsia="Cambria" w:hAnsiTheme="minorHAnsi" w:cstheme="minorHAnsi"/>
          <w:color w:val="000000" w:themeColor="text1"/>
        </w:rPr>
      </w:pPr>
      <w:r w:rsidRPr="00B43E5B">
        <w:rPr>
          <w:rFonts w:asciiTheme="minorHAnsi" w:eastAsia="Cambria" w:hAnsiTheme="minorHAnsi" w:cstheme="minorHAnsi"/>
          <w:color w:val="000000" w:themeColor="text1"/>
        </w:rPr>
        <w:t>Oproti 7. RP se</w:t>
      </w:r>
      <w:r w:rsidR="009B66B5">
        <w:rPr>
          <w:rFonts w:asciiTheme="minorHAnsi" w:eastAsia="Cambria" w:hAnsiTheme="minorHAnsi" w:cstheme="minorHAnsi"/>
          <w:color w:val="000000" w:themeColor="text1"/>
        </w:rPr>
        <w:t xml:space="preserve"> v </w:t>
      </w:r>
      <w:r w:rsidR="008D6CE1">
        <w:rPr>
          <w:rFonts w:asciiTheme="minorHAnsi" w:eastAsia="Cambria" w:hAnsiTheme="minorHAnsi" w:cstheme="minorHAnsi"/>
          <w:color w:val="000000" w:themeColor="text1"/>
        </w:rPr>
        <w:t>RP</w:t>
      </w:r>
      <w:r w:rsidRPr="00B43E5B">
        <w:rPr>
          <w:rFonts w:asciiTheme="minorHAnsi" w:eastAsia="Cambria" w:hAnsiTheme="minorHAnsi" w:cstheme="minorHAnsi"/>
          <w:color w:val="000000" w:themeColor="text1"/>
        </w:rPr>
        <w:t xml:space="preserve"> H</w:t>
      </w:r>
      <w:r w:rsidR="008D6CE1">
        <w:rPr>
          <w:rFonts w:asciiTheme="minorHAnsi" w:eastAsia="Cambria" w:hAnsiTheme="minorHAnsi" w:cstheme="minorHAnsi"/>
          <w:color w:val="000000" w:themeColor="text1"/>
        </w:rPr>
        <w:t xml:space="preserve">orizont </w:t>
      </w:r>
      <w:r w:rsidRPr="00B43E5B">
        <w:rPr>
          <w:rFonts w:asciiTheme="minorHAnsi" w:eastAsia="Cambria" w:hAnsiTheme="minorHAnsi" w:cstheme="minorHAnsi"/>
          <w:color w:val="000000" w:themeColor="text1"/>
        </w:rPr>
        <w:t>2020</w:t>
      </w:r>
      <w:r w:rsidR="009B66B5">
        <w:rPr>
          <w:rFonts w:asciiTheme="minorHAnsi" w:eastAsia="Cambria" w:hAnsiTheme="minorHAnsi" w:cstheme="minorHAnsi"/>
          <w:color w:val="000000" w:themeColor="text1"/>
        </w:rPr>
        <w:t xml:space="preserve"> a </w:t>
      </w:r>
      <w:r w:rsidRPr="00B43E5B">
        <w:rPr>
          <w:rFonts w:asciiTheme="minorHAnsi" w:eastAsia="Cambria" w:hAnsiTheme="minorHAnsi" w:cstheme="minorHAnsi"/>
          <w:color w:val="000000" w:themeColor="text1"/>
        </w:rPr>
        <w:t>ná</w:t>
      </w:r>
      <w:r w:rsidR="0089568C">
        <w:rPr>
          <w:rFonts w:asciiTheme="minorHAnsi" w:eastAsia="Cambria" w:hAnsiTheme="minorHAnsi" w:cstheme="minorHAnsi"/>
          <w:color w:val="000000" w:themeColor="text1"/>
        </w:rPr>
        <w:t>sledně</w:t>
      </w:r>
      <w:r w:rsidR="009B66B5">
        <w:rPr>
          <w:rFonts w:asciiTheme="minorHAnsi" w:eastAsia="Cambria" w:hAnsiTheme="minorHAnsi" w:cstheme="minorHAnsi"/>
          <w:color w:val="000000" w:themeColor="text1"/>
        </w:rPr>
        <w:t xml:space="preserve"> i </w:t>
      </w:r>
      <w:r w:rsidR="0089568C">
        <w:rPr>
          <w:rFonts w:asciiTheme="minorHAnsi" w:eastAsia="Cambria" w:hAnsiTheme="minorHAnsi" w:cstheme="minorHAnsi"/>
          <w:color w:val="000000" w:themeColor="text1"/>
        </w:rPr>
        <w:t>na počátku </w:t>
      </w:r>
      <w:r w:rsidR="008D6CE1">
        <w:rPr>
          <w:rFonts w:asciiTheme="minorHAnsi" w:eastAsia="Cambria" w:hAnsiTheme="minorHAnsi" w:cstheme="minorHAnsi"/>
          <w:color w:val="000000" w:themeColor="text1"/>
        </w:rPr>
        <w:t>RP Horizont Evropa</w:t>
      </w:r>
      <w:r w:rsidR="0089568C">
        <w:rPr>
          <w:rFonts w:asciiTheme="minorHAnsi" w:eastAsia="Cambria" w:hAnsiTheme="minorHAnsi" w:cstheme="minorHAnsi"/>
          <w:color w:val="000000" w:themeColor="text1"/>
        </w:rPr>
        <w:t xml:space="preserve"> </w:t>
      </w:r>
      <w:r w:rsidRPr="00B43E5B">
        <w:rPr>
          <w:rFonts w:asciiTheme="minorHAnsi" w:eastAsia="Cambria" w:hAnsiTheme="minorHAnsi" w:cstheme="minorHAnsi"/>
          <w:color w:val="000000" w:themeColor="text1"/>
        </w:rPr>
        <w:t xml:space="preserve"> alespoň</w:t>
      </w:r>
      <w:r w:rsidR="009B66B5">
        <w:rPr>
          <w:rFonts w:asciiTheme="minorHAnsi" w:eastAsia="Cambria" w:hAnsiTheme="minorHAnsi" w:cstheme="minorHAnsi"/>
          <w:color w:val="000000" w:themeColor="text1"/>
        </w:rPr>
        <w:t xml:space="preserve"> v </w:t>
      </w:r>
      <w:r w:rsidRPr="00B43E5B">
        <w:rPr>
          <w:rFonts w:asciiTheme="minorHAnsi" w:eastAsia="Cambria" w:hAnsiTheme="minorHAnsi" w:cstheme="minorHAnsi"/>
          <w:color w:val="000000" w:themeColor="text1"/>
        </w:rPr>
        <w:t>dílčích statistikách</w:t>
      </w:r>
      <w:r w:rsidR="00A50885">
        <w:rPr>
          <w:rFonts w:asciiTheme="minorHAnsi" w:eastAsia="Cambria" w:hAnsiTheme="minorHAnsi" w:cstheme="minorHAnsi"/>
          <w:color w:val="000000" w:themeColor="text1"/>
        </w:rPr>
        <w:t>,</w:t>
      </w:r>
      <w:r w:rsidRPr="00B43E5B">
        <w:rPr>
          <w:rFonts w:asciiTheme="minorHAnsi" w:eastAsia="Cambria" w:hAnsiTheme="minorHAnsi" w:cstheme="minorHAnsi"/>
          <w:color w:val="000000" w:themeColor="text1"/>
        </w:rPr>
        <w:t xml:space="preserve"> začínají projevovat pozitivní trendy</w:t>
      </w:r>
      <w:r w:rsidR="009B66B5">
        <w:rPr>
          <w:rFonts w:asciiTheme="minorHAnsi" w:eastAsia="Cambria" w:hAnsiTheme="minorHAnsi" w:cstheme="minorHAnsi"/>
          <w:color w:val="000000" w:themeColor="text1"/>
        </w:rPr>
        <w:t xml:space="preserve"> v </w:t>
      </w:r>
      <w:r w:rsidRPr="00B43E5B">
        <w:rPr>
          <w:rFonts w:asciiTheme="minorHAnsi" w:eastAsia="Cambria" w:hAnsiTheme="minorHAnsi" w:cstheme="minorHAnsi"/>
          <w:color w:val="000000" w:themeColor="text1"/>
        </w:rPr>
        <w:t xml:space="preserve">mírně zvyšující se </w:t>
      </w:r>
      <w:r w:rsidRPr="00B43E5B">
        <w:rPr>
          <w:rFonts w:asciiTheme="minorHAnsi" w:eastAsia="Segoe UI" w:hAnsiTheme="minorHAnsi" w:cstheme="minorHAnsi"/>
          <w:color w:val="000000" w:themeColor="text1"/>
        </w:rPr>
        <w:t>účasti českých</w:t>
      </w:r>
      <w:r w:rsidRPr="00B43E5B">
        <w:rPr>
          <w:rFonts w:asciiTheme="minorHAnsi" w:eastAsia="Cambria" w:hAnsiTheme="minorHAnsi" w:cstheme="minorHAnsi"/>
          <w:color w:val="000000" w:themeColor="text1"/>
        </w:rPr>
        <w:t xml:space="preserve"> výzkumníků</w:t>
      </w:r>
      <w:r w:rsidR="009B66B5">
        <w:rPr>
          <w:rFonts w:asciiTheme="minorHAnsi" w:eastAsia="Cambria" w:hAnsiTheme="minorHAnsi" w:cstheme="minorHAnsi"/>
          <w:color w:val="000000" w:themeColor="text1"/>
        </w:rPr>
        <w:t xml:space="preserve"> v </w:t>
      </w:r>
      <w:r w:rsidRPr="00B43E5B">
        <w:rPr>
          <w:rFonts w:asciiTheme="minorHAnsi" w:eastAsia="Cambria" w:hAnsiTheme="minorHAnsi" w:cstheme="minorHAnsi"/>
          <w:color w:val="000000" w:themeColor="text1"/>
        </w:rPr>
        <w:t xml:space="preserve">projektech Evropské výzkumné rady </w:t>
      </w:r>
      <w:r w:rsidR="00BC438D">
        <w:rPr>
          <w:rFonts w:asciiTheme="minorHAnsi" w:eastAsia="Cambria" w:hAnsiTheme="minorHAnsi" w:cstheme="minorHAnsi"/>
          <w:color w:val="000000" w:themeColor="text1"/>
        </w:rPr>
        <w:t xml:space="preserve">(dále jen „ERC“) </w:t>
      </w:r>
      <w:r w:rsidRPr="00B43E5B">
        <w:rPr>
          <w:rFonts w:asciiTheme="minorHAnsi" w:eastAsia="Cambria" w:hAnsiTheme="minorHAnsi" w:cstheme="minorHAnsi"/>
          <w:color w:val="000000" w:themeColor="text1"/>
        </w:rPr>
        <w:t xml:space="preserve">– zejména </w:t>
      </w:r>
      <w:r w:rsidR="4E830130" w:rsidRPr="00B43E5B">
        <w:rPr>
          <w:rFonts w:asciiTheme="minorHAnsi" w:eastAsia="Cambria" w:hAnsiTheme="minorHAnsi" w:cstheme="minorHAnsi"/>
          <w:color w:val="000000" w:themeColor="text1"/>
        </w:rPr>
        <w:t>ERC–S</w:t>
      </w:r>
      <w:r w:rsidR="00BC438D">
        <w:rPr>
          <w:rFonts w:asciiTheme="minorHAnsi" w:eastAsia="Cambria" w:hAnsiTheme="minorHAnsi" w:cstheme="minorHAnsi"/>
          <w:color w:val="000000" w:themeColor="text1"/>
        </w:rPr>
        <w:t>tarting Grants</w:t>
      </w:r>
      <w:r w:rsidRPr="00B43E5B">
        <w:rPr>
          <w:rFonts w:asciiTheme="minorHAnsi" w:eastAsia="Cambria" w:hAnsiTheme="minorHAnsi" w:cstheme="minorHAnsi"/>
          <w:color w:val="000000" w:themeColor="text1"/>
        </w:rPr>
        <w:t xml:space="preserve"> [</w:t>
      </w:r>
      <w:r w:rsidR="001E6D54" w:rsidRPr="00B43E5B">
        <w:rPr>
          <w:rFonts w:asciiTheme="minorHAnsi" w:eastAsia="Cambria" w:hAnsiTheme="minorHAnsi" w:cstheme="minorHAnsi"/>
          <w:color w:val="000000" w:themeColor="text1"/>
        </w:rPr>
        <w:t>1</w:t>
      </w:r>
      <w:r w:rsidR="00317719">
        <w:rPr>
          <w:rFonts w:asciiTheme="minorHAnsi" w:eastAsia="Cambria" w:hAnsiTheme="minorHAnsi" w:cstheme="minorHAnsi"/>
          <w:color w:val="000000" w:themeColor="text1"/>
        </w:rPr>
        <w:t>0</w:t>
      </w:r>
      <w:r w:rsidRPr="00B43E5B">
        <w:rPr>
          <w:rFonts w:asciiTheme="minorHAnsi" w:eastAsia="Cambria" w:hAnsiTheme="minorHAnsi" w:cstheme="minorHAnsi"/>
          <w:color w:val="000000" w:themeColor="text1"/>
        </w:rPr>
        <w:t>]. Za pozitivní lze rovněž považovat zájem zahraničních uchazečů řešit grant ERC</w:t>
      </w:r>
      <w:r w:rsidR="009B66B5">
        <w:rPr>
          <w:rFonts w:asciiTheme="minorHAnsi" w:eastAsia="Cambria" w:hAnsiTheme="minorHAnsi" w:cstheme="minorHAnsi"/>
          <w:color w:val="000000" w:themeColor="text1"/>
        </w:rPr>
        <w:t xml:space="preserve"> v </w:t>
      </w:r>
      <w:r w:rsidRPr="00B43E5B">
        <w:rPr>
          <w:rFonts w:asciiTheme="minorHAnsi" w:eastAsia="Segoe UI" w:hAnsiTheme="minorHAnsi" w:cstheme="minorHAnsi"/>
          <w:color w:val="000000" w:themeColor="text1"/>
        </w:rPr>
        <w:t>českých hostitelských institucích, který je výrazně vyšší</w:t>
      </w:r>
      <w:r w:rsidR="009B66B5">
        <w:rPr>
          <w:rFonts w:asciiTheme="minorHAnsi" w:eastAsia="Segoe UI" w:hAnsiTheme="minorHAnsi" w:cstheme="minorHAnsi"/>
          <w:color w:val="000000" w:themeColor="text1"/>
        </w:rPr>
        <w:t xml:space="preserve"> v </w:t>
      </w:r>
      <w:r w:rsidRPr="00B43E5B">
        <w:rPr>
          <w:rFonts w:asciiTheme="minorHAnsi" w:eastAsia="Cambria" w:hAnsiTheme="minorHAnsi" w:cstheme="minorHAnsi"/>
          <w:color w:val="000000" w:themeColor="text1"/>
        </w:rPr>
        <w:t>porovnání se sousedními zeměmi V4, především Maďarskem</w:t>
      </w:r>
      <w:r w:rsidR="009B66B5">
        <w:rPr>
          <w:rFonts w:asciiTheme="minorHAnsi" w:eastAsia="Cambria" w:hAnsiTheme="minorHAnsi" w:cstheme="minorHAnsi"/>
          <w:color w:val="000000" w:themeColor="text1"/>
        </w:rPr>
        <w:t xml:space="preserve"> a </w:t>
      </w:r>
      <w:r w:rsidRPr="00B43E5B">
        <w:rPr>
          <w:rFonts w:asciiTheme="minorHAnsi" w:eastAsia="Cambria" w:hAnsiTheme="minorHAnsi" w:cstheme="minorHAnsi"/>
          <w:color w:val="000000" w:themeColor="text1"/>
        </w:rPr>
        <w:t>Polskem [</w:t>
      </w:r>
      <w:r w:rsidR="001E6D54">
        <w:rPr>
          <w:rFonts w:asciiTheme="minorHAnsi" w:eastAsia="Cambria" w:hAnsiTheme="minorHAnsi" w:cstheme="minorHAnsi"/>
          <w:color w:val="000000" w:themeColor="text1"/>
        </w:rPr>
        <w:t>5</w:t>
      </w:r>
      <w:r w:rsidRPr="00B43E5B">
        <w:rPr>
          <w:rFonts w:asciiTheme="minorHAnsi" w:eastAsia="Cambria" w:hAnsiTheme="minorHAnsi" w:cstheme="minorHAnsi"/>
          <w:color w:val="000000" w:themeColor="text1"/>
        </w:rPr>
        <w:t>]. Tento výsledek lze pravděpodobně přisoudit tomu, že české instituce si začaly uvědomovat významnost grantů ERC</w:t>
      </w:r>
      <w:r w:rsidR="009B66B5">
        <w:rPr>
          <w:rFonts w:asciiTheme="minorHAnsi" w:eastAsia="Cambria" w:hAnsiTheme="minorHAnsi" w:cstheme="minorHAnsi"/>
          <w:color w:val="000000" w:themeColor="text1"/>
        </w:rPr>
        <w:t xml:space="preserve"> a </w:t>
      </w:r>
      <w:r w:rsidRPr="00B43E5B">
        <w:rPr>
          <w:rFonts w:asciiTheme="minorHAnsi" w:eastAsia="Cambria" w:hAnsiTheme="minorHAnsi" w:cstheme="minorHAnsi"/>
          <w:color w:val="000000" w:themeColor="text1"/>
        </w:rPr>
        <w:t>vytvářely příznivější p</w:t>
      </w:r>
      <w:r w:rsidR="0089568C">
        <w:rPr>
          <w:rFonts w:asciiTheme="minorHAnsi" w:eastAsia="Cambria" w:hAnsiTheme="minorHAnsi" w:cstheme="minorHAnsi"/>
          <w:color w:val="000000" w:themeColor="text1"/>
        </w:rPr>
        <w:t xml:space="preserve">rostředí pro budoucí řešitele. </w:t>
      </w:r>
      <w:r w:rsidRPr="00B43E5B">
        <w:rPr>
          <w:rFonts w:asciiTheme="minorHAnsi" w:eastAsia="Cambria" w:hAnsiTheme="minorHAnsi" w:cstheme="minorHAnsi"/>
          <w:color w:val="000000" w:themeColor="text1"/>
        </w:rPr>
        <w:t>Na druhou stranu pozorujeme, že úspěšnost vědců české národnosti, kteří si vybrali zahraniční hostitelskou instituci (nejčastěji ve Velké Británii, Švýcarsku</w:t>
      </w:r>
      <w:r w:rsidR="009B66B5">
        <w:rPr>
          <w:rFonts w:asciiTheme="minorHAnsi" w:eastAsia="Cambria" w:hAnsiTheme="minorHAnsi" w:cstheme="minorHAnsi"/>
          <w:color w:val="000000" w:themeColor="text1"/>
        </w:rPr>
        <w:t xml:space="preserve"> a </w:t>
      </w:r>
      <w:r w:rsidRPr="00B43E5B">
        <w:rPr>
          <w:rFonts w:asciiTheme="minorHAnsi" w:eastAsia="Cambria" w:hAnsiTheme="minorHAnsi" w:cstheme="minorHAnsi"/>
          <w:color w:val="000000" w:themeColor="text1"/>
        </w:rPr>
        <w:t>Německu</w:t>
      </w:r>
      <w:r w:rsidR="00A50885">
        <w:rPr>
          <w:rFonts w:asciiTheme="minorHAnsi" w:eastAsia="Cambria" w:hAnsiTheme="minorHAnsi" w:cstheme="minorHAnsi"/>
          <w:color w:val="000000" w:themeColor="text1"/>
        </w:rPr>
        <w:t>),</w:t>
      </w:r>
      <w:r w:rsidRPr="00B43E5B">
        <w:rPr>
          <w:rFonts w:asciiTheme="minorHAnsi" w:eastAsia="Cambria" w:hAnsiTheme="minorHAnsi" w:cstheme="minorHAnsi"/>
          <w:color w:val="000000" w:themeColor="text1"/>
        </w:rPr>
        <w:t xml:space="preserve"> je vyšší [</w:t>
      </w:r>
      <w:r w:rsidR="001E6D54">
        <w:rPr>
          <w:rFonts w:asciiTheme="minorHAnsi" w:eastAsia="Cambria" w:hAnsiTheme="minorHAnsi" w:cstheme="minorHAnsi"/>
          <w:color w:val="000000" w:themeColor="text1"/>
        </w:rPr>
        <w:t>5</w:t>
      </w:r>
      <w:r w:rsidRPr="00B43E5B">
        <w:rPr>
          <w:rFonts w:asciiTheme="minorHAnsi" w:eastAsia="Cambria" w:hAnsiTheme="minorHAnsi" w:cstheme="minorHAnsi"/>
          <w:color w:val="000000" w:themeColor="text1"/>
        </w:rPr>
        <w:t>] oproti těm, kteří se rozhodli grant ERC řešit</w:t>
      </w:r>
      <w:r w:rsidR="009B66B5">
        <w:rPr>
          <w:rFonts w:asciiTheme="minorHAnsi" w:eastAsia="Cambria" w:hAnsiTheme="minorHAnsi" w:cstheme="minorHAnsi"/>
          <w:color w:val="000000" w:themeColor="text1"/>
        </w:rPr>
        <w:t xml:space="preserve"> v </w:t>
      </w:r>
      <w:r w:rsidRPr="00B43E5B">
        <w:rPr>
          <w:rFonts w:asciiTheme="minorHAnsi" w:eastAsia="Cambria" w:hAnsiTheme="minorHAnsi" w:cstheme="minorHAnsi"/>
          <w:color w:val="000000" w:themeColor="text1"/>
        </w:rPr>
        <w:t xml:space="preserve">ČR. </w:t>
      </w:r>
      <w:r w:rsidR="00BC438D">
        <w:rPr>
          <w:rFonts w:asciiTheme="minorHAnsi" w:eastAsia="Cambria" w:hAnsiTheme="minorHAnsi" w:cstheme="minorHAnsi"/>
          <w:color w:val="000000" w:themeColor="text1"/>
        </w:rPr>
        <w:t>Jistým deficitem ve vnímání zapojení ČR do RP je redukce perspektivy</w:t>
      </w:r>
      <w:r w:rsidR="009B66B5">
        <w:rPr>
          <w:rFonts w:asciiTheme="minorHAnsi" w:eastAsia="Cambria" w:hAnsiTheme="minorHAnsi" w:cstheme="minorHAnsi"/>
          <w:color w:val="000000" w:themeColor="text1"/>
        </w:rPr>
        <w:t xml:space="preserve"> a </w:t>
      </w:r>
      <w:r w:rsidR="00BC438D">
        <w:rPr>
          <w:rFonts w:asciiTheme="minorHAnsi" w:eastAsia="Cambria" w:hAnsiTheme="minorHAnsi" w:cstheme="minorHAnsi"/>
          <w:color w:val="000000" w:themeColor="text1"/>
        </w:rPr>
        <w:t>veřejné diskuze</w:t>
      </w:r>
      <w:r w:rsidR="009B66B5">
        <w:rPr>
          <w:rFonts w:asciiTheme="minorHAnsi" w:eastAsia="Cambria" w:hAnsiTheme="minorHAnsi" w:cstheme="minorHAnsi"/>
          <w:color w:val="000000" w:themeColor="text1"/>
        </w:rPr>
        <w:t xml:space="preserve"> o </w:t>
      </w:r>
      <w:r w:rsidR="00BC438D">
        <w:rPr>
          <w:rFonts w:asciiTheme="minorHAnsi" w:eastAsia="Cambria" w:hAnsiTheme="minorHAnsi" w:cstheme="minorHAnsi"/>
          <w:color w:val="000000" w:themeColor="text1"/>
        </w:rPr>
        <w:t>RP obecně na zapojení do schémat ERC, jakkoliv se jedná</w:t>
      </w:r>
      <w:r w:rsidR="009B66B5">
        <w:rPr>
          <w:rFonts w:asciiTheme="minorHAnsi" w:eastAsia="Cambria" w:hAnsiTheme="minorHAnsi" w:cstheme="minorHAnsi"/>
          <w:color w:val="000000" w:themeColor="text1"/>
        </w:rPr>
        <w:t xml:space="preserve"> o </w:t>
      </w:r>
      <w:r w:rsidR="00BC438D">
        <w:rPr>
          <w:rFonts w:asciiTheme="minorHAnsi" w:eastAsia="Cambria" w:hAnsiTheme="minorHAnsi" w:cstheme="minorHAnsi"/>
          <w:color w:val="000000" w:themeColor="text1"/>
        </w:rPr>
        <w:t xml:space="preserve">výlučně dílčí, jakkoliv důležitou součást RP. </w:t>
      </w:r>
    </w:p>
    <w:p w14:paraId="088FA570" w14:textId="77777777" w:rsidR="00F9717D" w:rsidRPr="00B43E5B" w:rsidRDefault="003305AF" w:rsidP="5592521F">
      <w:pPr>
        <w:spacing w:after="160" w:line="259" w:lineRule="auto"/>
        <w:rPr>
          <w:rFonts w:asciiTheme="minorHAnsi" w:eastAsia="Cambria" w:hAnsiTheme="minorHAnsi" w:cstheme="minorHAnsi"/>
          <w:color w:val="000000" w:themeColor="text1"/>
        </w:rPr>
      </w:pPr>
      <w:r>
        <w:rPr>
          <w:rFonts w:asciiTheme="minorHAnsi" w:eastAsia="Cambria" w:hAnsiTheme="minorHAnsi" w:cstheme="minorHAnsi"/>
          <w:color w:val="000000" w:themeColor="text1"/>
        </w:rPr>
        <w:t>V</w:t>
      </w:r>
      <w:r w:rsidR="5592521F" w:rsidRPr="00B43E5B">
        <w:rPr>
          <w:rFonts w:asciiTheme="minorHAnsi" w:eastAsia="Cambria" w:hAnsiTheme="minorHAnsi" w:cstheme="minorHAnsi"/>
          <w:color w:val="000000" w:themeColor="text1"/>
        </w:rPr>
        <w:t xml:space="preserve"> poslední době se díky </w:t>
      </w:r>
      <w:r w:rsidR="00BC438D">
        <w:rPr>
          <w:rFonts w:asciiTheme="minorHAnsi" w:eastAsia="Cambria" w:hAnsiTheme="minorHAnsi" w:cstheme="minorHAnsi"/>
          <w:color w:val="000000" w:themeColor="text1"/>
        </w:rPr>
        <w:t>Ministerstvu školství, mládeže</w:t>
      </w:r>
      <w:r w:rsidR="009B66B5">
        <w:rPr>
          <w:rFonts w:asciiTheme="minorHAnsi" w:eastAsia="Cambria" w:hAnsiTheme="minorHAnsi" w:cstheme="minorHAnsi"/>
          <w:color w:val="000000" w:themeColor="text1"/>
        </w:rPr>
        <w:t xml:space="preserve"> a </w:t>
      </w:r>
      <w:r w:rsidR="00BC438D">
        <w:rPr>
          <w:rFonts w:asciiTheme="minorHAnsi" w:eastAsia="Cambria" w:hAnsiTheme="minorHAnsi" w:cstheme="minorHAnsi"/>
          <w:color w:val="000000" w:themeColor="text1"/>
        </w:rPr>
        <w:t>tělovýchovy (dále jen „MŠMT“)</w:t>
      </w:r>
      <w:r w:rsidR="009B66B5">
        <w:rPr>
          <w:rFonts w:asciiTheme="minorHAnsi" w:eastAsia="Cambria" w:hAnsiTheme="minorHAnsi" w:cstheme="minorHAnsi"/>
          <w:color w:val="000000" w:themeColor="text1"/>
        </w:rPr>
        <w:t xml:space="preserve"> a </w:t>
      </w:r>
      <w:r w:rsidR="5592521F" w:rsidRPr="00B43E5B">
        <w:rPr>
          <w:rFonts w:asciiTheme="minorHAnsi" w:eastAsia="Cambria" w:hAnsiTheme="minorHAnsi" w:cstheme="minorHAnsi"/>
          <w:color w:val="000000" w:themeColor="text1"/>
        </w:rPr>
        <w:t xml:space="preserve">Technologické agentuře ČR </w:t>
      </w:r>
      <w:r w:rsidR="00BC438D">
        <w:rPr>
          <w:rFonts w:asciiTheme="minorHAnsi" w:eastAsia="Cambria" w:hAnsiTheme="minorHAnsi" w:cstheme="minorHAnsi"/>
          <w:color w:val="000000" w:themeColor="text1"/>
        </w:rPr>
        <w:t>(dále jen „TA</w:t>
      </w:r>
      <w:r w:rsidR="00C4450D">
        <w:rPr>
          <w:rFonts w:asciiTheme="minorHAnsi" w:eastAsia="Cambria" w:hAnsiTheme="minorHAnsi" w:cstheme="minorHAnsi"/>
          <w:color w:val="000000" w:themeColor="text1"/>
        </w:rPr>
        <w:t xml:space="preserve"> </w:t>
      </w:r>
      <w:r w:rsidR="00BC438D">
        <w:rPr>
          <w:rFonts w:asciiTheme="minorHAnsi" w:eastAsia="Cambria" w:hAnsiTheme="minorHAnsi" w:cstheme="minorHAnsi"/>
          <w:color w:val="000000" w:themeColor="text1"/>
        </w:rPr>
        <w:t>ČR“),</w:t>
      </w:r>
      <w:r w:rsidR="009B66B5">
        <w:rPr>
          <w:rFonts w:asciiTheme="minorHAnsi" w:eastAsia="Cambria" w:hAnsiTheme="minorHAnsi" w:cstheme="minorHAnsi"/>
          <w:color w:val="000000" w:themeColor="text1"/>
        </w:rPr>
        <w:t xml:space="preserve"> i </w:t>
      </w:r>
      <w:r w:rsidR="00BC438D">
        <w:rPr>
          <w:rFonts w:asciiTheme="minorHAnsi" w:eastAsia="Cambria" w:hAnsiTheme="minorHAnsi" w:cstheme="minorHAnsi"/>
          <w:color w:val="000000" w:themeColor="text1"/>
        </w:rPr>
        <w:t>jejich posílené vzájemné spolupráci na výkonu agendy mezinárodní spolupráce ČR ve VaVaI,</w:t>
      </w:r>
      <w:r w:rsidR="009B66B5">
        <w:rPr>
          <w:rFonts w:asciiTheme="minorHAnsi" w:eastAsia="Cambria" w:hAnsiTheme="minorHAnsi" w:cstheme="minorHAnsi"/>
          <w:color w:val="000000" w:themeColor="text1"/>
        </w:rPr>
        <w:t xml:space="preserve"> a </w:t>
      </w:r>
      <w:r w:rsidR="00BC438D">
        <w:rPr>
          <w:rFonts w:asciiTheme="minorHAnsi" w:eastAsia="Cambria" w:hAnsiTheme="minorHAnsi" w:cstheme="minorHAnsi"/>
          <w:color w:val="000000" w:themeColor="text1"/>
        </w:rPr>
        <w:t>částečně</w:t>
      </w:r>
      <w:r w:rsidR="009B66B5">
        <w:rPr>
          <w:rFonts w:asciiTheme="minorHAnsi" w:eastAsia="Cambria" w:hAnsiTheme="minorHAnsi" w:cstheme="minorHAnsi"/>
          <w:color w:val="000000" w:themeColor="text1"/>
        </w:rPr>
        <w:t xml:space="preserve"> i </w:t>
      </w:r>
      <w:r w:rsidR="5592521F" w:rsidRPr="00B43E5B">
        <w:rPr>
          <w:rFonts w:asciiTheme="minorHAnsi" w:eastAsia="Cambria" w:hAnsiTheme="minorHAnsi" w:cstheme="minorHAnsi"/>
          <w:color w:val="000000" w:themeColor="text1"/>
        </w:rPr>
        <w:t xml:space="preserve">dalším poskytovatelům </w:t>
      </w:r>
      <w:r w:rsidR="5592521F" w:rsidRPr="00B43E5B">
        <w:rPr>
          <w:rFonts w:asciiTheme="minorHAnsi" w:eastAsia="Segoe UI" w:hAnsiTheme="minorHAnsi" w:cstheme="minorHAnsi"/>
          <w:color w:val="000000" w:themeColor="text1"/>
        </w:rPr>
        <w:t>česká</w:t>
      </w:r>
      <w:r w:rsidR="5592521F" w:rsidRPr="00B43E5B">
        <w:rPr>
          <w:rFonts w:asciiTheme="minorHAnsi" w:eastAsia="Cambria" w:hAnsiTheme="minorHAnsi" w:cstheme="minorHAnsi"/>
          <w:color w:val="000000" w:themeColor="text1"/>
        </w:rPr>
        <w:t xml:space="preserve"> pracoviště mohou </w:t>
      </w:r>
      <w:r>
        <w:rPr>
          <w:rFonts w:asciiTheme="minorHAnsi" w:eastAsia="Cambria" w:hAnsiTheme="minorHAnsi" w:cstheme="minorHAnsi"/>
          <w:color w:val="000000" w:themeColor="text1"/>
        </w:rPr>
        <w:t xml:space="preserve">více </w:t>
      </w:r>
      <w:r w:rsidR="5592521F" w:rsidRPr="00B43E5B">
        <w:rPr>
          <w:rFonts w:asciiTheme="minorHAnsi" w:eastAsia="Cambria" w:hAnsiTheme="minorHAnsi" w:cstheme="minorHAnsi"/>
          <w:color w:val="000000" w:themeColor="text1"/>
        </w:rPr>
        <w:t>zapojovat do projektů ERA-NET Cofund</w:t>
      </w:r>
      <w:r w:rsidR="26E5C05E" w:rsidRPr="00B43E5B">
        <w:rPr>
          <w:rFonts w:asciiTheme="minorHAnsi" w:eastAsia="Cambria" w:hAnsiTheme="minorHAnsi" w:cstheme="minorHAnsi"/>
          <w:color w:val="000000" w:themeColor="text1"/>
        </w:rPr>
        <w:t xml:space="preserve"> [</w:t>
      </w:r>
      <w:r w:rsidR="001E6D54">
        <w:rPr>
          <w:rFonts w:asciiTheme="minorHAnsi" w:eastAsia="Cambria" w:hAnsiTheme="minorHAnsi" w:cstheme="minorHAnsi"/>
          <w:color w:val="000000" w:themeColor="text1"/>
        </w:rPr>
        <w:t>1</w:t>
      </w:r>
      <w:r w:rsidR="00317719">
        <w:rPr>
          <w:rFonts w:asciiTheme="minorHAnsi" w:eastAsia="Cambria" w:hAnsiTheme="minorHAnsi" w:cstheme="minorHAnsi"/>
          <w:color w:val="000000" w:themeColor="text1"/>
        </w:rPr>
        <w:t>1</w:t>
      </w:r>
      <w:r w:rsidR="5592521F" w:rsidRPr="00B43E5B">
        <w:rPr>
          <w:rFonts w:asciiTheme="minorHAnsi" w:eastAsia="Cambria" w:hAnsiTheme="minorHAnsi" w:cstheme="minorHAnsi"/>
          <w:color w:val="000000" w:themeColor="text1"/>
        </w:rPr>
        <w:t>]. Hlavním účelem těchto typů projektů</w:t>
      </w:r>
      <w:r w:rsidR="000F765B">
        <w:rPr>
          <w:rFonts w:asciiTheme="minorHAnsi" w:eastAsia="Cambria" w:hAnsiTheme="minorHAnsi" w:cstheme="minorHAnsi"/>
          <w:color w:val="000000" w:themeColor="text1"/>
        </w:rPr>
        <w:t>, které se</w:t>
      </w:r>
      <w:r w:rsidR="009B66B5">
        <w:rPr>
          <w:rFonts w:asciiTheme="minorHAnsi" w:eastAsia="Cambria" w:hAnsiTheme="minorHAnsi" w:cstheme="minorHAnsi"/>
          <w:color w:val="000000" w:themeColor="text1"/>
        </w:rPr>
        <w:t xml:space="preserve"> v </w:t>
      </w:r>
      <w:r w:rsidR="000F765B">
        <w:rPr>
          <w:rFonts w:asciiTheme="minorHAnsi" w:eastAsia="Cambria" w:hAnsiTheme="minorHAnsi" w:cstheme="minorHAnsi"/>
          <w:color w:val="000000" w:themeColor="text1"/>
        </w:rPr>
        <w:t>Horizontu Evropa transformovaly do tzv. spolufinancovaných partnerství</w:t>
      </w:r>
      <w:r w:rsidR="00041CC3">
        <w:rPr>
          <w:rFonts w:asciiTheme="minorHAnsi" w:eastAsia="Cambria" w:hAnsiTheme="minorHAnsi" w:cstheme="minorHAnsi"/>
          <w:color w:val="000000" w:themeColor="text1"/>
        </w:rPr>
        <w:t xml:space="preserve"> (Co-funded partnerships)</w:t>
      </w:r>
      <w:r w:rsidR="0089568C">
        <w:rPr>
          <w:rFonts w:asciiTheme="minorHAnsi" w:eastAsia="Cambria" w:hAnsiTheme="minorHAnsi" w:cstheme="minorHAnsi"/>
          <w:color w:val="000000" w:themeColor="text1"/>
        </w:rPr>
        <w:t>,</w:t>
      </w:r>
      <w:r w:rsidR="5592521F" w:rsidRPr="00B43E5B">
        <w:rPr>
          <w:rFonts w:asciiTheme="minorHAnsi" w:eastAsia="Cambria" w:hAnsiTheme="minorHAnsi" w:cstheme="minorHAnsi"/>
          <w:color w:val="000000" w:themeColor="text1"/>
        </w:rPr>
        <w:t xml:space="preserve"> je doplňovat rozpočty výzev nebo programů financovaných Evropskou komisí prostředky poskytovanými národními</w:t>
      </w:r>
      <w:r w:rsidR="009B66B5">
        <w:rPr>
          <w:rFonts w:asciiTheme="minorHAnsi" w:eastAsia="Cambria" w:hAnsiTheme="minorHAnsi" w:cstheme="minorHAnsi"/>
          <w:color w:val="000000" w:themeColor="text1"/>
        </w:rPr>
        <w:t xml:space="preserve"> a </w:t>
      </w:r>
      <w:r w:rsidR="5592521F" w:rsidRPr="00B43E5B">
        <w:rPr>
          <w:rFonts w:asciiTheme="minorHAnsi" w:eastAsia="Cambria" w:hAnsiTheme="minorHAnsi" w:cstheme="minorHAnsi"/>
          <w:color w:val="000000" w:themeColor="text1"/>
        </w:rPr>
        <w:t>regionálními poskytovateli podpory na VaVaI, přispívat tím ke sladění národních</w:t>
      </w:r>
      <w:r w:rsidR="009B66B5">
        <w:rPr>
          <w:rFonts w:asciiTheme="minorHAnsi" w:eastAsia="Cambria" w:hAnsiTheme="minorHAnsi" w:cstheme="minorHAnsi"/>
          <w:color w:val="000000" w:themeColor="text1"/>
        </w:rPr>
        <w:t xml:space="preserve"> a </w:t>
      </w:r>
      <w:r w:rsidR="5592521F" w:rsidRPr="00B43E5B">
        <w:rPr>
          <w:rFonts w:asciiTheme="minorHAnsi" w:eastAsia="Cambria" w:hAnsiTheme="minorHAnsi" w:cstheme="minorHAnsi"/>
          <w:color w:val="000000" w:themeColor="text1"/>
        </w:rPr>
        <w:t>evropských priorit</w:t>
      </w:r>
      <w:r w:rsidR="009B66B5">
        <w:rPr>
          <w:rFonts w:asciiTheme="minorHAnsi" w:eastAsia="Cambria" w:hAnsiTheme="minorHAnsi" w:cstheme="minorHAnsi"/>
          <w:color w:val="000000" w:themeColor="text1"/>
        </w:rPr>
        <w:t xml:space="preserve"> a </w:t>
      </w:r>
      <w:r w:rsidR="5592521F" w:rsidRPr="00B43E5B">
        <w:rPr>
          <w:rFonts w:asciiTheme="minorHAnsi" w:eastAsia="Cambria" w:hAnsiTheme="minorHAnsi" w:cstheme="minorHAnsi"/>
          <w:color w:val="000000" w:themeColor="text1"/>
        </w:rPr>
        <w:t>zároveň vytvářet</w:t>
      </w:r>
      <w:r w:rsidR="009B66B5">
        <w:rPr>
          <w:rFonts w:asciiTheme="minorHAnsi" w:eastAsia="Cambria" w:hAnsiTheme="minorHAnsi" w:cstheme="minorHAnsi"/>
          <w:color w:val="000000" w:themeColor="text1"/>
        </w:rPr>
        <w:t xml:space="preserve"> a </w:t>
      </w:r>
      <w:r w:rsidR="5592521F" w:rsidRPr="00B43E5B">
        <w:rPr>
          <w:rFonts w:asciiTheme="minorHAnsi" w:eastAsia="Cambria" w:hAnsiTheme="minorHAnsi" w:cstheme="minorHAnsi"/>
          <w:color w:val="000000" w:themeColor="text1"/>
        </w:rPr>
        <w:t>rozšiřovat kontakty pro mezinárodní spolupráci</w:t>
      </w:r>
      <w:r w:rsidR="00A50885">
        <w:rPr>
          <w:rFonts w:asciiTheme="minorHAnsi" w:eastAsia="Cambria" w:hAnsiTheme="minorHAnsi" w:cstheme="minorHAnsi"/>
          <w:color w:val="000000" w:themeColor="text1"/>
        </w:rPr>
        <w:t xml:space="preserve"> (viz též kap. </w:t>
      </w:r>
      <w:r w:rsidR="00A50885">
        <w:rPr>
          <w:rFonts w:asciiTheme="minorHAnsi" w:eastAsia="Cambria" w:hAnsiTheme="minorHAnsi" w:cstheme="minorHAnsi"/>
          <w:color w:val="000000" w:themeColor="text1"/>
        </w:rPr>
        <w:fldChar w:fldCharType="begin"/>
      </w:r>
      <w:r w:rsidR="00A50885">
        <w:rPr>
          <w:rFonts w:asciiTheme="minorHAnsi" w:eastAsia="Cambria" w:hAnsiTheme="minorHAnsi" w:cstheme="minorHAnsi"/>
          <w:color w:val="000000" w:themeColor="text1"/>
        </w:rPr>
        <w:instrText xml:space="preserve"> REF _Ref112502584 \r \h </w:instrText>
      </w:r>
      <w:r w:rsidR="00A50885">
        <w:rPr>
          <w:rFonts w:asciiTheme="minorHAnsi" w:eastAsia="Cambria" w:hAnsiTheme="minorHAnsi" w:cstheme="minorHAnsi"/>
          <w:color w:val="000000" w:themeColor="text1"/>
        </w:rPr>
      </w:r>
      <w:r w:rsidR="00A50885">
        <w:rPr>
          <w:rFonts w:asciiTheme="minorHAnsi" w:eastAsia="Cambria" w:hAnsiTheme="minorHAnsi" w:cstheme="minorHAnsi"/>
          <w:color w:val="000000" w:themeColor="text1"/>
        </w:rPr>
        <w:fldChar w:fldCharType="separate"/>
      </w:r>
      <w:r w:rsidR="00833870">
        <w:rPr>
          <w:rFonts w:asciiTheme="minorHAnsi" w:eastAsia="Cambria" w:hAnsiTheme="minorHAnsi" w:cstheme="minorHAnsi"/>
          <w:color w:val="000000" w:themeColor="text1"/>
        </w:rPr>
        <w:t>5</w:t>
      </w:r>
      <w:r w:rsidR="00A50885">
        <w:rPr>
          <w:rFonts w:asciiTheme="minorHAnsi" w:eastAsia="Cambria" w:hAnsiTheme="minorHAnsi" w:cstheme="minorHAnsi"/>
          <w:color w:val="000000" w:themeColor="text1"/>
        </w:rPr>
        <w:fldChar w:fldCharType="end"/>
      </w:r>
      <w:r w:rsidR="00A50885">
        <w:rPr>
          <w:rFonts w:asciiTheme="minorHAnsi" w:eastAsia="Cambria" w:hAnsiTheme="minorHAnsi" w:cstheme="minorHAnsi"/>
          <w:color w:val="000000" w:themeColor="text1"/>
        </w:rPr>
        <w:t>)</w:t>
      </w:r>
      <w:r w:rsidR="5592521F" w:rsidRPr="00B43E5B">
        <w:rPr>
          <w:rFonts w:asciiTheme="minorHAnsi" w:eastAsia="Cambria" w:hAnsiTheme="minorHAnsi" w:cstheme="minorHAnsi"/>
          <w:color w:val="000000" w:themeColor="text1"/>
        </w:rPr>
        <w:t xml:space="preserve">. Ukazuje se, </w:t>
      </w:r>
      <w:r w:rsidR="5592521F" w:rsidRPr="00B43E5B">
        <w:rPr>
          <w:rFonts w:asciiTheme="minorHAnsi" w:eastAsia="Segoe UI" w:hAnsiTheme="minorHAnsi" w:cstheme="minorHAnsi"/>
          <w:color w:val="000000" w:themeColor="text1"/>
        </w:rPr>
        <w:t xml:space="preserve">že </w:t>
      </w:r>
      <w:r w:rsidR="5592521F" w:rsidRPr="00B43E5B">
        <w:rPr>
          <w:rFonts w:asciiTheme="minorHAnsi" w:eastAsia="Segoe UI" w:hAnsiTheme="minorHAnsi" w:cstheme="minorHAnsi"/>
          <w:color w:val="000000" w:themeColor="text1"/>
        </w:rPr>
        <w:lastRenderedPageBreak/>
        <w:t>zájem</w:t>
      </w:r>
      <w:r w:rsidR="009B66B5">
        <w:rPr>
          <w:rFonts w:asciiTheme="minorHAnsi" w:eastAsia="Segoe UI" w:hAnsiTheme="minorHAnsi" w:cstheme="minorHAnsi"/>
          <w:color w:val="000000" w:themeColor="text1"/>
        </w:rPr>
        <w:t xml:space="preserve"> o </w:t>
      </w:r>
      <w:r w:rsidR="5592521F" w:rsidRPr="00B43E5B">
        <w:rPr>
          <w:rFonts w:asciiTheme="minorHAnsi" w:eastAsia="Segoe UI" w:hAnsiTheme="minorHAnsi" w:cstheme="minorHAnsi"/>
          <w:color w:val="000000" w:themeColor="text1"/>
        </w:rPr>
        <w:t>tento typ projektů roste</w:t>
      </w:r>
      <w:r w:rsidR="009B66B5">
        <w:rPr>
          <w:rFonts w:asciiTheme="minorHAnsi" w:eastAsia="Cambria" w:hAnsiTheme="minorHAnsi" w:cstheme="minorHAnsi"/>
          <w:color w:val="000000" w:themeColor="text1"/>
        </w:rPr>
        <w:t xml:space="preserve"> a </w:t>
      </w:r>
      <w:r w:rsidR="5592521F" w:rsidRPr="00B43E5B">
        <w:rPr>
          <w:rFonts w:asciiTheme="minorHAnsi" w:eastAsia="Cambria" w:hAnsiTheme="minorHAnsi" w:cstheme="minorHAnsi"/>
          <w:color w:val="000000" w:themeColor="text1"/>
        </w:rPr>
        <w:t>formát výzev ERA-NET Cofund přitáhl velmi rychle zájem českých žadatelů</w:t>
      </w:r>
      <w:r w:rsidR="009B66B5">
        <w:rPr>
          <w:rFonts w:asciiTheme="minorHAnsi" w:eastAsia="Cambria" w:hAnsiTheme="minorHAnsi" w:cstheme="minorHAnsi"/>
          <w:color w:val="000000" w:themeColor="text1"/>
        </w:rPr>
        <w:t xml:space="preserve"> o </w:t>
      </w:r>
      <w:r w:rsidR="5592521F" w:rsidRPr="00B43E5B">
        <w:rPr>
          <w:rFonts w:asciiTheme="minorHAnsi" w:eastAsia="Cambria" w:hAnsiTheme="minorHAnsi" w:cstheme="minorHAnsi"/>
          <w:color w:val="000000" w:themeColor="text1"/>
        </w:rPr>
        <w:t>tento typ menších</w:t>
      </w:r>
      <w:r w:rsidR="009B66B5">
        <w:rPr>
          <w:rFonts w:asciiTheme="minorHAnsi" w:eastAsia="Cambria" w:hAnsiTheme="minorHAnsi" w:cstheme="minorHAnsi"/>
          <w:color w:val="000000" w:themeColor="text1"/>
        </w:rPr>
        <w:t xml:space="preserve"> a </w:t>
      </w:r>
      <w:r w:rsidR="007C0318">
        <w:rPr>
          <w:rFonts w:asciiTheme="minorHAnsi" w:eastAsia="Cambria" w:hAnsiTheme="minorHAnsi" w:cstheme="minorHAnsi"/>
          <w:color w:val="000000" w:themeColor="text1"/>
        </w:rPr>
        <w:t xml:space="preserve">tematicky </w:t>
      </w:r>
      <w:r w:rsidR="00662747">
        <w:rPr>
          <w:rFonts w:asciiTheme="minorHAnsi" w:eastAsia="Cambria" w:hAnsiTheme="minorHAnsi" w:cstheme="minorHAnsi"/>
          <w:color w:val="000000" w:themeColor="text1"/>
        </w:rPr>
        <w:t xml:space="preserve">volněji definovaných </w:t>
      </w:r>
      <w:r w:rsidR="5592521F" w:rsidRPr="00B43E5B">
        <w:rPr>
          <w:rFonts w:asciiTheme="minorHAnsi" w:eastAsia="Cambria" w:hAnsiTheme="minorHAnsi" w:cstheme="minorHAnsi"/>
          <w:color w:val="000000" w:themeColor="text1"/>
        </w:rPr>
        <w:t>projektů. Z</w:t>
      </w:r>
      <w:r w:rsidR="009B66B5">
        <w:rPr>
          <w:rFonts w:asciiTheme="minorHAnsi" w:eastAsia="Cambria" w:hAnsiTheme="minorHAnsi" w:cstheme="minorHAnsi"/>
          <w:color w:val="000000" w:themeColor="text1"/>
        </w:rPr>
        <w:t> </w:t>
      </w:r>
      <w:r w:rsidR="5592521F" w:rsidRPr="00B43E5B">
        <w:rPr>
          <w:rFonts w:asciiTheme="minorHAnsi" w:eastAsia="Cambria" w:hAnsiTheme="minorHAnsi" w:cstheme="minorHAnsi"/>
          <w:color w:val="000000" w:themeColor="text1"/>
        </w:rPr>
        <w:t>hlediska úspěšnosti projektových návrhů mají výzvy ERA-NET Cofund pro české účastníky výrazně lepší výsledky než výzvy H</w:t>
      </w:r>
      <w:r w:rsidR="00A04D7D">
        <w:rPr>
          <w:rFonts w:asciiTheme="minorHAnsi" w:eastAsia="Cambria" w:hAnsiTheme="minorHAnsi" w:cstheme="minorHAnsi"/>
          <w:color w:val="000000" w:themeColor="text1"/>
        </w:rPr>
        <w:t xml:space="preserve">orizontu </w:t>
      </w:r>
      <w:r w:rsidR="5592521F" w:rsidRPr="00B43E5B">
        <w:rPr>
          <w:rFonts w:asciiTheme="minorHAnsi" w:eastAsia="Cambria" w:hAnsiTheme="minorHAnsi" w:cstheme="minorHAnsi"/>
          <w:color w:val="000000" w:themeColor="text1"/>
        </w:rPr>
        <w:t>2020,</w:t>
      </w:r>
      <w:r w:rsidR="009B66B5">
        <w:rPr>
          <w:rFonts w:asciiTheme="minorHAnsi" w:eastAsia="Cambria" w:hAnsiTheme="minorHAnsi" w:cstheme="minorHAnsi"/>
          <w:color w:val="000000" w:themeColor="text1"/>
        </w:rPr>
        <w:t xml:space="preserve"> a </w:t>
      </w:r>
      <w:r w:rsidR="5592521F" w:rsidRPr="00B43E5B">
        <w:rPr>
          <w:rFonts w:asciiTheme="minorHAnsi" w:eastAsia="Cambria" w:hAnsiTheme="minorHAnsi" w:cstheme="minorHAnsi"/>
          <w:color w:val="000000" w:themeColor="text1"/>
        </w:rPr>
        <w:t>to jak</w:t>
      </w:r>
      <w:r w:rsidR="009B66B5">
        <w:rPr>
          <w:rFonts w:asciiTheme="minorHAnsi" w:eastAsia="Cambria" w:hAnsiTheme="minorHAnsi" w:cstheme="minorHAnsi"/>
          <w:color w:val="000000" w:themeColor="text1"/>
        </w:rPr>
        <w:t xml:space="preserve"> v </w:t>
      </w:r>
      <w:r w:rsidR="5592521F" w:rsidRPr="00B43E5B">
        <w:rPr>
          <w:rFonts w:asciiTheme="minorHAnsi" w:eastAsia="Cambria" w:hAnsiTheme="minorHAnsi" w:cstheme="minorHAnsi"/>
          <w:color w:val="000000" w:themeColor="text1"/>
        </w:rPr>
        <w:t>podílu počtu projektových návrhů</w:t>
      </w:r>
      <w:r w:rsidR="009B66B5">
        <w:rPr>
          <w:rFonts w:asciiTheme="minorHAnsi" w:eastAsia="Cambria" w:hAnsiTheme="minorHAnsi" w:cstheme="minorHAnsi"/>
          <w:color w:val="000000" w:themeColor="text1"/>
        </w:rPr>
        <w:t xml:space="preserve"> s </w:t>
      </w:r>
      <w:r w:rsidR="5592521F" w:rsidRPr="00B43E5B">
        <w:rPr>
          <w:rFonts w:asciiTheme="minorHAnsi" w:eastAsia="Cambria" w:hAnsiTheme="minorHAnsi" w:cstheme="minorHAnsi"/>
          <w:color w:val="000000" w:themeColor="text1"/>
        </w:rPr>
        <w:t>českou účastí na celkovém počtu podaných návrhů, tak</w:t>
      </w:r>
      <w:r w:rsidR="009B66B5">
        <w:rPr>
          <w:rFonts w:asciiTheme="minorHAnsi" w:eastAsia="Cambria" w:hAnsiTheme="minorHAnsi" w:cstheme="minorHAnsi"/>
          <w:color w:val="000000" w:themeColor="text1"/>
        </w:rPr>
        <w:t xml:space="preserve"> v </w:t>
      </w:r>
      <w:r w:rsidR="5592521F" w:rsidRPr="00B43E5B">
        <w:rPr>
          <w:rFonts w:asciiTheme="minorHAnsi" w:eastAsia="Cambria" w:hAnsiTheme="minorHAnsi" w:cstheme="minorHAnsi"/>
          <w:color w:val="000000" w:themeColor="text1"/>
        </w:rPr>
        <w:t>počtu financovaných projektů. Rovněž finanční podíl českých účastníků na celkovém rozpočtu financovaných projektů je příznivější než</w:t>
      </w:r>
      <w:r w:rsidR="009B66B5">
        <w:rPr>
          <w:rFonts w:asciiTheme="minorHAnsi" w:eastAsia="Cambria" w:hAnsiTheme="minorHAnsi" w:cstheme="minorHAnsi"/>
          <w:color w:val="000000" w:themeColor="text1"/>
        </w:rPr>
        <w:t xml:space="preserve"> v </w:t>
      </w:r>
      <w:r w:rsidR="5592521F" w:rsidRPr="00B43E5B">
        <w:rPr>
          <w:rFonts w:asciiTheme="minorHAnsi" w:eastAsia="Cambria" w:hAnsiTheme="minorHAnsi" w:cstheme="minorHAnsi"/>
          <w:color w:val="000000" w:themeColor="text1"/>
        </w:rPr>
        <w:t>projektech H</w:t>
      </w:r>
      <w:r w:rsidR="00A04D7D">
        <w:rPr>
          <w:rFonts w:asciiTheme="minorHAnsi" w:eastAsia="Cambria" w:hAnsiTheme="minorHAnsi" w:cstheme="minorHAnsi"/>
          <w:color w:val="000000" w:themeColor="text1"/>
        </w:rPr>
        <w:t xml:space="preserve">orizontu </w:t>
      </w:r>
      <w:r w:rsidR="5592521F" w:rsidRPr="00B43E5B">
        <w:rPr>
          <w:rFonts w:asciiTheme="minorHAnsi" w:eastAsia="Cambria" w:hAnsiTheme="minorHAnsi" w:cstheme="minorHAnsi"/>
          <w:color w:val="000000" w:themeColor="text1"/>
        </w:rPr>
        <w:t>2020 [</w:t>
      </w:r>
      <w:r w:rsidR="001842C5">
        <w:rPr>
          <w:rFonts w:asciiTheme="minorHAnsi" w:eastAsia="Cambria" w:hAnsiTheme="minorHAnsi" w:cstheme="minorHAnsi"/>
          <w:color w:val="000000" w:themeColor="text1"/>
        </w:rPr>
        <w:t>1</w:t>
      </w:r>
      <w:r w:rsidR="00317719">
        <w:rPr>
          <w:rFonts w:asciiTheme="minorHAnsi" w:eastAsia="Cambria" w:hAnsiTheme="minorHAnsi" w:cstheme="minorHAnsi"/>
          <w:color w:val="000000" w:themeColor="text1"/>
        </w:rPr>
        <w:t>2</w:t>
      </w:r>
      <w:r w:rsidR="5592521F" w:rsidRPr="00B43E5B">
        <w:rPr>
          <w:rFonts w:asciiTheme="minorHAnsi" w:eastAsia="Cambria" w:hAnsiTheme="minorHAnsi" w:cstheme="minorHAnsi"/>
          <w:color w:val="000000" w:themeColor="text1"/>
        </w:rPr>
        <w:t xml:space="preserve">]. </w:t>
      </w:r>
      <w:r w:rsidR="004343CD">
        <w:rPr>
          <w:rFonts w:asciiTheme="minorHAnsi" w:eastAsia="Cambria" w:hAnsiTheme="minorHAnsi" w:cstheme="minorHAnsi"/>
          <w:color w:val="000000" w:themeColor="text1"/>
        </w:rPr>
        <w:t xml:space="preserve">Z dostupných </w:t>
      </w:r>
      <w:r w:rsidR="003D2213">
        <w:rPr>
          <w:rFonts w:asciiTheme="minorHAnsi" w:eastAsia="Cambria" w:hAnsiTheme="minorHAnsi" w:cstheme="minorHAnsi"/>
          <w:color w:val="000000" w:themeColor="text1"/>
        </w:rPr>
        <w:t xml:space="preserve">údajů vyplývá, že </w:t>
      </w:r>
      <w:r w:rsidR="0015543E" w:rsidRPr="00ED05C2">
        <w:rPr>
          <w:rFonts w:asciiTheme="minorHAnsi" w:eastAsia="Cambria" w:hAnsiTheme="minorHAnsi" w:cstheme="minorHAnsi"/>
          <w:b/>
          <w:bCs/>
          <w:color w:val="000000" w:themeColor="text1"/>
        </w:rPr>
        <w:t xml:space="preserve">celková evropská </w:t>
      </w:r>
      <w:r w:rsidR="003D2213" w:rsidRPr="00ED05C2">
        <w:rPr>
          <w:rFonts w:asciiTheme="minorHAnsi" w:eastAsia="Cambria" w:hAnsiTheme="minorHAnsi" w:cstheme="minorHAnsi"/>
          <w:b/>
          <w:bCs/>
          <w:color w:val="000000" w:themeColor="text1"/>
        </w:rPr>
        <w:t>úspěšnost</w:t>
      </w:r>
      <w:r w:rsidR="009B66B5">
        <w:rPr>
          <w:rFonts w:asciiTheme="minorHAnsi" w:eastAsia="Cambria" w:hAnsiTheme="minorHAnsi" w:cstheme="minorHAnsi"/>
          <w:b/>
          <w:bCs/>
          <w:color w:val="000000" w:themeColor="text1"/>
        </w:rPr>
        <w:t xml:space="preserve"> v </w:t>
      </w:r>
      <w:r w:rsidR="0015543E" w:rsidRPr="00ED05C2">
        <w:rPr>
          <w:rFonts w:asciiTheme="minorHAnsi" w:eastAsia="Cambria" w:hAnsiTheme="minorHAnsi" w:cstheme="minorHAnsi"/>
          <w:b/>
          <w:bCs/>
          <w:color w:val="000000" w:themeColor="text1"/>
        </w:rPr>
        <w:t>nástrojích ERA</w:t>
      </w:r>
      <w:r w:rsidR="00A84F59" w:rsidRPr="00ED05C2">
        <w:rPr>
          <w:rFonts w:asciiTheme="minorHAnsi" w:eastAsia="Cambria" w:hAnsiTheme="minorHAnsi" w:cstheme="minorHAnsi"/>
          <w:b/>
          <w:bCs/>
          <w:color w:val="000000" w:themeColor="text1"/>
        </w:rPr>
        <w:t>-NET Cofund je vyšší než ve standardních výzvách H</w:t>
      </w:r>
      <w:r w:rsidR="00A04D7D">
        <w:rPr>
          <w:rFonts w:asciiTheme="minorHAnsi" w:eastAsia="Cambria" w:hAnsiTheme="minorHAnsi" w:cstheme="minorHAnsi"/>
          <w:b/>
          <w:bCs/>
          <w:color w:val="000000" w:themeColor="text1"/>
        </w:rPr>
        <w:t xml:space="preserve">orizontu </w:t>
      </w:r>
      <w:r w:rsidR="00A84F59" w:rsidRPr="00ED05C2">
        <w:rPr>
          <w:rFonts w:asciiTheme="minorHAnsi" w:eastAsia="Cambria" w:hAnsiTheme="minorHAnsi" w:cstheme="minorHAnsi"/>
          <w:b/>
          <w:bCs/>
          <w:color w:val="000000" w:themeColor="text1"/>
        </w:rPr>
        <w:t>2020.</w:t>
      </w:r>
    </w:p>
    <w:p w14:paraId="09CA6081" w14:textId="77777777" w:rsidR="00F9717D" w:rsidRPr="00B43E5B" w:rsidRDefault="003C7822" w:rsidP="00DF7764">
      <w:pPr>
        <w:pStyle w:val="Nadpis2"/>
        <w:rPr>
          <w:rFonts w:eastAsia="Cambria"/>
        </w:rPr>
      </w:pPr>
      <w:bookmarkStart w:id="10" w:name="_Toc114572310"/>
      <w:r>
        <w:rPr>
          <w:rFonts w:eastAsia="Cambria"/>
        </w:rPr>
        <w:t>Vliv s</w:t>
      </w:r>
      <w:r w:rsidR="5592521F" w:rsidRPr="00B43E5B">
        <w:rPr>
          <w:rFonts w:eastAsia="Cambria"/>
        </w:rPr>
        <w:t>polupráce</w:t>
      </w:r>
      <w:r w:rsidR="009B66B5">
        <w:rPr>
          <w:rFonts w:eastAsia="Cambria"/>
        </w:rPr>
        <w:t xml:space="preserve"> s </w:t>
      </w:r>
      <w:r w:rsidR="5592521F" w:rsidRPr="00B43E5B">
        <w:rPr>
          <w:rFonts w:eastAsia="Cambria"/>
        </w:rPr>
        <w:t xml:space="preserve">TOP institucemi </w:t>
      </w:r>
      <w:r>
        <w:rPr>
          <w:rFonts w:eastAsia="Cambria"/>
        </w:rPr>
        <w:t>na</w:t>
      </w:r>
      <w:r w:rsidR="5592521F" w:rsidRPr="00B43E5B">
        <w:rPr>
          <w:rFonts w:eastAsia="Cambria"/>
        </w:rPr>
        <w:t xml:space="preserve"> úspěšnost</w:t>
      </w:r>
      <w:r w:rsidR="009B66B5">
        <w:rPr>
          <w:rFonts w:eastAsia="Cambria"/>
        </w:rPr>
        <w:t xml:space="preserve"> a </w:t>
      </w:r>
      <w:r w:rsidR="5592521F" w:rsidRPr="00B43E5B">
        <w:rPr>
          <w:rFonts w:eastAsia="Cambria"/>
        </w:rPr>
        <w:t>účasti</w:t>
      </w:r>
      <w:r w:rsidR="009B66B5">
        <w:rPr>
          <w:rFonts w:eastAsia="Cambria"/>
        </w:rPr>
        <w:t xml:space="preserve"> v </w:t>
      </w:r>
      <w:r w:rsidR="5592521F" w:rsidRPr="00B43E5B">
        <w:rPr>
          <w:rFonts w:eastAsia="Cambria"/>
        </w:rPr>
        <w:t>RP</w:t>
      </w:r>
      <w:bookmarkEnd w:id="10"/>
    </w:p>
    <w:p w14:paraId="33E4EBC9" w14:textId="77777777" w:rsidR="00F9717D" w:rsidRPr="00B43E5B" w:rsidRDefault="5592521F" w:rsidP="5592521F">
      <w:pPr>
        <w:spacing w:after="160" w:line="259" w:lineRule="auto"/>
        <w:rPr>
          <w:rFonts w:asciiTheme="minorHAnsi" w:eastAsia="Cambria" w:hAnsiTheme="minorHAnsi" w:cstheme="minorHAnsi"/>
          <w:color w:val="000000" w:themeColor="text1"/>
        </w:rPr>
      </w:pPr>
      <w:r w:rsidRPr="00B43E5B">
        <w:rPr>
          <w:rFonts w:asciiTheme="minorHAnsi" w:eastAsia="Cambria" w:hAnsiTheme="minorHAnsi" w:cstheme="minorHAnsi"/>
          <w:color w:val="000000" w:themeColor="text1"/>
        </w:rPr>
        <w:t>RP jsou</w:t>
      </w:r>
      <w:r w:rsidR="009B66B5">
        <w:rPr>
          <w:rFonts w:asciiTheme="minorHAnsi" w:eastAsia="Cambria" w:hAnsiTheme="minorHAnsi" w:cstheme="minorHAnsi"/>
          <w:color w:val="000000" w:themeColor="text1"/>
        </w:rPr>
        <w:t xml:space="preserve"> z </w:t>
      </w:r>
      <w:r w:rsidRPr="00B43E5B">
        <w:rPr>
          <w:rFonts w:asciiTheme="minorHAnsi" w:eastAsia="Cambria" w:hAnsiTheme="minorHAnsi" w:cstheme="minorHAnsi"/>
          <w:color w:val="000000" w:themeColor="text1"/>
        </w:rPr>
        <w:t>velké části realizovány</w:t>
      </w:r>
      <w:r w:rsidR="0089568C">
        <w:rPr>
          <w:rFonts w:asciiTheme="minorHAnsi" w:eastAsia="Cambria" w:hAnsiTheme="minorHAnsi" w:cstheme="minorHAnsi"/>
          <w:color w:val="000000" w:themeColor="text1"/>
        </w:rPr>
        <w:t xml:space="preserve"> prostřednictvím projektů, které</w:t>
      </w:r>
      <w:r w:rsidRPr="00B43E5B">
        <w:rPr>
          <w:rFonts w:asciiTheme="minorHAnsi" w:eastAsia="Cambria" w:hAnsiTheme="minorHAnsi" w:cstheme="minorHAnsi"/>
          <w:color w:val="000000" w:themeColor="text1"/>
        </w:rPr>
        <w:t xml:space="preserve"> </w:t>
      </w:r>
      <w:r w:rsidRPr="00B43E5B">
        <w:rPr>
          <w:rFonts w:asciiTheme="minorHAnsi" w:eastAsia="Segoe UI" w:hAnsiTheme="minorHAnsi" w:cstheme="minorHAnsi"/>
          <w:color w:val="000000" w:themeColor="text1"/>
        </w:rPr>
        <w:t>řeší</w:t>
      </w:r>
      <w:r w:rsidRPr="00B43E5B">
        <w:rPr>
          <w:rFonts w:asciiTheme="minorHAnsi" w:eastAsia="Cambria" w:hAnsiTheme="minorHAnsi" w:cstheme="minorHAnsi"/>
          <w:color w:val="000000" w:themeColor="text1"/>
        </w:rPr>
        <w:t xml:space="preserve"> mezinárodní konsorcia složená</w:t>
      </w:r>
      <w:r w:rsidR="009B66B5">
        <w:rPr>
          <w:rFonts w:asciiTheme="minorHAnsi" w:eastAsia="Cambria" w:hAnsiTheme="minorHAnsi" w:cstheme="minorHAnsi"/>
          <w:color w:val="000000" w:themeColor="text1"/>
        </w:rPr>
        <w:t xml:space="preserve"> z </w:t>
      </w:r>
      <w:r w:rsidRPr="00B43E5B">
        <w:rPr>
          <w:rFonts w:asciiTheme="minorHAnsi" w:eastAsia="Cambria" w:hAnsiTheme="minorHAnsi" w:cstheme="minorHAnsi"/>
          <w:color w:val="000000" w:themeColor="text1"/>
        </w:rPr>
        <w:t>výzkumných</w:t>
      </w:r>
      <w:r w:rsidR="009B66B5">
        <w:rPr>
          <w:rFonts w:asciiTheme="minorHAnsi" w:eastAsia="Cambria" w:hAnsiTheme="minorHAnsi" w:cstheme="minorHAnsi"/>
          <w:color w:val="000000" w:themeColor="text1"/>
        </w:rPr>
        <w:t xml:space="preserve"> a </w:t>
      </w:r>
      <w:r w:rsidR="00A04D7D">
        <w:rPr>
          <w:rFonts w:asciiTheme="minorHAnsi" w:eastAsia="Cambria" w:hAnsiTheme="minorHAnsi" w:cstheme="minorHAnsi"/>
          <w:color w:val="000000" w:themeColor="text1"/>
        </w:rPr>
        <w:t xml:space="preserve">inovačních </w:t>
      </w:r>
      <w:r w:rsidRPr="00B43E5B">
        <w:rPr>
          <w:rFonts w:asciiTheme="minorHAnsi" w:eastAsia="Cambria" w:hAnsiTheme="minorHAnsi" w:cstheme="minorHAnsi"/>
          <w:color w:val="000000" w:themeColor="text1"/>
        </w:rPr>
        <w:t>týmů mnoha institucí</w:t>
      </w:r>
      <w:r w:rsidR="009B66B5">
        <w:rPr>
          <w:rFonts w:asciiTheme="minorHAnsi" w:eastAsia="Cambria" w:hAnsiTheme="minorHAnsi" w:cstheme="minorHAnsi"/>
          <w:color w:val="000000" w:themeColor="text1"/>
        </w:rPr>
        <w:t xml:space="preserve"> z </w:t>
      </w:r>
      <w:r w:rsidRPr="00B43E5B">
        <w:rPr>
          <w:rFonts w:asciiTheme="minorHAnsi" w:eastAsia="Cambria" w:hAnsiTheme="minorHAnsi" w:cstheme="minorHAnsi"/>
          <w:color w:val="000000" w:themeColor="text1"/>
        </w:rPr>
        <w:t>řady zemí. O úspěchu návrhu projektu rozhoduje velkým dílem kvalita konsorcia,</w:t>
      </w:r>
      <w:r w:rsidR="0089568C">
        <w:rPr>
          <w:rFonts w:asciiTheme="minorHAnsi" w:eastAsia="Cambria" w:hAnsiTheme="minorHAnsi" w:cstheme="minorHAnsi"/>
          <w:color w:val="000000" w:themeColor="text1"/>
        </w:rPr>
        <w:t xml:space="preserve"> které návrh vypracovalo. </w:t>
      </w:r>
      <w:r w:rsidRPr="00B43E5B">
        <w:rPr>
          <w:rFonts w:asciiTheme="minorHAnsi" w:eastAsia="Cambria" w:hAnsiTheme="minorHAnsi" w:cstheme="minorHAnsi"/>
          <w:color w:val="000000" w:themeColor="text1"/>
        </w:rPr>
        <w:t xml:space="preserve">RP si </w:t>
      </w:r>
      <w:r w:rsidR="00BA166F">
        <w:rPr>
          <w:rFonts w:asciiTheme="minorHAnsi" w:eastAsia="Cambria" w:hAnsiTheme="minorHAnsi" w:cstheme="minorHAnsi"/>
          <w:color w:val="000000" w:themeColor="text1"/>
        </w:rPr>
        <w:t xml:space="preserve">zároveň </w:t>
      </w:r>
      <w:r w:rsidRPr="00B43E5B">
        <w:rPr>
          <w:rFonts w:asciiTheme="minorHAnsi" w:eastAsia="Cambria" w:hAnsiTheme="minorHAnsi" w:cstheme="minorHAnsi"/>
          <w:color w:val="000000" w:themeColor="text1"/>
        </w:rPr>
        <w:t>kladou za cíl „řešit velké výzvy“</w:t>
      </w:r>
      <w:r w:rsidR="00C53505">
        <w:rPr>
          <w:rFonts w:asciiTheme="minorHAnsi" w:eastAsia="Cambria" w:hAnsiTheme="minorHAnsi" w:cstheme="minorHAnsi"/>
          <w:color w:val="000000" w:themeColor="text1"/>
        </w:rPr>
        <w:t>,</w:t>
      </w:r>
      <w:r w:rsidRPr="00B43E5B">
        <w:rPr>
          <w:rFonts w:asciiTheme="minorHAnsi" w:eastAsia="Cambria" w:hAnsiTheme="minorHAnsi" w:cstheme="minorHAnsi"/>
          <w:color w:val="000000" w:themeColor="text1"/>
        </w:rPr>
        <w:t xml:space="preserve"> </w:t>
      </w:r>
      <w:r w:rsidR="0089568C">
        <w:rPr>
          <w:rFonts w:asciiTheme="minorHAnsi" w:eastAsia="Cambria" w:hAnsiTheme="minorHAnsi" w:cstheme="minorHAnsi"/>
          <w:color w:val="000000" w:themeColor="text1"/>
        </w:rPr>
        <w:t>což</w:t>
      </w:r>
      <w:r w:rsidR="009B66B5">
        <w:rPr>
          <w:rFonts w:asciiTheme="minorHAnsi" w:eastAsia="Cambria" w:hAnsiTheme="minorHAnsi" w:cstheme="minorHAnsi"/>
          <w:color w:val="000000" w:themeColor="text1"/>
        </w:rPr>
        <w:t xml:space="preserve"> v </w:t>
      </w:r>
      <w:r w:rsidRPr="00B43E5B">
        <w:rPr>
          <w:rFonts w:asciiTheme="minorHAnsi" w:eastAsia="Cambria" w:hAnsiTheme="minorHAnsi" w:cstheme="minorHAnsi"/>
          <w:color w:val="000000" w:themeColor="text1"/>
        </w:rPr>
        <w:t>praxi znamená posílení „důrazu na spolupráci</w:t>
      </w:r>
      <w:r w:rsidR="009B66B5">
        <w:rPr>
          <w:rFonts w:asciiTheme="minorHAnsi" w:eastAsia="Cambria" w:hAnsiTheme="minorHAnsi" w:cstheme="minorHAnsi"/>
          <w:color w:val="000000" w:themeColor="text1"/>
        </w:rPr>
        <w:t xml:space="preserve"> s </w:t>
      </w:r>
      <w:r w:rsidRPr="00B43E5B">
        <w:rPr>
          <w:rFonts w:asciiTheme="minorHAnsi" w:eastAsia="Cambria" w:hAnsiTheme="minorHAnsi" w:cstheme="minorHAnsi"/>
          <w:color w:val="000000" w:themeColor="text1"/>
        </w:rPr>
        <w:t>excelentními institucemi“</w:t>
      </w:r>
      <w:r w:rsidRPr="00B43E5B">
        <w:rPr>
          <w:rFonts w:asciiTheme="minorHAnsi" w:hAnsiTheme="minorHAnsi" w:cstheme="minorHAnsi"/>
          <w:color w:val="000000" w:themeColor="text1"/>
        </w:rPr>
        <w:t xml:space="preserve"> [</w:t>
      </w:r>
      <w:r w:rsidR="001842C5">
        <w:rPr>
          <w:rFonts w:asciiTheme="minorHAnsi" w:eastAsia="Cambria" w:hAnsiTheme="minorHAnsi" w:cstheme="minorHAnsi"/>
          <w:color w:val="000000" w:themeColor="text1"/>
        </w:rPr>
        <w:t>1</w:t>
      </w:r>
      <w:r w:rsidR="00317719">
        <w:rPr>
          <w:rFonts w:asciiTheme="minorHAnsi" w:eastAsia="Cambria" w:hAnsiTheme="minorHAnsi" w:cstheme="minorHAnsi"/>
          <w:color w:val="000000" w:themeColor="text1"/>
        </w:rPr>
        <w:t>3</w:t>
      </w:r>
      <w:r w:rsidRPr="00B43E5B">
        <w:rPr>
          <w:rFonts w:asciiTheme="minorHAnsi" w:eastAsia="Cambria" w:hAnsiTheme="minorHAnsi" w:cstheme="minorHAnsi"/>
          <w:color w:val="000000" w:themeColor="text1"/>
        </w:rPr>
        <w:t>].</w:t>
      </w:r>
    </w:p>
    <w:p w14:paraId="70365D53" w14:textId="77777777" w:rsidR="00F9717D" w:rsidRPr="00B43E5B" w:rsidRDefault="002D7AEF" w:rsidP="5592521F">
      <w:pPr>
        <w:spacing w:after="160" w:line="259" w:lineRule="auto"/>
        <w:rPr>
          <w:rFonts w:asciiTheme="minorHAnsi" w:eastAsia="Cambria" w:hAnsiTheme="minorHAnsi" w:cstheme="minorHAnsi"/>
          <w:color w:val="000000" w:themeColor="text1"/>
        </w:rPr>
      </w:pPr>
      <w:r>
        <w:rPr>
          <w:rFonts w:asciiTheme="minorHAnsi" w:eastAsia="Cambria" w:hAnsiTheme="minorHAnsi" w:cstheme="minorHAnsi"/>
          <w:b/>
          <w:bCs/>
          <w:color w:val="000000" w:themeColor="text1"/>
        </w:rPr>
        <w:t xml:space="preserve">Technologické centrum </w:t>
      </w:r>
      <w:r w:rsidR="5592521F" w:rsidRPr="00FB2E51">
        <w:rPr>
          <w:rFonts w:asciiTheme="minorHAnsi" w:eastAsia="Cambria" w:hAnsiTheme="minorHAnsi" w:cstheme="minorHAnsi"/>
          <w:b/>
          <w:bCs/>
          <w:color w:val="000000" w:themeColor="text1"/>
        </w:rPr>
        <w:t>AV ČR ve svých analýzách navrhlo jednoduchou míru excelence, která je aplikovatelná právě pro kooperativní výzkum,</w:t>
      </w:r>
      <w:r w:rsidR="009B66B5">
        <w:rPr>
          <w:rFonts w:asciiTheme="minorHAnsi" w:eastAsia="Cambria" w:hAnsiTheme="minorHAnsi" w:cstheme="minorHAnsi"/>
          <w:b/>
          <w:bCs/>
          <w:color w:val="000000" w:themeColor="text1"/>
        </w:rPr>
        <w:t xml:space="preserve"> a </w:t>
      </w:r>
      <w:r w:rsidR="5592521F" w:rsidRPr="00FB2E51">
        <w:rPr>
          <w:rFonts w:asciiTheme="minorHAnsi" w:eastAsia="Cambria" w:hAnsiTheme="minorHAnsi" w:cstheme="minorHAnsi"/>
          <w:b/>
          <w:bCs/>
          <w:color w:val="000000" w:themeColor="text1"/>
        </w:rPr>
        <w:t>proto se hovoří</w:t>
      </w:r>
      <w:r w:rsidR="009B66B5">
        <w:rPr>
          <w:rFonts w:asciiTheme="minorHAnsi" w:eastAsia="Cambria" w:hAnsiTheme="minorHAnsi" w:cstheme="minorHAnsi"/>
          <w:b/>
          <w:bCs/>
          <w:color w:val="000000" w:themeColor="text1"/>
        </w:rPr>
        <w:t xml:space="preserve"> o </w:t>
      </w:r>
      <w:r w:rsidR="5592521F" w:rsidRPr="00FB2E51">
        <w:rPr>
          <w:rFonts w:asciiTheme="minorHAnsi" w:eastAsia="Cambria" w:hAnsiTheme="minorHAnsi" w:cstheme="minorHAnsi"/>
          <w:b/>
          <w:bCs/>
          <w:color w:val="000000" w:themeColor="text1"/>
        </w:rPr>
        <w:t>kooperativní excelenci (</w:t>
      </w:r>
      <w:r w:rsidR="5592521F" w:rsidRPr="00FB2E51">
        <w:rPr>
          <w:rFonts w:asciiTheme="minorHAnsi" w:eastAsia="Cambria" w:hAnsiTheme="minorHAnsi" w:cstheme="minorHAnsi"/>
          <w:b/>
          <w:bCs/>
          <w:i/>
          <w:iCs/>
          <w:color w:val="000000" w:themeColor="text1"/>
        </w:rPr>
        <w:t>collaborative excelence</w:t>
      </w:r>
      <w:r w:rsidR="5592521F" w:rsidRPr="00FB2E51">
        <w:rPr>
          <w:rFonts w:asciiTheme="minorHAnsi" w:eastAsia="Cambria" w:hAnsiTheme="minorHAnsi" w:cstheme="minorHAnsi"/>
          <w:b/>
          <w:bCs/>
          <w:color w:val="000000" w:themeColor="text1"/>
        </w:rPr>
        <w:t xml:space="preserve">). </w:t>
      </w:r>
      <w:r w:rsidR="00970811">
        <w:rPr>
          <w:rFonts w:asciiTheme="minorHAnsi" w:eastAsia="Cambria" w:hAnsiTheme="minorHAnsi" w:cstheme="minorHAnsi"/>
          <w:b/>
          <w:bCs/>
          <w:color w:val="000000" w:themeColor="text1"/>
        </w:rPr>
        <w:t>K</w:t>
      </w:r>
      <w:r w:rsidR="5592521F" w:rsidRPr="00FB2E51">
        <w:rPr>
          <w:rFonts w:asciiTheme="minorHAnsi" w:eastAsia="Cambria" w:hAnsiTheme="minorHAnsi" w:cstheme="minorHAnsi"/>
          <w:b/>
          <w:bCs/>
          <w:color w:val="000000" w:themeColor="text1"/>
        </w:rPr>
        <w:t xml:space="preserve">ooperativní excelence kvantifikuje, nakolik se na spolupráci ve </w:t>
      </w:r>
      <w:r w:rsidR="00A04D7D">
        <w:rPr>
          <w:rFonts w:asciiTheme="minorHAnsi" w:eastAsia="Cambria" w:hAnsiTheme="minorHAnsi" w:cstheme="minorHAnsi"/>
          <w:b/>
          <w:bCs/>
          <w:color w:val="000000" w:themeColor="text1"/>
        </w:rPr>
        <w:t>VaVaI</w:t>
      </w:r>
      <w:r w:rsidR="00A04D7D" w:rsidRPr="00FB2E51">
        <w:rPr>
          <w:rFonts w:asciiTheme="minorHAnsi" w:eastAsia="Cambria" w:hAnsiTheme="minorHAnsi" w:cstheme="minorHAnsi"/>
          <w:b/>
          <w:bCs/>
          <w:color w:val="000000" w:themeColor="text1"/>
        </w:rPr>
        <w:t xml:space="preserve"> </w:t>
      </w:r>
      <w:r w:rsidR="5592521F" w:rsidRPr="00FB2E51">
        <w:rPr>
          <w:rFonts w:asciiTheme="minorHAnsi" w:eastAsia="Cambria" w:hAnsiTheme="minorHAnsi" w:cstheme="minorHAnsi"/>
          <w:b/>
          <w:bCs/>
          <w:color w:val="000000" w:themeColor="text1"/>
        </w:rPr>
        <w:t>podílejí týmy</w:t>
      </w:r>
      <w:r w:rsidR="009B66B5">
        <w:rPr>
          <w:rFonts w:asciiTheme="minorHAnsi" w:eastAsia="Cambria" w:hAnsiTheme="minorHAnsi" w:cstheme="minorHAnsi"/>
          <w:b/>
          <w:bCs/>
          <w:color w:val="000000" w:themeColor="text1"/>
        </w:rPr>
        <w:t xml:space="preserve"> z </w:t>
      </w:r>
      <w:r w:rsidR="5592521F" w:rsidRPr="00FB2E51">
        <w:rPr>
          <w:rFonts w:asciiTheme="minorHAnsi" w:eastAsia="Cambria" w:hAnsiTheme="minorHAnsi" w:cstheme="minorHAnsi"/>
          <w:b/>
          <w:bCs/>
          <w:color w:val="000000" w:themeColor="text1"/>
        </w:rPr>
        <w:t>excelentních evropských institucí – tzv. TOP institucí.</w:t>
      </w:r>
      <w:r w:rsidR="0089568C">
        <w:rPr>
          <w:rFonts w:asciiTheme="minorHAnsi" w:eastAsia="Cambria" w:hAnsiTheme="minorHAnsi" w:cstheme="minorHAnsi"/>
          <w:color w:val="000000" w:themeColor="text1"/>
        </w:rPr>
        <w:t xml:space="preserve"> </w:t>
      </w:r>
      <w:r w:rsidR="5592521F" w:rsidRPr="00B43E5B">
        <w:rPr>
          <w:rFonts w:asciiTheme="minorHAnsi" w:eastAsia="Cambria" w:hAnsiTheme="minorHAnsi" w:cstheme="minorHAnsi"/>
          <w:color w:val="000000" w:themeColor="text1"/>
        </w:rPr>
        <w:t>(</w:t>
      </w:r>
      <w:r w:rsidR="0089568C">
        <w:rPr>
          <w:rFonts w:asciiTheme="minorHAnsi" w:eastAsia="Cambria" w:hAnsiTheme="minorHAnsi" w:cstheme="minorHAnsi"/>
          <w:color w:val="000000" w:themeColor="text1"/>
        </w:rPr>
        <w:t>P</w:t>
      </w:r>
      <w:r w:rsidR="5592521F" w:rsidRPr="00B43E5B">
        <w:rPr>
          <w:rFonts w:asciiTheme="minorHAnsi" w:eastAsia="Cambria" w:hAnsiTheme="minorHAnsi" w:cstheme="minorHAnsi"/>
          <w:color w:val="000000" w:themeColor="text1"/>
        </w:rPr>
        <w:t>ozn.: TOP instituce jsou instituce</w:t>
      </w:r>
      <w:r w:rsidR="009B66B5">
        <w:rPr>
          <w:rFonts w:asciiTheme="minorHAnsi" w:eastAsia="Cambria" w:hAnsiTheme="minorHAnsi" w:cstheme="minorHAnsi"/>
          <w:color w:val="000000" w:themeColor="text1"/>
        </w:rPr>
        <w:t xml:space="preserve"> s </w:t>
      </w:r>
      <w:r w:rsidR="5592521F" w:rsidRPr="00B43E5B">
        <w:rPr>
          <w:rFonts w:asciiTheme="minorHAnsi" w:eastAsia="Cambria" w:hAnsiTheme="minorHAnsi" w:cstheme="minorHAnsi"/>
          <w:color w:val="000000" w:themeColor="text1"/>
        </w:rPr>
        <w:t>dominantní účastí</w:t>
      </w:r>
      <w:r w:rsidR="009B66B5">
        <w:rPr>
          <w:rFonts w:asciiTheme="minorHAnsi" w:eastAsia="Cambria" w:hAnsiTheme="minorHAnsi" w:cstheme="minorHAnsi"/>
          <w:color w:val="000000" w:themeColor="text1"/>
        </w:rPr>
        <w:t xml:space="preserve"> v </w:t>
      </w:r>
      <w:r w:rsidR="5592521F" w:rsidRPr="00B43E5B">
        <w:rPr>
          <w:rFonts w:asciiTheme="minorHAnsi" w:eastAsia="Cambria" w:hAnsiTheme="minorHAnsi" w:cstheme="minorHAnsi"/>
          <w:color w:val="000000" w:themeColor="text1"/>
        </w:rPr>
        <w:t xml:space="preserve">RP </w:t>
      </w:r>
      <w:r w:rsidR="00A04D7D">
        <w:rPr>
          <w:rFonts w:asciiTheme="minorHAnsi" w:eastAsia="Cambria" w:hAnsiTheme="minorHAnsi" w:cstheme="minorHAnsi"/>
          <w:color w:val="000000" w:themeColor="text1"/>
        </w:rPr>
        <w:t>po</w:t>
      </w:r>
      <w:r w:rsidR="5592521F" w:rsidRPr="00B43E5B">
        <w:rPr>
          <w:rFonts w:asciiTheme="minorHAnsi" w:eastAsia="Cambria" w:hAnsiTheme="minorHAnsi" w:cstheme="minorHAnsi"/>
          <w:color w:val="000000" w:themeColor="text1"/>
        </w:rPr>
        <w:t>dle stanoveného kritéria – blíže jednotlivé analýzy</w:t>
      </w:r>
      <w:r w:rsidR="0089568C">
        <w:rPr>
          <w:rFonts w:asciiTheme="minorHAnsi" w:eastAsia="Cambria" w:hAnsiTheme="minorHAnsi" w:cstheme="minorHAnsi"/>
          <w:color w:val="000000" w:themeColor="text1"/>
        </w:rPr>
        <w:t>.</w:t>
      </w:r>
      <w:r w:rsidR="5592521F" w:rsidRPr="00B43E5B">
        <w:rPr>
          <w:rFonts w:asciiTheme="minorHAnsi" w:eastAsia="Cambria" w:hAnsiTheme="minorHAnsi" w:cstheme="minorHAnsi"/>
          <w:color w:val="000000" w:themeColor="text1"/>
        </w:rPr>
        <w:t xml:space="preserve">) Jestliže obvyklé charakteristiky účasti (pořadí podle počtu účastí, počet účastí na 1 mil. </w:t>
      </w:r>
      <w:r w:rsidR="002750FC">
        <w:rPr>
          <w:rFonts w:asciiTheme="minorHAnsi" w:eastAsia="Cambria" w:hAnsiTheme="minorHAnsi" w:cstheme="minorHAnsi"/>
          <w:color w:val="000000" w:themeColor="text1"/>
        </w:rPr>
        <w:t>o</w:t>
      </w:r>
      <w:r w:rsidR="5592521F" w:rsidRPr="00B43E5B">
        <w:rPr>
          <w:rFonts w:asciiTheme="minorHAnsi" w:eastAsia="Cambria" w:hAnsiTheme="minorHAnsi" w:cstheme="minorHAnsi"/>
          <w:color w:val="000000" w:themeColor="text1"/>
        </w:rPr>
        <w:t xml:space="preserve">byvatel, získaná podpora vztažená na 1 mil. </w:t>
      </w:r>
      <w:r w:rsidR="002750FC">
        <w:rPr>
          <w:rFonts w:asciiTheme="minorHAnsi" w:eastAsia="Cambria" w:hAnsiTheme="minorHAnsi" w:cstheme="minorHAnsi"/>
          <w:color w:val="000000" w:themeColor="text1"/>
        </w:rPr>
        <w:t>o</w:t>
      </w:r>
      <w:r w:rsidR="5592521F" w:rsidRPr="00B43E5B">
        <w:rPr>
          <w:rFonts w:asciiTheme="minorHAnsi" w:eastAsia="Cambria" w:hAnsiTheme="minorHAnsi" w:cstheme="minorHAnsi"/>
          <w:color w:val="000000" w:themeColor="text1"/>
        </w:rPr>
        <w:t>byvatel či na 1</w:t>
      </w:r>
      <w:r w:rsidR="00ED5B4A">
        <w:rPr>
          <w:rFonts w:asciiTheme="minorHAnsi" w:eastAsia="Cambria" w:hAnsiTheme="minorHAnsi" w:cstheme="minorHAnsi"/>
          <w:color w:val="000000" w:themeColor="text1"/>
        </w:rPr>
        <w:t> </w:t>
      </w:r>
      <w:r w:rsidR="5592521F" w:rsidRPr="00B43E5B">
        <w:rPr>
          <w:rFonts w:asciiTheme="minorHAnsi" w:eastAsia="Cambria" w:hAnsiTheme="minorHAnsi" w:cstheme="minorHAnsi"/>
          <w:color w:val="000000" w:themeColor="text1"/>
        </w:rPr>
        <w:t xml:space="preserve">mil. </w:t>
      </w:r>
      <w:r w:rsidR="00C4450D">
        <w:rPr>
          <w:rFonts w:asciiTheme="minorHAnsi" w:eastAsia="Cambria" w:hAnsiTheme="minorHAnsi" w:cstheme="minorHAnsi"/>
          <w:color w:val="000000" w:themeColor="text1"/>
        </w:rPr>
        <w:t>eur</w:t>
      </w:r>
      <w:r w:rsidR="00A04D7D">
        <w:rPr>
          <w:rFonts w:asciiTheme="minorHAnsi" w:eastAsia="Cambria" w:hAnsiTheme="minorHAnsi" w:cstheme="minorHAnsi"/>
          <w:color w:val="000000" w:themeColor="text1"/>
        </w:rPr>
        <w:t xml:space="preserve"> </w:t>
      </w:r>
      <w:r w:rsidR="5592521F" w:rsidRPr="00B43E5B">
        <w:rPr>
          <w:rFonts w:asciiTheme="minorHAnsi" w:eastAsia="Cambria" w:hAnsiTheme="minorHAnsi" w:cstheme="minorHAnsi"/>
          <w:color w:val="000000" w:themeColor="text1"/>
        </w:rPr>
        <w:t xml:space="preserve">HDP atd.) ukazují, že </w:t>
      </w:r>
      <w:r w:rsidR="5592521F" w:rsidRPr="00FB2E51">
        <w:rPr>
          <w:rFonts w:asciiTheme="minorHAnsi" w:eastAsia="Cambria" w:hAnsiTheme="minorHAnsi" w:cstheme="minorHAnsi"/>
          <w:b/>
          <w:bCs/>
          <w:color w:val="000000" w:themeColor="text1"/>
        </w:rPr>
        <w:t xml:space="preserve">ČR má </w:t>
      </w:r>
      <w:r w:rsidR="00A04D7D" w:rsidRPr="00FB2E51">
        <w:rPr>
          <w:rFonts w:asciiTheme="minorHAnsi" w:eastAsia="Cambria" w:hAnsiTheme="minorHAnsi" w:cstheme="minorHAnsi"/>
          <w:b/>
          <w:bCs/>
          <w:color w:val="000000" w:themeColor="text1"/>
        </w:rPr>
        <w:t>celk</w:t>
      </w:r>
      <w:r w:rsidR="00A04D7D">
        <w:rPr>
          <w:rFonts w:asciiTheme="minorHAnsi" w:eastAsia="Cambria" w:hAnsiTheme="minorHAnsi" w:cstheme="minorHAnsi"/>
          <w:b/>
          <w:bCs/>
          <w:color w:val="000000" w:themeColor="text1"/>
        </w:rPr>
        <w:t>ově</w:t>
      </w:r>
      <w:r w:rsidR="00A04D7D" w:rsidRPr="00FB2E51">
        <w:rPr>
          <w:rFonts w:asciiTheme="minorHAnsi" w:eastAsia="Cambria" w:hAnsiTheme="minorHAnsi" w:cstheme="minorHAnsi"/>
          <w:b/>
          <w:bCs/>
          <w:color w:val="000000" w:themeColor="text1"/>
        </w:rPr>
        <w:t xml:space="preserve"> </w:t>
      </w:r>
      <w:r w:rsidR="5592521F" w:rsidRPr="00FB2E51">
        <w:rPr>
          <w:rFonts w:asciiTheme="minorHAnsi" w:eastAsia="Cambria" w:hAnsiTheme="minorHAnsi" w:cstheme="minorHAnsi"/>
          <w:b/>
          <w:bCs/>
          <w:color w:val="000000" w:themeColor="text1"/>
        </w:rPr>
        <w:t>malou účast</w:t>
      </w:r>
      <w:r w:rsidR="009B66B5">
        <w:rPr>
          <w:rFonts w:asciiTheme="minorHAnsi" w:eastAsia="Cambria" w:hAnsiTheme="minorHAnsi" w:cstheme="minorHAnsi"/>
          <w:b/>
          <w:bCs/>
          <w:color w:val="000000" w:themeColor="text1"/>
        </w:rPr>
        <w:t xml:space="preserve"> v </w:t>
      </w:r>
      <w:r w:rsidR="5592521F" w:rsidRPr="00FB2E51">
        <w:rPr>
          <w:rFonts w:asciiTheme="minorHAnsi" w:eastAsia="Cambria" w:hAnsiTheme="minorHAnsi" w:cstheme="minorHAnsi"/>
          <w:b/>
          <w:bCs/>
          <w:color w:val="000000" w:themeColor="text1"/>
        </w:rPr>
        <w:t xml:space="preserve">RP, můžeme dodat, že </w:t>
      </w:r>
      <w:r w:rsidR="00A04D7D">
        <w:rPr>
          <w:rFonts w:asciiTheme="minorHAnsi" w:eastAsia="Cambria" w:hAnsiTheme="minorHAnsi" w:cstheme="minorHAnsi"/>
          <w:b/>
          <w:bCs/>
          <w:color w:val="000000" w:themeColor="text1"/>
        </w:rPr>
        <w:t>se jedná</w:t>
      </w:r>
      <w:r w:rsidR="009B66B5">
        <w:rPr>
          <w:rFonts w:asciiTheme="minorHAnsi" w:eastAsia="Cambria" w:hAnsiTheme="minorHAnsi" w:cstheme="minorHAnsi"/>
          <w:b/>
          <w:bCs/>
          <w:color w:val="000000" w:themeColor="text1"/>
        </w:rPr>
        <w:t xml:space="preserve"> o </w:t>
      </w:r>
      <w:r w:rsidR="5592521F" w:rsidRPr="00FB2E51">
        <w:rPr>
          <w:rFonts w:asciiTheme="minorHAnsi" w:eastAsia="Cambria" w:hAnsiTheme="minorHAnsi" w:cstheme="minorHAnsi"/>
          <w:b/>
          <w:bCs/>
          <w:color w:val="000000" w:themeColor="text1"/>
        </w:rPr>
        <w:t>účast sice ne</w:t>
      </w:r>
      <w:r w:rsidR="00A04D7D">
        <w:rPr>
          <w:rFonts w:asciiTheme="minorHAnsi" w:eastAsia="Cambria" w:hAnsiTheme="minorHAnsi" w:cstheme="minorHAnsi"/>
          <w:b/>
          <w:bCs/>
          <w:color w:val="000000" w:themeColor="text1"/>
        </w:rPr>
        <w:t xml:space="preserve">příliš </w:t>
      </w:r>
      <w:r w:rsidR="5592521F" w:rsidRPr="00FB2E51">
        <w:rPr>
          <w:rFonts w:asciiTheme="minorHAnsi" w:eastAsia="Cambria" w:hAnsiTheme="minorHAnsi" w:cstheme="minorHAnsi"/>
          <w:b/>
          <w:bCs/>
          <w:color w:val="000000" w:themeColor="text1"/>
        </w:rPr>
        <w:t>početnou, ale</w:t>
      </w:r>
      <w:r w:rsidR="009B66B5">
        <w:rPr>
          <w:rFonts w:asciiTheme="minorHAnsi" w:eastAsia="Cambria" w:hAnsiTheme="minorHAnsi" w:cstheme="minorHAnsi"/>
          <w:b/>
          <w:bCs/>
          <w:color w:val="000000" w:themeColor="text1"/>
        </w:rPr>
        <w:t xml:space="preserve"> v </w:t>
      </w:r>
      <w:r w:rsidR="5592521F" w:rsidRPr="00FB2E51">
        <w:rPr>
          <w:rFonts w:asciiTheme="minorHAnsi" w:eastAsia="Cambria" w:hAnsiTheme="minorHAnsi" w:cstheme="minorHAnsi"/>
          <w:b/>
          <w:bCs/>
          <w:color w:val="000000" w:themeColor="text1"/>
        </w:rPr>
        <w:t>zásadě velmi kvalitní</w:t>
      </w:r>
      <w:r w:rsidR="5592521F" w:rsidRPr="00B43E5B">
        <w:rPr>
          <w:rFonts w:asciiTheme="minorHAnsi" w:eastAsia="Cambria" w:hAnsiTheme="minorHAnsi" w:cstheme="minorHAnsi"/>
          <w:color w:val="000000" w:themeColor="text1"/>
        </w:rPr>
        <w:t>. Z</w:t>
      </w:r>
      <w:r w:rsidR="00C53505">
        <w:rPr>
          <w:rFonts w:asciiTheme="minorHAnsi" w:eastAsia="Cambria" w:hAnsiTheme="minorHAnsi" w:cstheme="minorHAnsi"/>
          <w:color w:val="000000" w:themeColor="text1"/>
        </w:rPr>
        <w:t> </w:t>
      </w:r>
      <w:r w:rsidR="5592521F" w:rsidRPr="00B43E5B">
        <w:rPr>
          <w:rFonts w:asciiTheme="minorHAnsi" w:eastAsia="Cambria" w:hAnsiTheme="minorHAnsi" w:cstheme="minorHAnsi"/>
          <w:color w:val="000000" w:themeColor="text1"/>
        </w:rPr>
        <w:t>mezinárodní komparace vyplynulo, že Slovensko, Slovinsko</w:t>
      </w:r>
      <w:r w:rsidR="009B66B5">
        <w:rPr>
          <w:rFonts w:asciiTheme="minorHAnsi" w:eastAsia="Cambria" w:hAnsiTheme="minorHAnsi" w:cstheme="minorHAnsi"/>
          <w:color w:val="000000" w:themeColor="text1"/>
        </w:rPr>
        <w:t xml:space="preserve"> a </w:t>
      </w:r>
      <w:r w:rsidR="5592521F" w:rsidRPr="00B43E5B">
        <w:rPr>
          <w:rFonts w:asciiTheme="minorHAnsi" w:eastAsia="Cambria" w:hAnsiTheme="minorHAnsi" w:cstheme="minorHAnsi"/>
          <w:color w:val="000000" w:themeColor="text1"/>
        </w:rPr>
        <w:t>ČR mají ze všech</w:t>
      </w:r>
      <w:r w:rsidR="00A04D7D">
        <w:rPr>
          <w:rFonts w:asciiTheme="minorHAnsi" w:eastAsia="Cambria" w:hAnsiTheme="minorHAnsi" w:cstheme="minorHAnsi"/>
          <w:color w:val="000000" w:themeColor="text1"/>
        </w:rPr>
        <w:t xml:space="preserve"> tzv.</w:t>
      </w:r>
      <w:r w:rsidR="5592521F" w:rsidRPr="00B43E5B">
        <w:rPr>
          <w:rFonts w:asciiTheme="minorHAnsi" w:eastAsia="Cambria" w:hAnsiTheme="minorHAnsi" w:cstheme="minorHAnsi"/>
          <w:color w:val="000000" w:themeColor="text1"/>
        </w:rPr>
        <w:t xml:space="preserve"> nových členských států </w:t>
      </w:r>
      <w:r w:rsidR="00A04D7D">
        <w:rPr>
          <w:rFonts w:asciiTheme="minorHAnsi" w:eastAsia="Cambria" w:hAnsiTheme="minorHAnsi" w:cstheme="minorHAnsi"/>
          <w:color w:val="000000" w:themeColor="text1"/>
        </w:rPr>
        <w:t xml:space="preserve">EU </w:t>
      </w:r>
      <w:r w:rsidR="5592521F" w:rsidRPr="00B43E5B">
        <w:rPr>
          <w:rFonts w:asciiTheme="minorHAnsi" w:eastAsia="Cambria" w:hAnsiTheme="minorHAnsi" w:cstheme="minorHAnsi"/>
          <w:color w:val="000000" w:themeColor="text1"/>
        </w:rPr>
        <w:t>nejvyšší index kooperativní excelence [</w:t>
      </w:r>
      <w:r w:rsidR="001842C5">
        <w:rPr>
          <w:rFonts w:asciiTheme="minorHAnsi" w:eastAsia="Cambria" w:hAnsiTheme="minorHAnsi" w:cstheme="minorHAnsi"/>
          <w:color w:val="000000" w:themeColor="text1"/>
        </w:rPr>
        <w:t>1</w:t>
      </w:r>
      <w:r w:rsidR="00317719">
        <w:rPr>
          <w:rFonts w:asciiTheme="minorHAnsi" w:eastAsia="Cambria" w:hAnsiTheme="minorHAnsi" w:cstheme="minorHAnsi"/>
          <w:color w:val="000000" w:themeColor="text1"/>
        </w:rPr>
        <w:t>3</w:t>
      </w:r>
      <w:r w:rsidR="5592521F" w:rsidRPr="00B43E5B">
        <w:rPr>
          <w:rFonts w:asciiTheme="minorHAnsi" w:eastAsia="Cambria" w:hAnsiTheme="minorHAnsi" w:cstheme="minorHAnsi"/>
          <w:color w:val="000000" w:themeColor="text1"/>
        </w:rPr>
        <w:t xml:space="preserve">]. </w:t>
      </w:r>
      <w:r w:rsidR="5592521F" w:rsidRPr="00FB2E51">
        <w:rPr>
          <w:rFonts w:asciiTheme="minorHAnsi" w:eastAsia="Cambria" w:hAnsiTheme="minorHAnsi" w:cstheme="minorHAnsi"/>
          <w:b/>
          <w:bCs/>
          <w:color w:val="000000" w:themeColor="text1"/>
        </w:rPr>
        <w:t>Index kooperativní excelence představuje jednu</w:t>
      </w:r>
      <w:r w:rsidR="009B66B5">
        <w:rPr>
          <w:rFonts w:asciiTheme="minorHAnsi" w:eastAsia="Cambria" w:hAnsiTheme="minorHAnsi" w:cstheme="minorHAnsi"/>
          <w:b/>
          <w:bCs/>
          <w:color w:val="000000" w:themeColor="text1"/>
        </w:rPr>
        <w:t xml:space="preserve"> z </w:t>
      </w:r>
      <w:r w:rsidR="5592521F" w:rsidRPr="00FB2E51">
        <w:rPr>
          <w:rFonts w:asciiTheme="minorHAnsi" w:eastAsia="Cambria" w:hAnsiTheme="minorHAnsi" w:cstheme="minorHAnsi"/>
          <w:b/>
          <w:bCs/>
          <w:color w:val="000000" w:themeColor="text1"/>
        </w:rPr>
        <w:t>možností hodnocení kvality účasti</w:t>
      </w:r>
      <w:r w:rsidR="009B66B5">
        <w:rPr>
          <w:rFonts w:asciiTheme="minorHAnsi" w:eastAsia="Cambria" w:hAnsiTheme="minorHAnsi" w:cstheme="minorHAnsi"/>
          <w:b/>
          <w:bCs/>
          <w:color w:val="000000" w:themeColor="text1"/>
        </w:rPr>
        <w:t xml:space="preserve"> v </w:t>
      </w:r>
      <w:r w:rsidR="00A04D7D">
        <w:rPr>
          <w:rFonts w:asciiTheme="minorHAnsi" w:eastAsia="Cambria" w:hAnsiTheme="minorHAnsi" w:cstheme="minorHAnsi"/>
          <w:b/>
          <w:bCs/>
          <w:color w:val="000000" w:themeColor="text1"/>
        </w:rPr>
        <w:t>RP</w:t>
      </w:r>
      <w:r w:rsidR="5592521F" w:rsidRPr="00B43E5B">
        <w:rPr>
          <w:rFonts w:asciiTheme="minorHAnsi" w:eastAsia="Cambria" w:hAnsiTheme="minorHAnsi" w:cstheme="minorHAnsi"/>
          <w:color w:val="000000" w:themeColor="text1"/>
        </w:rPr>
        <w:t>.</w:t>
      </w:r>
    </w:p>
    <w:p w14:paraId="70A73B26" w14:textId="77777777" w:rsidR="00F9717D" w:rsidRPr="00B43E5B" w:rsidRDefault="5592521F" w:rsidP="5592521F">
      <w:pPr>
        <w:spacing w:after="160" w:line="259" w:lineRule="auto"/>
        <w:rPr>
          <w:rFonts w:asciiTheme="minorHAnsi" w:eastAsia="Cambria" w:hAnsiTheme="minorHAnsi" w:cstheme="minorHAnsi"/>
          <w:color w:val="000000" w:themeColor="text1"/>
        </w:rPr>
      </w:pPr>
      <w:r w:rsidRPr="00B43E5B">
        <w:rPr>
          <w:rFonts w:asciiTheme="minorHAnsi" w:eastAsia="Cambria" w:hAnsiTheme="minorHAnsi" w:cstheme="minorHAnsi"/>
          <w:color w:val="000000" w:themeColor="text1"/>
        </w:rPr>
        <w:t>K</w:t>
      </w:r>
      <w:r w:rsidR="00C53505">
        <w:rPr>
          <w:rFonts w:asciiTheme="minorHAnsi" w:eastAsia="Cambria" w:hAnsiTheme="minorHAnsi" w:cstheme="minorHAnsi"/>
          <w:color w:val="000000" w:themeColor="text1"/>
        </w:rPr>
        <w:t> </w:t>
      </w:r>
      <w:r w:rsidRPr="00B43E5B">
        <w:rPr>
          <w:rFonts w:asciiTheme="minorHAnsi" w:eastAsia="Cambria" w:hAnsiTheme="minorHAnsi" w:cstheme="minorHAnsi"/>
          <w:color w:val="000000" w:themeColor="text1"/>
        </w:rPr>
        <w:t xml:space="preserve">typickým charakteristikám RP patří to, že úspěšnost většiny států EU-13 je setrvale nižší než u většiny </w:t>
      </w:r>
      <w:r w:rsidR="005B3613">
        <w:rPr>
          <w:rFonts w:asciiTheme="minorHAnsi" w:eastAsia="Cambria" w:hAnsiTheme="minorHAnsi" w:cstheme="minorHAnsi"/>
          <w:color w:val="000000" w:themeColor="text1"/>
        </w:rPr>
        <w:t xml:space="preserve">tzv. </w:t>
      </w:r>
      <w:r w:rsidRPr="00B43E5B">
        <w:rPr>
          <w:rFonts w:asciiTheme="minorHAnsi" w:eastAsia="Cambria" w:hAnsiTheme="minorHAnsi" w:cstheme="minorHAnsi"/>
          <w:color w:val="000000" w:themeColor="text1"/>
        </w:rPr>
        <w:t xml:space="preserve">starých členských států </w:t>
      </w:r>
      <w:r w:rsidR="005B3613">
        <w:rPr>
          <w:rFonts w:asciiTheme="minorHAnsi" w:eastAsia="Cambria" w:hAnsiTheme="minorHAnsi" w:cstheme="minorHAnsi"/>
          <w:color w:val="000000" w:themeColor="text1"/>
        </w:rPr>
        <w:t>EU</w:t>
      </w:r>
      <w:r w:rsidRPr="00B43E5B">
        <w:rPr>
          <w:rFonts w:asciiTheme="minorHAnsi" w:eastAsia="Cambria" w:hAnsiTheme="minorHAnsi" w:cstheme="minorHAnsi"/>
          <w:color w:val="000000" w:themeColor="text1"/>
        </w:rPr>
        <w:t xml:space="preserve">. Podle respondentů oslovených ve studii </w:t>
      </w:r>
      <w:r w:rsidRPr="00BA166F">
        <w:rPr>
          <w:rFonts w:asciiTheme="minorHAnsi" w:eastAsia="Cambria" w:hAnsiTheme="minorHAnsi" w:cstheme="minorHAnsi"/>
          <w:color w:val="000000" w:themeColor="text1"/>
        </w:rPr>
        <w:t>„</w:t>
      </w:r>
      <w:r w:rsidRPr="00DF7764">
        <w:rPr>
          <w:rFonts w:asciiTheme="minorHAnsi" w:eastAsia="Cambria" w:hAnsiTheme="minorHAnsi" w:cstheme="minorHAnsi"/>
          <w:i/>
          <w:iCs/>
          <w:color w:val="000000" w:themeColor="text1"/>
        </w:rPr>
        <w:t xml:space="preserve">Overcoming </w:t>
      </w:r>
      <w:r w:rsidR="00FF79EF">
        <w:rPr>
          <w:rFonts w:asciiTheme="minorHAnsi" w:eastAsia="Cambria" w:hAnsiTheme="minorHAnsi" w:cstheme="minorHAnsi"/>
          <w:i/>
          <w:iCs/>
          <w:color w:val="000000" w:themeColor="text1"/>
        </w:rPr>
        <w:t>i</w:t>
      </w:r>
      <w:r w:rsidR="00C53505">
        <w:rPr>
          <w:rFonts w:asciiTheme="minorHAnsi" w:eastAsia="Cambria" w:hAnsiTheme="minorHAnsi" w:cstheme="minorHAnsi"/>
          <w:i/>
          <w:iCs/>
          <w:color w:val="000000" w:themeColor="text1"/>
        </w:rPr>
        <w:t>nnovation</w:t>
      </w:r>
      <w:r w:rsidRPr="00DF7764">
        <w:rPr>
          <w:rFonts w:asciiTheme="minorHAnsi" w:eastAsia="Cambria" w:hAnsiTheme="minorHAnsi" w:cstheme="minorHAnsi"/>
          <w:i/>
          <w:iCs/>
          <w:color w:val="000000" w:themeColor="text1"/>
        </w:rPr>
        <w:t xml:space="preserve"> gaps in the EU-13 Member States</w:t>
      </w:r>
      <w:r w:rsidRPr="00BA166F">
        <w:rPr>
          <w:rFonts w:asciiTheme="minorHAnsi" w:eastAsia="Cambria" w:hAnsiTheme="minorHAnsi" w:cstheme="minorHAnsi"/>
          <w:color w:val="000000" w:themeColor="text1"/>
        </w:rPr>
        <w:t>“</w:t>
      </w:r>
      <w:r w:rsidRPr="00B43E5B">
        <w:rPr>
          <w:rFonts w:asciiTheme="minorHAnsi" w:eastAsia="Cambria" w:hAnsiTheme="minorHAnsi" w:cstheme="minorHAnsi"/>
          <w:color w:val="000000" w:themeColor="text1"/>
        </w:rPr>
        <w:t xml:space="preserve"> [</w:t>
      </w:r>
      <w:r w:rsidR="001842C5">
        <w:rPr>
          <w:rFonts w:asciiTheme="minorHAnsi" w:eastAsia="Cambria" w:hAnsiTheme="minorHAnsi" w:cstheme="minorHAnsi"/>
          <w:color w:val="000000" w:themeColor="text1"/>
        </w:rPr>
        <w:t>4</w:t>
      </w:r>
      <w:r w:rsidRPr="00B43E5B">
        <w:rPr>
          <w:rFonts w:asciiTheme="minorHAnsi" w:eastAsia="Cambria" w:hAnsiTheme="minorHAnsi" w:cstheme="minorHAnsi"/>
          <w:color w:val="000000" w:themeColor="text1"/>
        </w:rPr>
        <w:t>] je nejvýznamnější překážkou pro účast států EU-13</w:t>
      </w:r>
      <w:r w:rsidR="009B66B5">
        <w:rPr>
          <w:rFonts w:asciiTheme="minorHAnsi" w:eastAsia="Cambria" w:hAnsiTheme="minorHAnsi" w:cstheme="minorHAnsi"/>
          <w:color w:val="000000" w:themeColor="text1"/>
        </w:rPr>
        <w:t xml:space="preserve"> v </w:t>
      </w:r>
      <w:r w:rsidR="008D2CAF">
        <w:rPr>
          <w:rFonts w:asciiTheme="minorHAnsi" w:eastAsia="Cambria" w:hAnsiTheme="minorHAnsi" w:cstheme="minorHAnsi"/>
          <w:color w:val="000000" w:themeColor="text1"/>
        </w:rPr>
        <w:t>RP</w:t>
      </w:r>
      <w:r w:rsidR="00C53505">
        <w:rPr>
          <w:rFonts w:asciiTheme="minorHAnsi" w:eastAsia="Cambria" w:hAnsiTheme="minorHAnsi" w:cstheme="minorHAnsi"/>
          <w:color w:val="000000" w:themeColor="text1"/>
        </w:rPr>
        <w:t>,</w:t>
      </w:r>
      <w:r w:rsidRPr="00B43E5B">
        <w:rPr>
          <w:rFonts w:asciiTheme="minorHAnsi" w:eastAsia="Cambria" w:hAnsiTheme="minorHAnsi" w:cstheme="minorHAnsi"/>
          <w:color w:val="000000" w:themeColor="text1"/>
        </w:rPr>
        <w:t xml:space="preserve"> tedy</w:t>
      </w:r>
      <w:r w:rsidR="009B66B5">
        <w:rPr>
          <w:rFonts w:asciiTheme="minorHAnsi" w:eastAsia="Cambria" w:hAnsiTheme="minorHAnsi" w:cstheme="minorHAnsi"/>
          <w:color w:val="000000" w:themeColor="text1"/>
        </w:rPr>
        <w:t xml:space="preserve"> i </w:t>
      </w:r>
      <w:r w:rsidRPr="00B43E5B">
        <w:rPr>
          <w:rFonts w:asciiTheme="minorHAnsi" w:eastAsia="Cambria" w:hAnsiTheme="minorHAnsi" w:cstheme="minorHAnsi"/>
          <w:color w:val="000000" w:themeColor="text1"/>
        </w:rPr>
        <w:t>ČR</w:t>
      </w:r>
      <w:r w:rsidR="00C53505">
        <w:rPr>
          <w:rFonts w:asciiTheme="minorHAnsi" w:eastAsia="Cambria" w:hAnsiTheme="minorHAnsi" w:cstheme="minorHAnsi"/>
          <w:color w:val="000000" w:themeColor="text1"/>
        </w:rPr>
        <w:t>,</w:t>
      </w:r>
      <w:r w:rsidRPr="00B43E5B">
        <w:rPr>
          <w:rFonts w:asciiTheme="minorHAnsi" w:eastAsia="Cambria" w:hAnsiTheme="minorHAnsi" w:cstheme="minorHAnsi"/>
          <w:color w:val="000000" w:themeColor="text1"/>
        </w:rPr>
        <w:t xml:space="preserve"> nízká úspěšnost návrhů projektů, následovaná omezenými interními dovednostmi při vypracovávání návrhů projektů nebo při </w:t>
      </w:r>
      <w:r w:rsidR="008D2CAF">
        <w:rPr>
          <w:rFonts w:asciiTheme="minorHAnsi" w:eastAsia="Cambria" w:hAnsiTheme="minorHAnsi" w:cstheme="minorHAnsi"/>
          <w:color w:val="000000" w:themeColor="text1"/>
        </w:rPr>
        <w:t xml:space="preserve">jejich </w:t>
      </w:r>
      <w:r w:rsidRPr="00B43E5B">
        <w:rPr>
          <w:rFonts w:asciiTheme="minorHAnsi" w:eastAsia="Cambria" w:hAnsiTheme="minorHAnsi" w:cstheme="minorHAnsi"/>
          <w:color w:val="000000" w:themeColor="text1"/>
        </w:rPr>
        <w:t>řízení. Tyto faktory půso</w:t>
      </w:r>
      <w:r w:rsidR="008D2CAF">
        <w:rPr>
          <w:rFonts w:asciiTheme="minorHAnsi" w:eastAsia="Cambria" w:hAnsiTheme="minorHAnsi" w:cstheme="minorHAnsi"/>
          <w:color w:val="000000" w:themeColor="text1"/>
        </w:rPr>
        <w:t>bí jako významné motivační barié</w:t>
      </w:r>
      <w:r w:rsidRPr="00B43E5B">
        <w:rPr>
          <w:rFonts w:asciiTheme="minorHAnsi" w:eastAsia="Cambria" w:hAnsiTheme="minorHAnsi" w:cstheme="minorHAnsi"/>
          <w:color w:val="000000" w:themeColor="text1"/>
        </w:rPr>
        <w:t xml:space="preserve">ry, </w:t>
      </w:r>
      <w:r w:rsidR="00FB2E51" w:rsidRPr="00B43E5B">
        <w:rPr>
          <w:rFonts w:asciiTheme="minorHAnsi" w:eastAsia="Cambria" w:hAnsiTheme="minorHAnsi" w:cstheme="minorHAnsi"/>
          <w:color w:val="000000" w:themeColor="text1"/>
        </w:rPr>
        <w:t>které</w:t>
      </w:r>
      <w:r w:rsidRPr="00B43E5B">
        <w:rPr>
          <w:rFonts w:asciiTheme="minorHAnsi" w:eastAsia="Cambria" w:hAnsiTheme="minorHAnsi" w:cstheme="minorHAnsi"/>
          <w:color w:val="000000" w:themeColor="text1"/>
        </w:rPr>
        <w:t xml:space="preserve"> dlouhodobě odrazuj</w:t>
      </w:r>
      <w:r w:rsidR="00D920B4">
        <w:rPr>
          <w:rFonts w:asciiTheme="minorHAnsi" w:eastAsia="Cambria" w:hAnsiTheme="minorHAnsi" w:cstheme="minorHAnsi"/>
          <w:color w:val="000000" w:themeColor="text1"/>
        </w:rPr>
        <w:t>í</w:t>
      </w:r>
      <w:r w:rsidRPr="00B43E5B">
        <w:rPr>
          <w:rFonts w:asciiTheme="minorHAnsi" w:eastAsia="Cambria" w:hAnsiTheme="minorHAnsi" w:cstheme="minorHAnsi"/>
          <w:color w:val="000000" w:themeColor="text1"/>
        </w:rPr>
        <w:t xml:space="preserve"> výzkumné týmy od přípravy</w:t>
      </w:r>
      <w:r w:rsidR="009B66B5">
        <w:rPr>
          <w:rFonts w:asciiTheme="minorHAnsi" w:eastAsia="Cambria" w:hAnsiTheme="minorHAnsi" w:cstheme="minorHAnsi"/>
          <w:color w:val="000000" w:themeColor="text1"/>
        </w:rPr>
        <w:t xml:space="preserve"> a </w:t>
      </w:r>
      <w:r w:rsidRPr="00B43E5B">
        <w:rPr>
          <w:rFonts w:asciiTheme="minorHAnsi" w:eastAsia="Cambria" w:hAnsiTheme="minorHAnsi" w:cstheme="minorHAnsi"/>
          <w:color w:val="000000" w:themeColor="text1"/>
        </w:rPr>
        <w:t>předkládání nových návrhů projektů. Přestože je úspěšnost ČR</w:t>
      </w:r>
      <w:r w:rsidR="009B66B5">
        <w:rPr>
          <w:rFonts w:asciiTheme="minorHAnsi" w:eastAsia="Cambria" w:hAnsiTheme="minorHAnsi" w:cstheme="minorHAnsi"/>
          <w:color w:val="000000" w:themeColor="text1"/>
        </w:rPr>
        <w:t xml:space="preserve"> v </w:t>
      </w:r>
      <w:r w:rsidRPr="00B43E5B">
        <w:rPr>
          <w:rFonts w:asciiTheme="minorHAnsi" w:eastAsia="Cambria" w:hAnsiTheme="minorHAnsi" w:cstheme="minorHAnsi"/>
          <w:color w:val="000000" w:themeColor="text1"/>
        </w:rPr>
        <w:t xml:space="preserve"> H</w:t>
      </w:r>
      <w:r w:rsidR="005B3613">
        <w:rPr>
          <w:rFonts w:asciiTheme="minorHAnsi" w:eastAsia="Cambria" w:hAnsiTheme="minorHAnsi" w:cstheme="minorHAnsi"/>
          <w:color w:val="000000" w:themeColor="text1"/>
        </w:rPr>
        <w:t xml:space="preserve">orizontu </w:t>
      </w:r>
      <w:r w:rsidRPr="00B43E5B">
        <w:rPr>
          <w:rFonts w:asciiTheme="minorHAnsi" w:eastAsia="Cambria" w:hAnsiTheme="minorHAnsi" w:cstheme="minorHAnsi"/>
          <w:color w:val="000000" w:themeColor="text1"/>
        </w:rPr>
        <w:t>2020</w:t>
      </w:r>
      <w:r w:rsidR="009B66B5">
        <w:rPr>
          <w:rFonts w:asciiTheme="minorHAnsi" w:eastAsia="Cambria" w:hAnsiTheme="minorHAnsi" w:cstheme="minorHAnsi"/>
          <w:color w:val="000000" w:themeColor="text1"/>
        </w:rPr>
        <w:t xml:space="preserve"> v </w:t>
      </w:r>
      <w:r w:rsidRPr="00B43E5B">
        <w:rPr>
          <w:rFonts w:asciiTheme="minorHAnsi" w:eastAsia="Cambria" w:hAnsiTheme="minorHAnsi" w:cstheme="minorHAnsi"/>
          <w:color w:val="000000" w:themeColor="text1"/>
        </w:rPr>
        <w:t>porovnání</w:t>
      </w:r>
      <w:r w:rsidR="009B66B5">
        <w:rPr>
          <w:rFonts w:asciiTheme="minorHAnsi" w:eastAsia="Cambria" w:hAnsiTheme="minorHAnsi" w:cstheme="minorHAnsi"/>
          <w:color w:val="000000" w:themeColor="text1"/>
        </w:rPr>
        <w:t xml:space="preserve"> s </w:t>
      </w:r>
      <w:r w:rsidRPr="00B43E5B">
        <w:rPr>
          <w:rFonts w:asciiTheme="minorHAnsi" w:eastAsia="Cambria" w:hAnsiTheme="minorHAnsi" w:cstheme="minorHAnsi"/>
          <w:color w:val="000000" w:themeColor="text1"/>
        </w:rPr>
        <w:t>většinou států EU nadprůměrná [</w:t>
      </w:r>
      <w:r w:rsidR="001842C5">
        <w:rPr>
          <w:rFonts w:asciiTheme="minorHAnsi" w:eastAsia="Cambria" w:hAnsiTheme="minorHAnsi" w:cstheme="minorHAnsi"/>
          <w:color w:val="000000" w:themeColor="text1"/>
        </w:rPr>
        <w:t>5</w:t>
      </w:r>
      <w:r w:rsidRPr="00B43E5B">
        <w:rPr>
          <w:rFonts w:asciiTheme="minorHAnsi" w:eastAsia="Cambria" w:hAnsiTheme="minorHAnsi" w:cstheme="minorHAnsi"/>
          <w:color w:val="000000" w:themeColor="text1"/>
        </w:rPr>
        <w:t>], stále je její výše výzkumnou sférou</w:t>
      </w:r>
      <w:r w:rsidR="009B66B5">
        <w:rPr>
          <w:rFonts w:asciiTheme="minorHAnsi" w:eastAsia="Cambria" w:hAnsiTheme="minorHAnsi" w:cstheme="minorHAnsi"/>
          <w:color w:val="000000" w:themeColor="text1"/>
        </w:rPr>
        <w:t xml:space="preserve"> v </w:t>
      </w:r>
      <w:r w:rsidRPr="00B43E5B">
        <w:rPr>
          <w:rFonts w:asciiTheme="minorHAnsi" w:eastAsia="Cambria" w:hAnsiTheme="minorHAnsi" w:cstheme="minorHAnsi"/>
          <w:color w:val="000000" w:themeColor="text1"/>
        </w:rPr>
        <w:t xml:space="preserve">ČR </w:t>
      </w:r>
      <w:r w:rsidR="00C4446D">
        <w:rPr>
          <w:rFonts w:asciiTheme="minorHAnsi" w:eastAsia="Cambria" w:hAnsiTheme="minorHAnsi" w:cstheme="minorHAnsi"/>
          <w:color w:val="000000" w:themeColor="text1"/>
        </w:rPr>
        <w:t xml:space="preserve">vnímána </w:t>
      </w:r>
      <w:r w:rsidRPr="00B43E5B">
        <w:rPr>
          <w:rFonts w:asciiTheme="minorHAnsi" w:eastAsia="Cambria" w:hAnsiTheme="minorHAnsi" w:cstheme="minorHAnsi"/>
          <w:color w:val="000000" w:themeColor="text1"/>
        </w:rPr>
        <w:t xml:space="preserve">jako omezující faktor pro vstup do RP. </w:t>
      </w:r>
      <w:r w:rsidR="00C4446D">
        <w:rPr>
          <w:rFonts w:asciiTheme="minorHAnsi" w:eastAsia="Cambria" w:hAnsiTheme="minorHAnsi" w:cstheme="minorHAnsi"/>
          <w:color w:val="000000" w:themeColor="text1"/>
        </w:rPr>
        <w:t>Obecným dlouhodobým problémem RP je snižující se globální úspešnost při aplikování</w:t>
      </w:r>
      <w:r w:rsidR="00227887">
        <w:rPr>
          <w:rFonts w:asciiTheme="minorHAnsi" w:eastAsia="Cambria" w:hAnsiTheme="minorHAnsi" w:cstheme="minorHAnsi"/>
          <w:color w:val="000000" w:themeColor="text1"/>
        </w:rPr>
        <w:t xml:space="preserve"> o </w:t>
      </w:r>
      <w:r w:rsidR="00C4446D">
        <w:rPr>
          <w:rFonts w:asciiTheme="minorHAnsi" w:eastAsia="Cambria" w:hAnsiTheme="minorHAnsi" w:cstheme="minorHAnsi"/>
          <w:color w:val="000000" w:themeColor="text1"/>
        </w:rPr>
        <w:t>granty, kdy RP nejsou schopny saturovat financování návrhů projektů, které dosáhnou na potřebnou úroveň kvality</w:t>
      </w:r>
      <w:r w:rsidR="009B66B5">
        <w:rPr>
          <w:rFonts w:asciiTheme="minorHAnsi" w:eastAsia="Cambria" w:hAnsiTheme="minorHAnsi" w:cstheme="minorHAnsi"/>
          <w:color w:val="000000" w:themeColor="text1"/>
        </w:rPr>
        <w:t xml:space="preserve"> a </w:t>
      </w:r>
      <w:r w:rsidR="00C4446D">
        <w:rPr>
          <w:rFonts w:asciiTheme="minorHAnsi" w:eastAsia="Cambria" w:hAnsiTheme="minorHAnsi" w:cstheme="minorHAnsi"/>
          <w:color w:val="000000" w:themeColor="text1"/>
        </w:rPr>
        <w:t>nejsou podpořeny až kvůli nedostatku rozpočtových zdrojů na straně Evropské komise jako poskytovatele podpory. To poté</w:t>
      </w:r>
      <w:r w:rsidR="009B66B5">
        <w:rPr>
          <w:rFonts w:asciiTheme="minorHAnsi" w:eastAsia="Cambria" w:hAnsiTheme="minorHAnsi" w:cstheme="minorHAnsi"/>
          <w:color w:val="000000" w:themeColor="text1"/>
        </w:rPr>
        <w:t xml:space="preserve"> v </w:t>
      </w:r>
      <w:r w:rsidR="00C4446D">
        <w:rPr>
          <w:rFonts w:asciiTheme="minorHAnsi" w:eastAsia="Cambria" w:hAnsiTheme="minorHAnsi" w:cstheme="minorHAnsi"/>
          <w:color w:val="000000" w:themeColor="text1"/>
        </w:rPr>
        <w:t>řadě případů</w:t>
      </w:r>
      <w:r w:rsidR="009B66B5">
        <w:rPr>
          <w:rFonts w:asciiTheme="minorHAnsi" w:eastAsia="Cambria" w:hAnsiTheme="minorHAnsi" w:cstheme="minorHAnsi"/>
          <w:color w:val="000000" w:themeColor="text1"/>
        </w:rPr>
        <w:t xml:space="preserve"> i </w:t>
      </w:r>
      <w:r w:rsidR="00C4446D">
        <w:rPr>
          <w:rFonts w:asciiTheme="minorHAnsi" w:eastAsia="Cambria" w:hAnsiTheme="minorHAnsi" w:cstheme="minorHAnsi"/>
          <w:color w:val="000000" w:themeColor="text1"/>
        </w:rPr>
        <w:t>snižuje motivaci</w:t>
      </w:r>
      <w:r w:rsidR="009B66B5">
        <w:rPr>
          <w:rFonts w:asciiTheme="minorHAnsi" w:eastAsia="Cambria" w:hAnsiTheme="minorHAnsi" w:cstheme="minorHAnsi"/>
          <w:color w:val="000000" w:themeColor="text1"/>
        </w:rPr>
        <w:t xml:space="preserve"> k </w:t>
      </w:r>
      <w:r w:rsidR="00C4446D">
        <w:rPr>
          <w:rFonts w:asciiTheme="minorHAnsi" w:eastAsia="Cambria" w:hAnsiTheme="minorHAnsi" w:cstheme="minorHAnsi"/>
          <w:color w:val="000000" w:themeColor="text1"/>
        </w:rPr>
        <w:t xml:space="preserve">účasti, pokud členské státy EU na svých </w:t>
      </w:r>
      <w:r w:rsidR="00C4446D">
        <w:rPr>
          <w:rFonts w:asciiTheme="minorHAnsi" w:eastAsia="Cambria" w:hAnsiTheme="minorHAnsi" w:cstheme="minorHAnsi"/>
          <w:color w:val="000000" w:themeColor="text1"/>
        </w:rPr>
        <w:lastRenderedPageBreak/>
        <w:t xml:space="preserve">národních úrovních nepraktikují financování na principu podpory návrhů projektů se statusem „Seal of Excellence“. I tento přístup má však své limity, jelikož lze přímočaře aplikovat pouze u projektů </w:t>
      </w:r>
      <w:r w:rsidR="00FC487E">
        <w:rPr>
          <w:rFonts w:asciiTheme="minorHAnsi" w:eastAsia="Cambria" w:hAnsiTheme="minorHAnsi" w:cstheme="minorHAnsi"/>
          <w:color w:val="000000" w:themeColor="text1"/>
        </w:rPr>
        <w:t xml:space="preserve">tzv. </w:t>
      </w:r>
      <w:r w:rsidR="00227887">
        <w:rPr>
          <w:rFonts w:asciiTheme="minorHAnsi" w:eastAsia="Cambria" w:hAnsiTheme="minorHAnsi" w:cstheme="minorHAnsi"/>
          <w:color w:val="000000" w:themeColor="text1"/>
        </w:rPr>
        <w:t>mono-beneficia</w:t>
      </w:r>
      <w:r w:rsidR="00C4446D">
        <w:rPr>
          <w:rFonts w:asciiTheme="minorHAnsi" w:eastAsia="Cambria" w:hAnsiTheme="minorHAnsi" w:cstheme="minorHAnsi"/>
          <w:color w:val="000000" w:themeColor="text1"/>
        </w:rPr>
        <w:t>ry charakteru</w:t>
      </w:r>
      <w:r w:rsidR="00FC487E">
        <w:rPr>
          <w:rFonts w:asciiTheme="minorHAnsi" w:eastAsia="Cambria" w:hAnsiTheme="minorHAnsi" w:cstheme="minorHAnsi"/>
          <w:color w:val="000000" w:themeColor="text1"/>
        </w:rPr>
        <w:t>, jako např. ERC</w:t>
      </w:r>
      <w:r w:rsidR="00C4446D">
        <w:rPr>
          <w:rFonts w:asciiTheme="minorHAnsi" w:eastAsia="Cambria" w:hAnsiTheme="minorHAnsi" w:cstheme="minorHAnsi"/>
          <w:color w:val="000000" w:themeColor="text1"/>
        </w:rPr>
        <w:t xml:space="preserve">.  </w:t>
      </w:r>
    </w:p>
    <w:p w14:paraId="5A9526B3" w14:textId="77777777" w:rsidR="00F9717D" w:rsidRPr="00B43E5B" w:rsidRDefault="5592521F" w:rsidP="5592521F">
      <w:pPr>
        <w:spacing w:after="160" w:line="259" w:lineRule="auto"/>
        <w:rPr>
          <w:rFonts w:asciiTheme="minorHAnsi" w:eastAsia="Cambria" w:hAnsiTheme="minorHAnsi" w:cstheme="minorHAnsi"/>
          <w:color w:val="000000" w:themeColor="text1"/>
        </w:rPr>
      </w:pPr>
      <w:r w:rsidRPr="00B43E5B">
        <w:rPr>
          <w:rFonts w:asciiTheme="minorHAnsi" w:eastAsia="Segoe UI" w:hAnsiTheme="minorHAnsi" w:cstheme="minorHAnsi"/>
          <w:color w:val="000000" w:themeColor="text1"/>
        </w:rPr>
        <w:t xml:space="preserve">Řada analýz </w:t>
      </w:r>
      <w:r w:rsidR="002D7AEF" w:rsidRPr="002D7AEF">
        <w:rPr>
          <w:rFonts w:asciiTheme="minorHAnsi" w:eastAsia="Cambria" w:hAnsiTheme="minorHAnsi" w:cstheme="minorHAnsi"/>
          <w:bCs/>
          <w:color w:val="000000" w:themeColor="text1"/>
        </w:rPr>
        <w:t>Technologického centra</w:t>
      </w:r>
      <w:r w:rsidR="002D7AEF">
        <w:rPr>
          <w:rFonts w:asciiTheme="minorHAnsi" w:eastAsia="Cambria" w:hAnsiTheme="minorHAnsi" w:cstheme="minorHAnsi"/>
          <w:b/>
          <w:bCs/>
          <w:color w:val="000000" w:themeColor="text1"/>
        </w:rPr>
        <w:t xml:space="preserve"> </w:t>
      </w:r>
      <w:r w:rsidRPr="00B43E5B">
        <w:rPr>
          <w:rFonts w:asciiTheme="minorHAnsi" w:eastAsia="Segoe UI" w:hAnsiTheme="minorHAnsi" w:cstheme="minorHAnsi"/>
          <w:color w:val="000000" w:themeColor="text1"/>
        </w:rPr>
        <w:t>AV ČR prokázala, že účast předních evropských výzkumných</w:t>
      </w:r>
      <w:r w:rsidR="009B66B5">
        <w:rPr>
          <w:rFonts w:asciiTheme="minorHAnsi" w:eastAsia="Segoe UI" w:hAnsiTheme="minorHAnsi" w:cstheme="minorHAnsi"/>
          <w:color w:val="000000" w:themeColor="text1"/>
        </w:rPr>
        <w:t xml:space="preserve"> a </w:t>
      </w:r>
      <w:r w:rsidRPr="00B43E5B">
        <w:rPr>
          <w:rFonts w:asciiTheme="minorHAnsi" w:eastAsia="Segoe UI" w:hAnsiTheme="minorHAnsi" w:cstheme="minorHAnsi"/>
          <w:color w:val="000000" w:themeColor="text1"/>
        </w:rPr>
        <w:t>univerzitních institucí</w:t>
      </w:r>
      <w:r w:rsidR="009B66B5">
        <w:rPr>
          <w:rFonts w:asciiTheme="minorHAnsi" w:eastAsia="Segoe UI" w:hAnsiTheme="minorHAnsi" w:cstheme="minorHAnsi"/>
          <w:color w:val="000000" w:themeColor="text1"/>
        </w:rPr>
        <w:t xml:space="preserve"> v </w:t>
      </w:r>
      <w:r w:rsidRPr="00B43E5B">
        <w:rPr>
          <w:rFonts w:asciiTheme="minorHAnsi" w:eastAsia="Segoe UI" w:hAnsiTheme="minorHAnsi" w:cstheme="minorHAnsi"/>
          <w:color w:val="000000" w:themeColor="text1"/>
        </w:rPr>
        <w:t xml:space="preserve">konsorciích </w:t>
      </w:r>
      <w:r w:rsidR="00970811">
        <w:rPr>
          <w:rFonts w:asciiTheme="minorHAnsi" w:eastAsia="Segoe UI" w:hAnsiTheme="minorHAnsi" w:cstheme="minorHAnsi"/>
          <w:color w:val="000000" w:themeColor="text1"/>
        </w:rPr>
        <w:t>významně</w:t>
      </w:r>
      <w:r w:rsidRPr="00B43E5B">
        <w:rPr>
          <w:rFonts w:asciiTheme="minorHAnsi" w:eastAsia="Segoe UI" w:hAnsiTheme="minorHAnsi" w:cstheme="minorHAnsi"/>
          <w:color w:val="000000" w:themeColor="text1"/>
        </w:rPr>
        <w:t xml:space="preserve"> zvyšuje úspěšnost předkládaných návrhů. </w:t>
      </w:r>
      <w:r w:rsidRPr="00FB2E51">
        <w:rPr>
          <w:rFonts w:asciiTheme="minorHAnsi" w:eastAsia="Cambria" w:hAnsiTheme="minorHAnsi" w:cstheme="minorHAnsi"/>
          <w:b/>
          <w:bCs/>
          <w:color w:val="000000" w:themeColor="text1"/>
        </w:rPr>
        <w:t>Návrhy, připravené ve spolupráci</w:t>
      </w:r>
      <w:r w:rsidR="009B66B5">
        <w:rPr>
          <w:rFonts w:asciiTheme="minorHAnsi" w:eastAsia="Cambria" w:hAnsiTheme="minorHAnsi" w:cstheme="minorHAnsi"/>
          <w:b/>
          <w:bCs/>
          <w:color w:val="000000" w:themeColor="text1"/>
        </w:rPr>
        <w:t xml:space="preserve"> s </w:t>
      </w:r>
      <w:r w:rsidRPr="00FB2E51">
        <w:rPr>
          <w:rFonts w:asciiTheme="minorHAnsi" w:eastAsia="Cambria" w:hAnsiTheme="minorHAnsi" w:cstheme="minorHAnsi"/>
          <w:b/>
          <w:bCs/>
          <w:color w:val="000000" w:themeColor="text1"/>
        </w:rPr>
        <w:t>těmito TOP institucemi, zvyšují úspěšnost účasti kteréhokoli</w:t>
      </w:r>
      <w:r w:rsidR="00FC487E">
        <w:rPr>
          <w:rFonts w:asciiTheme="minorHAnsi" w:eastAsia="Cambria" w:hAnsiTheme="minorHAnsi" w:cstheme="minorHAnsi"/>
          <w:b/>
          <w:bCs/>
          <w:color w:val="000000" w:themeColor="text1"/>
        </w:rPr>
        <w:t>v</w:t>
      </w:r>
      <w:r w:rsidRPr="00FB2E51">
        <w:rPr>
          <w:rFonts w:asciiTheme="minorHAnsi" w:eastAsia="Cambria" w:hAnsiTheme="minorHAnsi" w:cstheme="minorHAnsi"/>
          <w:b/>
          <w:bCs/>
          <w:color w:val="000000" w:themeColor="text1"/>
        </w:rPr>
        <w:t xml:space="preserve"> členského státu EU, ale nárůst je obzvláště vysoký u </w:t>
      </w:r>
      <w:r w:rsidR="00FC487E">
        <w:rPr>
          <w:rFonts w:asciiTheme="minorHAnsi" w:eastAsia="Cambria" w:hAnsiTheme="minorHAnsi" w:cstheme="minorHAnsi"/>
          <w:b/>
          <w:bCs/>
          <w:color w:val="000000" w:themeColor="text1"/>
        </w:rPr>
        <w:t xml:space="preserve">tzv. </w:t>
      </w:r>
      <w:r w:rsidRPr="00FB2E51">
        <w:rPr>
          <w:rFonts w:asciiTheme="minorHAnsi" w:eastAsia="Cambria" w:hAnsiTheme="minorHAnsi" w:cstheme="minorHAnsi"/>
          <w:b/>
          <w:bCs/>
          <w:color w:val="000000" w:themeColor="text1"/>
        </w:rPr>
        <w:t>nových členských států</w:t>
      </w:r>
      <w:r w:rsidR="00FC487E">
        <w:rPr>
          <w:rFonts w:asciiTheme="minorHAnsi" w:eastAsia="Cambria" w:hAnsiTheme="minorHAnsi" w:cstheme="minorHAnsi"/>
          <w:b/>
          <w:bCs/>
          <w:color w:val="000000" w:themeColor="text1"/>
        </w:rPr>
        <w:t xml:space="preserve"> EU</w:t>
      </w:r>
      <w:r w:rsidRPr="00FB2E51">
        <w:rPr>
          <w:rFonts w:asciiTheme="minorHAnsi" w:eastAsia="Cambria" w:hAnsiTheme="minorHAnsi" w:cstheme="minorHAnsi"/>
          <w:b/>
          <w:bCs/>
          <w:color w:val="000000" w:themeColor="text1"/>
        </w:rPr>
        <w:t xml:space="preserve">. </w:t>
      </w:r>
      <w:r w:rsidRPr="00B43E5B">
        <w:rPr>
          <w:rFonts w:asciiTheme="minorHAnsi" w:eastAsia="Cambria" w:hAnsiTheme="minorHAnsi" w:cstheme="minorHAnsi"/>
          <w:color w:val="000000" w:themeColor="text1"/>
        </w:rPr>
        <w:t>Příprava návrhů projektů společně</w:t>
      </w:r>
      <w:r w:rsidR="009B66B5">
        <w:rPr>
          <w:rFonts w:asciiTheme="minorHAnsi" w:eastAsia="Cambria" w:hAnsiTheme="minorHAnsi" w:cstheme="minorHAnsi"/>
          <w:color w:val="000000" w:themeColor="text1"/>
        </w:rPr>
        <w:t xml:space="preserve"> s </w:t>
      </w:r>
      <w:r w:rsidR="001A1754">
        <w:rPr>
          <w:rFonts w:asciiTheme="minorHAnsi" w:eastAsia="Cambria" w:hAnsiTheme="minorHAnsi" w:cstheme="minorHAnsi"/>
          <w:color w:val="000000" w:themeColor="text1"/>
        </w:rPr>
        <w:t xml:space="preserve">TOP </w:t>
      </w:r>
      <w:r w:rsidRPr="00B43E5B">
        <w:rPr>
          <w:rFonts w:asciiTheme="minorHAnsi" w:eastAsia="Cambria" w:hAnsiTheme="minorHAnsi" w:cstheme="minorHAnsi"/>
          <w:color w:val="000000" w:themeColor="text1"/>
        </w:rPr>
        <w:t xml:space="preserve">institucemi by se tak mohla považovat za "měkkou formu šíření excelence". </w:t>
      </w:r>
    </w:p>
    <w:p w14:paraId="26FA91A5" w14:textId="77777777" w:rsidR="00F9717D" w:rsidRPr="00B43E5B" w:rsidRDefault="5592521F" w:rsidP="5592521F">
      <w:pPr>
        <w:spacing w:after="160" w:line="259" w:lineRule="auto"/>
        <w:rPr>
          <w:rFonts w:asciiTheme="minorHAnsi" w:eastAsia="Cambria" w:hAnsiTheme="minorHAnsi" w:cstheme="minorHAnsi"/>
          <w:color w:val="000000" w:themeColor="text1"/>
        </w:rPr>
      </w:pPr>
      <w:r w:rsidRPr="00B43E5B">
        <w:rPr>
          <w:rFonts w:asciiTheme="minorHAnsi" w:eastAsia="Cambria" w:hAnsiTheme="minorHAnsi" w:cstheme="minorHAnsi"/>
          <w:color w:val="000000" w:themeColor="text1"/>
        </w:rPr>
        <w:t>Chceme-li</w:t>
      </w:r>
      <w:r w:rsidR="009B66B5">
        <w:rPr>
          <w:rFonts w:asciiTheme="minorHAnsi" w:eastAsia="Cambria" w:hAnsiTheme="minorHAnsi" w:cstheme="minorHAnsi"/>
          <w:color w:val="000000" w:themeColor="text1"/>
        </w:rPr>
        <w:t xml:space="preserve"> i </w:t>
      </w:r>
      <w:r w:rsidRPr="00B43E5B">
        <w:rPr>
          <w:rFonts w:asciiTheme="minorHAnsi" w:eastAsia="Cambria" w:hAnsiTheme="minorHAnsi" w:cstheme="minorHAnsi"/>
          <w:color w:val="000000" w:themeColor="text1"/>
        </w:rPr>
        <w:t>nadále zvyšovat</w:t>
      </w:r>
      <w:r w:rsidRPr="00B43E5B">
        <w:rPr>
          <w:rFonts w:asciiTheme="minorHAnsi" w:eastAsia="Segoe UI" w:hAnsiTheme="minorHAnsi" w:cstheme="minorHAnsi"/>
          <w:color w:val="000000" w:themeColor="text1"/>
        </w:rPr>
        <w:t xml:space="preserve"> úspěšnost (účastnickou</w:t>
      </w:r>
      <w:r w:rsidR="009B66B5">
        <w:rPr>
          <w:rFonts w:asciiTheme="minorHAnsi" w:eastAsia="Segoe UI" w:hAnsiTheme="minorHAnsi" w:cstheme="minorHAnsi"/>
          <w:color w:val="000000" w:themeColor="text1"/>
        </w:rPr>
        <w:t xml:space="preserve"> i </w:t>
      </w:r>
      <w:r w:rsidRPr="00B43E5B">
        <w:rPr>
          <w:rFonts w:asciiTheme="minorHAnsi" w:eastAsia="Cambria" w:hAnsiTheme="minorHAnsi" w:cstheme="minorHAnsi"/>
          <w:color w:val="000000" w:themeColor="text1"/>
        </w:rPr>
        <w:t>finanční) ČR</w:t>
      </w:r>
      <w:r w:rsidR="009B66B5">
        <w:rPr>
          <w:rFonts w:asciiTheme="minorHAnsi" w:eastAsia="Cambria" w:hAnsiTheme="minorHAnsi" w:cstheme="minorHAnsi"/>
          <w:color w:val="000000" w:themeColor="text1"/>
        </w:rPr>
        <w:t xml:space="preserve"> v </w:t>
      </w:r>
      <w:r w:rsidR="001A1754">
        <w:rPr>
          <w:rFonts w:asciiTheme="minorHAnsi" w:eastAsia="Cambria" w:hAnsiTheme="minorHAnsi" w:cstheme="minorHAnsi"/>
          <w:color w:val="000000" w:themeColor="text1"/>
        </w:rPr>
        <w:t>RP</w:t>
      </w:r>
      <w:r w:rsidRPr="00B43E5B">
        <w:rPr>
          <w:rFonts w:asciiTheme="minorHAnsi" w:eastAsia="Cambria" w:hAnsiTheme="minorHAnsi" w:cstheme="minorHAnsi"/>
          <w:color w:val="000000" w:themeColor="text1"/>
        </w:rPr>
        <w:t xml:space="preserve">, je třeba </w:t>
      </w:r>
      <w:r w:rsidR="008D2CAF">
        <w:rPr>
          <w:rFonts w:asciiTheme="minorHAnsi" w:eastAsia="Cambria" w:hAnsiTheme="minorHAnsi" w:cstheme="minorHAnsi"/>
          <w:color w:val="000000" w:themeColor="text1"/>
        </w:rPr>
        <w:t xml:space="preserve">jak </w:t>
      </w:r>
      <w:r w:rsidRPr="00B43E5B">
        <w:rPr>
          <w:rFonts w:asciiTheme="minorHAnsi" w:eastAsia="Cambria" w:hAnsiTheme="minorHAnsi" w:cstheme="minorHAnsi"/>
          <w:color w:val="000000" w:themeColor="text1"/>
        </w:rPr>
        <w:t>uvnitř institucí, tak</w:t>
      </w:r>
      <w:r w:rsidR="009B66B5">
        <w:rPr>
          <w:rFonts w:asciiTheme="minorHAnsi" w:eastAsia="Cambria" w:hAnsiTheme="minorHAnsi" w:cstheme="minorHAnsi"/>
          <w:color w:val="000000" w:themeColor="text1"/>
        </w:rPr>
        <w:t xml:space="preserve"> i </w:t>
      </w:r>
      <w:r w:rsidRPr="00B43E5B">
        <w:rPr>
          <w:rFonts w:asciiTheme="minorHAnsi" w:eastAsia="Cambria" w:hAnsiTheme="minorHAnsi" w:cstheme="minorHAnsi"/>
          <w:color w:val="000000" w:themeColor="text1"/>
        </w:rPr>
        <w:t>při mezinárodních jednáních podniknout takové kroky</w:t>
      </w:r>
      <w:r w:rsidR="008D2CAF">
        <w:rPr>
          <w:rFonts w:asciiTheme="minorHAnsi" w:eastAsia="Cambria" w:hAnsiTheme="minorHAnsi" w:cstheme="minorHAnsi"/>
          <w:color w:val="000000" w:themeColor="text1"/>
        </w:rPr>
        <w:t>,</w:t>
      </w:r>
      <w:r w:rsidRPr="00B43E5B">
        <w:rPr>
          <w:rFonts w:asciiTheme="minorHAnsi" w:eastAsia="Cambria" w:hAnsiTheme="minorHAnsi" w:cstheme="minorHAnsi"/>
          <w:color w:val="000000" w:themeColor="text1"/>
        </w:rPr>
        <w:t xml:space="preserve"> které povedou</w:t>
      </w:r>
      <w:r w:rsidR="009B66B5">
        <w:rPr>
          <w:rFonts w:asciiTheme="minorHAnsi" w:eastAsia="Cambria" w:hAnsiTheme="minorHAnsi" w:cstheme="minorHAnsi"/>
          <w:color w:val="000000" w:themeColor="text1"/>
        </w:rPr>
        <w:t xml:space="preserve"> k </w:t>
      </w:r>
      <w:r w:rsidRPr="00B43E5B">
        <w:rPr>
          <w:rFonts w:asciiTheme="minorHAnsi" w:eastAsia="Cambria" w:hAnsiTheme="minorHAnsi" w:cstheme="minorHAnsi"/>
          <w:color w:val="000000" w:themeColor="text1"/>
        </w:rPr>
        <w:t>vyšší spolupráci</w:t>
      </w:r>
      <w:r w:rsidRPr="00B43E5B">
        <w:rPr>
          <w:rFonts w:asciiTheme="minorHAnsi" w:eastAsia="Segoe UI" w:hAnsiTheme="minorHAnsi" w:cstheme="minorHAnsi"/>
          <w:color w:val="000000" w:themeColor="text1"/>
        </w:rPr>
        <w:t xml:space="preserve"> českých</w:t>
      </w:r>
      <w:r w:rsidRPr="00B43E5B">
        <w:rPr>
          <w:rFonts w:asciiTheme="minorHAnsi" w:eastAsia="Cambria" w:hAnsiTheme="minorHAnsi" w:cstheme="minorHAnsi"/>
          <w:color w:val="000000" w:themeColor="text1"/>
        </w:rPr>
        <w:t xml:space="preserve"> výzkumných</w:t>
      </w:r>
      <w:r w:rsidR="009B66B5">
        <w:rPr>
          <w:rFonts w:asciiTheme="minorHAnsi" w:eastAsia="Cambria" w:hAnsiTheme="minorHAnsi" w:cstheme="minorHAnsi"/>
          <w:color w:val="000000" w:themeColor="text1"/>
        </w:rPr>
        <w:t xml:space="preserve"> a </w:t>
      </w:r>
      <w:r w:rsidR="001A1754">
        <w:rPr>
          <w:rFonts w:asciiTheme="minorHAnsi" w:eastAsia="Cambria" w:hAnsiTheme="minorHAnsi" w:cstheme="minorHAnsi"/>
          <w:color w:val="000000" w:themeColor="text1"/>
        </w:rPr>
        <w:t xml:space="preserve">inovačních </w:t>
      </w:r>
      <w:r w:rsidRPr="00B43E5B">
        <w:rPr>
          <w:rFonts w:asciiTheme="minorHAnsi" w:eastAsia="Cambria" w:hAnsiTheme="minorHAnsi" w:cstheme="minorHAnsi"/>
          <w:color w:val="000000" w:themeColor="text1"/>
        </w:rPr>
        <w:t>tým</w:t>
      </w:r>
      <w:r w:rsidRPr="00B43E5B">
        <w:rPr>
          <w:rFonts w:asciiTheme="minorHAnsi" w:eastAsia="Segoe UI" w:hAnsiTheme="minorHAnsi" w:cstheme="minorHAnsi"/>
          <w:color w:val="000000" w:themeColor="text1"/>
        </w:rPr>
        <w:t>ů</w:t>
      </w:r>
      <w:r w:rsidRPr="00B43E5B">
        <w:rPr>
          <w:rFonts w:asciiTheme="minorHAnsi" w:eastAsia="Cambria" w:hAnsiTheme="minorHAnsi" w:cstheme="minorHAnsi"/>
          <w:color w:val="000000" w:themeColor="text1"/>
        </w:rPr>
        <w:t xml:space="preserve"> při přípravě návrhů projektů</w:t>
      </w:r>
      <w:r w:rsidR="009B66B5">
        <w:rPr>
          <w:rFonts w:asciiTheme="minorHAnsi" w:eastAsia="Cambria" w:hAnsiTheme="minorHAnsi" w:cstheme="minorHAnsi"/>
          <w:color w:val="000000" w:themeColor="text1"/>
        </w:rPr>
        <w:t xml:space="preserve"> s </w:t>
      </w:r>
      <w:r w:rsidRPr="00B43E5B">
        <w:rPr>
          <w:rFonts w:asciiTheme="minorHAnsi" w:eastAsia="Cambria" w:hAnsiTheme="minorHAnsi" w:cstheme="minorHAnsi"/>
          <w:color w:val="000000" w:themeColor="text1"/>
        </w:rPr>
        <w:t>excelentními TOP institucemi. Ukázalo se</w:t>
      </w:r>
      <w:r w:rsidRPr="00B43E5B">
        <w:rPr>
          <w:rFonts w:asciiTheme="minorHAnsi" w:eastAsia="Segoe UI" w:hAnsiTheme="minorHAnsi" w:cstheme="minorHAnsi"/>
          <w:color w:val="000000" w:themeColor="text1"/>
        </w:rPr>
        <w:t>, že takové doporučení lze rozšířit</w:t>
      </w:r>
      <w:r w:rsidR="009B66B5">
        <w:rPr>
          <w:rFonts w:asciiTheme="minorHAnsi" w:eastAsia="Segoe UI" w:hAnsiTheme="minorHAnsi" w:cstheme="minorHAnsi"/>
          <w:color w:val="000000" w:themeColor="text1"/>
        </w:rPr>
        <w:t xml:space="preserve"> i </w:t>
      </w:r>
      <w:r w:rsidRPr="00B43E5B">
        <w:rPr>
          <w:rFonts w:asciiTheme="minorHAnsi" w:eastAsia="Segoe UI" w:hAnsiTheme="minorHAnsi" w:cstheme="minorHAnsi"/>
          <w:color w:val="000000" w:themeColor="text1"/>
        </w:rPr>
        <w:t xml:space="preserve">na </w:t>
      </w:r>
      <w:r w:rsidRPr="00B43E5B">
        <w:rPr>
          <w:rFonts w:asciiTheme="minorHAnsi" w:eastAsia="Cambria" w:hAnsiTheme="minorHAnsi" w:cstheme="minorHAnsi"/>
          <w:color w:val="000000" w:themeColor="text1"/>
        </w:rPr>
        <w:t>jednotlivé</w:t>
      </w:r>
      <w:r w:rsidRPr="00B43E5B">
        <w:rPr>
          <w:rFonts w:asciiTheme="minorHAnsi" w:eastAsia="Segoe UI" w:hAnsiTheme="minorHAnsi" w:cstheme="minorHAnsi"/>
          <w:color w:val="000000" w:themeColor="text1"/>
        </w:rPr>
        <w:t xml:space="preserve"> části RP, když</w:t>
      </w:r>
      <w:r w:rsidR="009B66B5">
        <w:rPr>
          <w:rFonts w:asciiTheme="minorHAnsi" w:eastAsia="Segoe UI" w:hAnsiTheme="minorHAnsi" w:cstheme="minorHAnsi"/>
          <w:color w:val="000000" w:themeColor="text1"/>
        </w:rPr>
        <w:t xml:space="preserve"> v </w:t>
      </w:r>
      <w:r w:rsidRPr="00B43E5B">
        <w:rPr>
          <w:rFonts w:asciiTheme="minorHAnsi" w:eastAsia="Segoe UI" w:hAnsiTheme="minorHAnsi" w:cstheme="minorHAnsi"/>
          <w:color w:val="000000" w:themeColor="text1"/>
        </w:rPr>
        <w:t>dané tematické prioritě místo celkových TOP</w:t>
      </w:r>
      <w:r w:rsidRPr="00B43E5B">
        <w:rPr>
          <w:rFonts w:asciiTheme="minorHAnsi" w:eastAsia="Cambria" w:hAnsiTheme="minorHAnsi" w:cstheme="minorHAnsi"/>
          <w:color w:val="000000" w:themeColor="text1"/>
        </w:rPr>
        <w:t xml:space="preserve"> institucí budeme uvažovat skupinu TOP institucí</w:t>
      </w:r>
      <w:r w:rsidR="009B66B5">
        <w:rPr>
          <w:rFonts w:asciiTheme="minorHAnsi" w:eastAsia="Cambria" w:hAnsiTheme="minorHAnsi" w:cstheme="minorHAnsi"/>
          <w:color w:val="000000" w:themeColor="text1"/>
        </w:rPr>
        <w:t xml:space="preserve"> v </w:t>
      </w:r>
      <w:r w:rsidRPr="00B43E5B">
        <w:rPr>
          <w:rFonts w:asciiTheme="minorHAnsi" w:eastAsia="Cambria" w:hAnsiTheme="minorHAnsi" w:cstheme="minorHAnsi"/>
          <w:color w:val="000000" w:themeColor="text1"/>
        </w:rPr>
        <w:t>dané části RP [</w:t>
      </w:r>
      <w:r w:rsidR="001842C5">
        <w:rPr>
          <w:rFonts w:asciiTheme="minorHAnsi" w:eastAsia="Cambria" w:hAnsiTheme="minorHAnsi" w:cstheme="minorHAnsi"/>
          <w:color w:val="000000" w:themeColor="text1"/>
        </w:rPr>
        <w:t>1</w:t>
      </w:r>
      <w:r w:rsidR="00317719">
        <w:rPr>
          <w:rFonts w:asciiTheme="minorHAnsi" w:eastAsia="Cambria" w:hAnsiTheme="minorHAnsi" w:cstheme="minorHAnsi"/>
          <w:color w:val="000000" w:themeColor="text1"/>
        </w:rPr>
        <w:t>4</w:t>
      </w:r>
      <w:r w:rsidRPr="00B43E5B">
        <w:rPr>
          <w:rFonts w:asciiTheme="minorHAnsi" w:eastAsia="Cambria" w:hAnsiTheme="minorHAnsi" w:cstheme="minorHAnsi"/>
          <w:color w:val="000000" w:themeColor="text1"/>
        </w:rPr>
        <w:t xml:space="preserve">]. </w:t>
      </w:r>
    </w:p>
    <w:p w14:paraId="75B24101" w14:textId="77777777" w:rsidR="00F9717D" w:rsidRPr="00B43E5B" w:rsidRDefault="00A94737" w:rsidP="5592521F">
      <w:pPr>
        <w:spacing w:after="160" w:line="259" w:lineRule="auto"/>
        <w:rPr>
          <w:rFonts w:asciiTheme="minorHAnsi" w:eastAsia="Cambria" w:hAnsiTheme="minorHAnsi" w:cstheme="minorHAnsi"/>
          <w:color w:val="000000" w:themeColor="text1"/>
        </w:rPr>
      </w:pPr>
      <w:r>
        <w:rPr>
          <w:rFonts w:asciiTheme="minorHAnsi" w:eastAsia="Cambria" w:hAnsiTheme="minorHAnsi" w:cstheme="minorHAnsi"/>
          <w:color w:val="000000" w:themeColor="text1"/>
        </w:rPr>
        <w:t>P</w:t>
      </w:r>
      <w:r w:rsidR="5592521F" w:rsidRPr="00B43E5B">
        <w:rPr>
          <w:rFonts w:asciiTheme="minorHAnsi" w:eastAsia="Cambria" w:hAnsiTheme="minorHAnsi" w:cstheme="minorHAnsi"/>
          <w:color w:val="000000" w:themeColor="text1"/>
        </w:rPr>
        <w:t>ro ČR</w:t>
      </w:r>
      <w:r w:rsidR="009B66B5">
        <w:rPr>
          <w:rFonts w:asciiTheme="minorHAnsi" w:eastAsia="Cambria" w:hAnsiTheme="minorHAnsi" w:cstheme="minorHAnsi"/>
          <w:color w:val="000000" w:themeColor="text1"/>
        </w:rPr>
        <w:t xml:space="preserve"> a </w:t>
      </w:r>
      <w:r w:rsidR="5592521F" w:rsidRPr="00B43E5B">
        <w:rPr>
          <w:rFonts w:asciiTheme="minorHAnsi" w:eastAsia="Cambria" w:hAnsiTheme="minorHAnsi" w:cstheme="minorHAnsi"/>
          <w:color w:val="000000" w:themeColor="text1"/>
        </w:rPr>
        <w:t xml:space="preserve">ostatní </w:t>
      </w:r>
      <w:r w:rsidR="001A1754">
        <w:rPr>
          <w:rFonts w:asciiTheme="minorHAnsi" w:eastAsia="Cambria" w:hAnsiTheme="minorHAnsi" w:cstheme="minorHAnsi"/>
          <w:color w:val="000000" w:themeColor="text1"/>
        </w:rPr>
        <w:t>tzv. nové členské státy EU</w:t>
      </w:r>
      <w:r w:rsidR="001A1754" w:rsidRPr="00B43E5B">
        <w:rPr>
          <w:rFonts w:asciiTheme="minorHAnsi" w:eastAsia="Cambria" w:hAnsiTheme="minorHAnsi" w:cstheme="minorHAnsi"/>
          <w:color w:val="000000" w:themeColor="text1"/>
        </w:rPr>
        <w:t xml:space="preserve"> </w:t>
      </w:r>
      <w:r w:rsidR="5592521F" w:rsidRPr="00B43E5B">
        <w:rPr>
          <w:rFonts w:asciiTheme="minorHAnsi" w:eastAsia="Cambria" w:hAnsiTheme="minorHAnsi" w:cstheme="minorHAnsi"/>
          <w:color w:val="000000" w:themeColor="text1"/>
        </w:rPr>
        <w:t>spolupráce</w:t>
      </w:r>
      <w:r w:rsidR="009B66B5">
        <w:rPr>
          <w:rFonts w:asciiTheme="minorHAnsi" w:eastAsia="Cambria" w:hAnsiTheme="minorHAnsi" w:cstheme="minorHAnsi"/>
          <w:color w:val="000000" w:themeColor="text1"/>
        </w:rPr>
        <w:t xml:space="preserve"> s </w:t>
      </w:r>
      <w:r w:rsidR="5592521F" w:rsidRPr="00B43E5B">
        <w:rPr>
          <w:rFonts w:asciiTheme="minorHAnsi" w:eastAsia="Cambria" w:hAnsiTheme="minorHAnsi" w:cstheme="minorHAnsi"/>
          <w:color w:val="000000" w:themeColor="text1"/>
        </w:rPr>
        <w:t xml:space="preserve">TOP </w:t>
      </w:r>
      <w:r w:rsidR="001A1754">
        <w:rPr>
          <w:rFonts w:asciiTheme="minorHAnsi" w:eastAsia="Cambria" w:hAnsiTheme="minorHAnsi" w:cstheme="minorHAnsi"/>
          <w:color w:val="000000" w:themeColor="text1"/>
        </w:rPr>
        <w:t xml:space="preserve">institucemi </w:t>
      </w:r>
      <w:r w:rsidR="5592521F" w:rsidRPr="00B43E5B">
        <w:rPr>
          <w:rFonts w:asciiTheme="minorHAnsi" w:eastAsia="Cambria" w:hAnsiTheme="minorHAnsi" w:cstheme="minorHAnsi"/>
          <w:color w:val="000000" w:themeColor="text1"/>
        </w:rPr>
        <w:t xml:space="preserve">představuje významnou složku evropské přidané hodnoty projektů </w:t>
      </w:r>
      <w:r w:rsidR="001A1754">
        <w:rPr>
          <w:rFonts w:asciiTheme="minorHAnsi" w:eastAsia="Cambria" w:hAnsiTheme="minorHAnsi" w:cstheme="minorHAnsi"/>
          <w:color w:val="000000" w:themeColor="text1"/>
        </w:rPr>
        <w:t>RP</w:t>
      </w:r>
      <w:r w:rsidR="5592521F" w:rsidRPr="00B43E5B">
        <w:rPr>
          <w:rFonts w:asciiTheme="minorHAnsi" w:eastAsia="Cambria" w:hAnsiTheme="minorHAnsi" w:cstheme="minorHAnsi"/>
          <w:color w:val="000000" w:themeColor="text1"/>
        </w:rPr>
        <w:t>. Tato spolupráce vede</w:t>
      </w:r>
      <w:r w:rsidR="009B66B5">
        <w:rPr>
          <w:rFonts w:asciiTheme="minorHAnsi" w:eastAsia="Cambria" w:hAnsiTheme="minorHAnsi" w:cstheme="minorHAnsi"/>
          <w:color w:val="000000" w:themeColor="text1"/>
        </w:rPr>
        <w:t xml:space="preserve"> k </w:t>
      </w:r>
      <w:r w:rsidR="5592521F" w:rsidRPr="00B43E5B">
        <w:rPr>
          <w:rFonts w:asciiTheme="minorHAnsi" w:eastAsia="Cambria" w:hAnsiTheme="minorHAnsi" w:cstheme="minorHAnsi"/>
          <w:color w:val="000000" w:themeColor="text1"/>
        </w:rPr>
        <w:t>propojování výzkumníků</w:t>
      </w:r>
      <w:r w:rsidR="009B66B5">
        <w:rPr>
          <w:rFonts w:asciiTheme="minorHAnsi" w:eastAsia="Cambria" w:hAnsiTheme="minorHAnsi" w:cstheme="minorHAnsi"/>
          <w:color w:val="000000" w:themeColor="text1"/>
        </w:rPr>
        <w:t xml:space="preserve"> a </w:t>
      </w:r>
      <w:r w:rsidR="001A1754">
        <w:rPr>
          <w:rFonts w:asciiTheme="minorHAnsi" w:eastAsia="Cambria" w:hAnsiTheme="minorHAnsi" w:cstheme="minorHAnsi"/>
          <w:color w:val="000000" w:themeColor="text1"/>
        </w:rPr>
        <w:t>inovátorů</w:t>
      </w:r>
      <w:r w:rsidR="009B66B5">
        <w:rPr>
          <w:rFonts w:asciiTheme="minorHAnsi" w:eastAsia="Cambria" w:hAnsiTheme="minorHAnsi" w:cstheme="minorHAnsi"/>
          <w:color w:val="000000" w:themeColor="text1"/>
        </w:rPr>
        <w:t xml:space="preserve"> s </w:t>
      </w:r>
      <w:r w:rsidR="5592521F" w:rsidRPr="00B43E5B">
        <w:rPr>
          <w:rFonts w:asciiTheme="minorHAnsi" w:eastAsia="Cambria" w:hAnsiTheme="minorHAnsi" w:cstheme="minorHAnsi"/>
          <w:color w:val="000000" w:themeColor="text1"/>
        </w:rPr>
        <w:t>vedoucími osobnostmi</w:t>
      </w:r>
      <w:r w:rsidR="009B66B5">
        <w:rPr>
          <w:rFonts w:asciiTheme="minorHAnsi" w:eastAsia="Cambria" w:hAnsiTheme="minorHAnsi" w:cstheme="minorHAnsi"/>
          <w:color w:val="000000" w:themeColor="text1"/>
        </w:rPr>
        <w:t xml:space="preserve"> v </w:t>
      </w:r>
      <w:r w:rsidR="5592521F" w:rsidRPr="00B43E5B">
        <w:rPr>
          <w:rFonts w:asciiTheme="minorHAnsi" w:eastAsia="Cambria" w:hAnsiTheme="minorHAnsi" w:cstheme="minorHAnsi"/>
          <w:color w:val="000000" w:themeColor="text1"/>
        </w:rPr>
        <w:t xml:space="preserve">daném oboru. Prostředí </w:t>
      </w:r>
      <w:r w:rsidR="001A1754">
        <w:rPr>
          <w:rFonts w:asciiTheme="minorHAnsi" w:eastAsia="Cambria" w:hAnsiTheme="minorHAnsi" w:cstheme="minorHAnsi"/>
          <w:color w:val="000000" w:themeColor="text1"/>
        </w:rPr>
        <w:t>RP</w:t>
      </w:r>
      <w:r w:rsidR="5592521F" w:rsidRPr="00B43E5B">
        <w:rPr>
          <w:rFonts w:asciiTheme="minorHAnsi" w:eastAsia="Cambria" w:hAnsiTheme="minorHAnsi" w:cstheme="minorHAnsi"/>
          <w:color w:val="000000" w:themeColor="text1"/>
        </w:rPr>
        <w:t xml:space="preserve"> umožňuje takovou spolupráci, aniž jsou nutná mnohočetná bilaterální jednání mezi státy či institucemi [</w:t>
      </w:r>
      <w:r w:rsidR="001842C5">
        <w:rPr>
          <w:rFonts w:asciiTheme="minorHAnsi" w:eastAsia="Cambria" w:hAnsiTheme="minorHAnsi" w:cstheme="minorHAnsi"/>
          <w:color w:val="000000" w:themeColor="text1"/>
        </w:rPr>
        <w:t>1</w:t>
      </w:r>
      <w:r w:rsidR="00317719">
        <w:rPr>
          <w:rFonts w:asciiTheme="minorHAnsi" w:eastAsia="Cambria" w:hAnsiTheme="minorHAnsi" w:cstheme="minorHAnsi"/>
          <w:color w:val="000000" w:themeColor="text1"/>
        </w:rPr>
        <w:t>5</w:t>
      </w:r>
      <w:r w:rsidR="26E5C05E" w:rsidRPr="00B43E5B">
        <w:rPr>
          <w:rFonts w:asciiTheme="minorHAnsi" w:eastAsia="Cambria" w:hAnsiTheme="minorHAnsi" w:cstheme="minorHAnsi"/>
          <w:color w:val="000000" w:themeColor="text1"/>
        </w:rPr>
        <w:t xml:space="preserve">]. </w:t>
      </w:r>
    </w:p>
    <w:p w14:paraId="5274A9F0" w14:textId="77777777" w:rsidR="00F9717D" w:rsidRPr="00B43E5B" w:rsidRDefault="5592521F" w:rsidP="5592521F">
      <w:pPr>
        <w:spacing w:after="160" w:line="259" w:lineRule="auto"/>
        <w:rPr>
          <w:rFonts w:asciiTheme="minorHAnsi" w:eastAsia="Cambria" w:hAnsiTheme="minorHAnsi" w:cstheme="minorHAnsi"/>
          <w:color w:val="000000" w:themeColor="text1"/>
        </w:rPr>
      </w:pPr>
      <w:r w:rsidRPr="00B43E5B">
        <w:rPr>
          <w:rFonts w:asciiTheme="minorHAnsi" w:eastAsia="Cambria" w:hAnsiTheme="minorHAnsi" w:cstheme="minorHAnsi"/>
          <w:color w:val="000000" w:themeColor="text1"/>
        </w:rPr>
        <w:t xml:space="preserve">Na základě provedených analýz lze konstatovat, že mnohé </w:t>
      </w:r>
      <w:r w:rsidRPr="00B43E5B">
        <w:rPr>
          <w:rFonts w:asciiTheme="minorHAnsi" w:eastAsia="Segoe UI" w:hAnsiTheme="minorHAnsi" w:cstheme="minorHAnsi"/>
          <w:color w:val="000000" w:themeColor="text1"/>
        </w:rPr>
        <w:t>české týmy celkem dobře</w:t>
      </w:r>
      <w:r w:rsidR="009B66B5">
        <w:rPr>
          <w:rFonts w:asciiTheme="minorHAnsi" w:eastAsia="Segoe UI" w:hAnsiTheme="minorHAnsi" w:cstheme="minorHAnsi"/>
          <w:color w:val="000000" w:themeColor="text1"/>
        </w:rPr>
        <w:t xml:space="preserve"> a </w:t>
      </w:r>
      <w:r w:rsidRPr="00B43E5B">
        <w:rPr>
          <w:rFonts w:asciiTheme="minorHAnsi" w:eastAsia="Cambria" w:hAnsiTheme="minorHAnsi" w:cstheme="minorHAnsi"/>
          <w:color w:val="000000" w:themeColor="text1"/>
        </w:rPr>
        <w:t>opakovaně využíva</w:t>
      </w:r>
      <w:r w:rsidR="00627C31">
        <w:rPr>
          <w:rFonts w:asciiTheme="minorHAnsi" w:eastAsia="Cambria" w:hAnsiTheme="minorHAnsi" w:cstheme="minorHAnsi"/>
          <w:color w:val="000000" w:themeColor="text1"/>
        </w:rPr>
        <w:t>ly</w:t>
      </w:r>
      <w:r w:rsidRPr="00B43E5B">
        <w:rPr>
          <w:rFonts w:asciiTheme="minorHAnsi" w:eastAsia="Cambria" w:hAnsiTheme="minorHAnsi" w:cstheme="minorHAnsi"/>
          <w:color w:val="000000" w:themeColor="text1"/>
        </w:rPr>
        <w:t xml:space="preserve"> příležitost spolupracovat</w:t>
      </w:r>
      <w:r w:rsidR="009B66B5">
        <w:rPr>
          <w:rFonts w:asciiTheme="minorHAnsi" w:eastAsia="Cambria" w:hAnsiTheme="minorHAnsi" w:cstheme="minorHAnsi"/>
          <w:color w:val="000000" w:themeColor="text1"/>
        </w:rPr>
        <w:t xml:space="preserve"> v </w:t>
      </w:r>
      <w:r w:rsidRPr="00B43E5B">
        <w:rPr>
          <w:rFonts w:asciiTheme="minorHAnsi" w:eastAsia="Cambria" w:hAnsiTheme="minorHAnsi" w:cstheme="minorHAnsi"/>
          <w:color w:val="000000" w:themeColor="text1"/>
        </w:rPr>
        <w:t>projektech 7. RP</w:t>
      </w:r>
      <w:r w:rsidR="009B66B5">
        <w:rPr>
          <w:rFonts w:asciiTheme="minorHAnsi" w:eastAsia="Cambria" w:hAnsiTheme="minorHAnsi" w:cstheme="minorHAnsi"/>
          <w:color w:val="000000" w:themeColor="text1"/>
        </w:rPr>
        <w:t xml:space="preserve"> a </w:t>
      </w:r>
      <w:r w:rsidRPr="00B43E5B">
        <w:rPr>
          <w:rFonts w:asciiTheme="minorHAnsi" w:eastAsia="Cambria" w:hAnsiTheme="minorHAnsi" w:cstheme="minorHAnsi"/>
          <w:color w:val="000000" w:themeColor="text1"/>
        </w:rPr>
        <w:t>H</w:t>
      </w:r>
      <w:r w:rsidR="001A1754">
        <w:rPr>
          <w:rFonts w:asciiTheme="minorHAnsi" w:eastAsia="Cambria" w:hAnsiTheme="minorHAnsi" w:cstheme="minorHAnsi"/>
          <w:color w:val="000000" w:themeColor="text1"/>
        </w:rPr>
        <w:t xml:space="preserve">orizontu </w:t>
      </w:r>
      <w:r w:rsidRPr="00B43E5B">
        <w:rPr>
          <w:rFonts w:asciiTheme="minorHAnsi" w:eastAsia="Cambria" w:hAnsiTheme="minorHAnsi" w:cstheme="minorHAnsi"/>
          <w:color w:val="000000" w:themeColor="text1"/>
        </w:rPr>
        <w:t>2020</w:t>
      </w:r>
      <w:r w:rsidR="009B66B5">
        <w:rPr>
          <w:rFonts w:asciiTheme="minorHAnsi" w:eastAsia="Cambria" w:hAnsiTheme="minorHAnsi" w:cstheme="minorHAnsi"/>
          <w:color w:val="000000" w:themeColor="text1"/>
        </w:rPr>
        <w:t xml:space="preserve"> s </w:t>
      </w:r>
      <w:r w:rsidRPr="00B43E5B">
        <w:rPr>
          <w:rFonts w:asciiTheme="minorHAnsi" w:eastAsia="Cambria" w:hAnsiTheme="minorHAnsi" w:cstheme="minorHAnsi"/>
          <w:color w:val="000000" w:themeColor="text1"/>
        </w:rPr>
        <w:t>týmy</w:t>
      </w:r>
      <w:r w:rsidR="009B66B5">
        <w:rPr>
          <w:rFonts w:asciiTheme="minorHAnsi" w:eastAsia="Cambria" w:hAnsiTheme="minorHAnsi" w:cstheme="minorHAnsi"/>
          <w:color w:val="000000" w:themeColor="text1"/>
        </w:rPr>
        <w:t xml:space="preserve"> z </w:t>
      </w:r>
      <w:r w:rsidRPr="00B43E5B">
        <w:rPr>
          <w:rFonts w:asciiTheme="minorHAnsi" w:eastAsia="Cambria" w:hAnsiTheme="minorHAnsi" w:cstheme="minorHAnsi"/>
          <w:color w:val="000000" w:themeColor="text1"/>
        </w:rPr>
        <w:t>nejvýznamnějších evropských institucí VaV</w:t>
      </w:r>
      <w:r w:rsidR="001A1754">
        <w:rPr>
          <w:rFonts w:asciiTheme="minorHAnsi" w:eastAsia="Cambria" w:hAnsiTheme="minorHAnsi" w:cstheme="minorHAnsi"/>
          <w:color w:val="000000" w:themeColor="text1"/>
        </w:rPr>
        <w:t>aI</w:t>
      </w:r>
      <w:r w:rsidRPr="00B43E5B">
        <w:rPr>
          <w:rFonts w:asciiTheme="minorHAnsi" w:eastAsia="Cambria" w:hAnsiTheme="minorHAnsi" w:cstheme="minorHAnsi"/>
          <w:color w:val="000000" w:themeColor="text1"/>
        </w:rPr>
        <w:t xml:space="preserve"> [</w:t>
      </w:r>
      <w:r w:rsidR="001842C5">
        <w:rPr>
          <w:rFonts w:asciiTheme="minorHAnsi" w:eastAsia="Cambria" w:hAnsiTheme="minorHAnsi" w:cstheme="minorHAnsi"/>
          <w:color w:val="000000" w:themeColor="text1"/>
        </w:rPr>
        <w:t>1</w:t>
      </w:r>
      <w:r w:rsidR="00317719">
        <w:rPr>
          <w:rFonts w:asciiTheme="minorHAnsi" w:eastAsia="Cambria" w:hAnsiTheme="minorHAnsi" w:cstheme="minorHAnsi"/>
          <w:color w:val="000000" w:themeColor="text1"/>
        </w:rPr>
        <w:t>4</w:t>
      </w:r>
      <w:r w:rsidRPr="00B43E5B">
        <w:rPr>
          <w:rFonts w:asciiTheme="minorHAnsi" w:eastAsia="Cambria" w:hAnsiTheme="minorHAnsi" w:cstheme="minorHAnsi"/>
          <w:color w:val="000000" w:themeColor="text1"/>
        </w:rPr>
        <w:t>,</w:t>
      </w:r>
      <w:r w:rsidR="001842C5">
        <w:rPr>
          <w:rFonts w:asciiTheme="minorHAnsi" w:eastAsia="Cambria" w:hAnsiTheme="minorHAnsi" w:cstheme="minorHAnsi"/>
          <w:color w:val="000000" w:themeColor="text1"/>
        </w:rPr>
        <w:t>1</w:t>
      </w:r>
      <w:r w:rsidR="00317719">
        <w:rPr>
          <w:rFonts w:asciiTheme="minorHAnsi" w:eastAsia="Cambria" w:hAnsiTheme="minorHAnsi" w:cstheme="minorHAnsi"/>
          <w:color w:val="000000" w:themeColor="text1"/>
        </w:rPr>
        <w:t>5</w:t>
      </w:r>
      <w:r w:rsidRPr="00B43E5B">
        <w:rPr>
          <w:rFonts w:asciiTheme="minorHAnsi" w:eastAsia="Cambria" w:hAnsiTheme="minorHAnsi" w:cstheme="minorHAnsi"/>
          <w:color w:val="000000" w:themeColor="text1"/>
        </w:rPr>
        <w:t>]</w:t>
      </w:r>
      <w:r w:rsidR="00F749E7">
        <w:rPr>
          <w:rFonts w:asciiTheme="minorHAnsi" w:eastAsia="Cambria" w:hAnsiTheme="minorHAnsi" w:cstheme="minorHAnsi"/>
          <w:color w:val="000000" w:themeColor="text1"/>
        </w:rPr>
        <w:t>,</w:t>
      </w:r>
      <w:r w:rsidR="009B66B5">
        <w:rPr>
          <w:rFonts w:asciiTheme="minorHAnsi" w:eastAsia="Cambria" w:hAnsiTheme="minorHAnsi" w:cstheme="minorHAnsi"/>
          <w:color w:val="000000" w:themeColor="text1"/>
        </w:rPr>
        <w:t xml:space="preserve"> a i </w:t>
      </w:r>
      <w:r w:rsidRPr="00B43E5B">
        <w:rPr>
          <w:rFonts w:asciiTheme="minorHAnsi" w:eastAsia="Cambria" w:hAnsiTheme="minorHAnsi" w:cstheme="minorHAnsi"/>
          <w:color w:val="000000" w:themeColor="text1"/>
        </w:rPr>
        <w:t>proto je úspěšnost</w:t>
      </w:r>
      <w:r w:rsidRPr="00B43E5B">
        <w:rPr>
          <w:rFonts w:asciiTheme="minorHAnsi" w:eastAsia="Segoe UI" w:hAnsiTheme="minorHAnsi" w:cstheme="minorHAnsi"/>
          <w:color w:val="000000" w:themeColor="text1"/>
        </w:rPr>
        <w:t xml:space="preserve"> ČR</w:t>
      </w:r>
      <w:r w:rsidR="009B66B5">
        <w:rPr>
          <w:rFonts w:asciiTheme="minorHAnsi" w:eastAsia="Cambria" w:hAnsiTheme="minorHAnsi" w:cstheme="minorHAnsi"/>
          <w:color w:val="000000" w:themeColor="text1"/>
        </w:rPr>
        <w:t xml:space="preserve"> v </w:t>
      </w:r>
      <w:r w:rsidRPr="00B43E5B">
        <w:rPr>
          <w:rFonts w:asciiTheme="minorHAnsi" w:eastAsia="Cambria" w:hAnsiTheme="minorHAnsi" w:cstheme="minorHAnsi"/>
          <w:color w:val="000000" w:themeColor="text1"/>
        </w:rPr>
        <w:t>porovnání</w:t>
      </w:r>
      <w:r w:rsidR="009B66B5">
        <w:rPr>
          <w:rFonts w:asciiTheme="minorHAnsi" w:eastAsia="Cambria" w:hAnsiTheme="minorHAnsi" w:cstheme="minorHAnsi"/>
          <w:color w:val="000000" w:themeColor="text1"/>
        </w:rPr>
        <w:t xml:space="preserve"> s </w:t>
      </w:r>
      <w:r w:rsidRPr="00B43E5B">
        <w:rPr>
          <w:rFonts w:asciiTheme="minorHAnsi" w:eastAsia="Cambria" w:hAnsiTheme="minorHAnsi" w:cstheme="minorHAnsi"/>
          <w:color w:val="000000" w:themeColor="text1"/>
        </w:rPr>
        <w:t>ostatními státy EU-13 celkově vyšší. V H</w:t>
      </w:r>
      <w:r w:rsidR="001A1754">
        <w:rPr>
          <w:rFonts w:asciiTheme="minorHAnsi" w:eastAsia="Cambria" w:hAnsiTheme="minorHAnsi" w:cstheme="minorHAnsi"/>
          <w:color w:val="000000" w:themeColor="text1"/>
        </w:rPr>
        <w:t xml:space="preserve">orizontu </w:t>
      </w:r>
      <w:r w:rsidRPr="00B43E5B">
        <w:rPr>
          <w:rFonts w:asciiTheme="minorHAnsi" w:eastAsia="Cambria" w:hAnsiTheme="minorHAnsi" w:cstheme="minorHAnsi"/>
          <w:color w:val="000000" w:themeColor="text1"/>
        </w:rPr>
        <w:t xml:space="preserve">2020 </w:t>
      </w:r>
      <w:r w:rsidRPr="007E2323">
        <w:rPr>
          <w:rFonts w:asciiTheme="minorHAnsi" w:eastAsia="Cambria" w:hAnsiTheme="minorHAnsi" w:cstheme="minorHAnsi"/>
          <w:color w:val="000000" w:themeColor="text1"/>
        </w:rPr>
        <w:t>dokonce atakovala</w:t>
      </w:r>
      <w:r w:rsidRPr="00B43E5B">
        <w:rPr>
          <w:rFonts w:asciiTheme="minorHAnsi" w:eastAsia="Cambria" w:hAnsiTheme="minorHAnsi" w:cstheme="minorHAnsi"/>
          <w:color w:val="000000" w:themeColor="text1"/>
        </w:rPr>
        <w:t xml:space="preserve"> celkovou úspěšnost států EU-15 [</w:t>
      </w:r>
      <w:r w:rsidR="001842C5">
        <w:rPr>
          <w:rFonts w:asciiTheme="minorHAnsi" w:eastAsia="Cambria" w:hAnsiTheme="minorHAnsi" w:cstheme="minorHAnsi"/>
          <w:color w:val="000000" w:themeColor="text1"/>
        </w:rPr>
        <w:t>5</w:t>
      </w:r>
      <w:r w:rsidRPr="00B43E5B">
        <w:rPr>
          <w:rFonts w:asciiTheme="minorHAnsi" w:eastAsia="Cambria" w:hAnsiTheme="minorHAnsi" w:cstheme="minorHAnsi"/>
          <w:color w:val="000000" w:themeColor="text1"/>
        </w:rPr>
        <w:t>]. To vypovídá přesvědčivě</w:t>
      </w:r>
      <w:r w:rsidR="009B66B5">
        <w:rPr>
          <w:rFonts w:asciiTheme="minorHAnsi" w:eastAsia="Cambria" w:hAnsiTheme="minorHAnsi" w:cstheme="minorHAnsi"/>
          <w:color w:val="000000" w:themeColor="text1"/>
        </w:rPr>
        <w:t xml:space="preserve"> o </w:t>
      </w:r>
      <w:r w:rsidRPr="00B43E5B">
        <w:rPr>
          <w:rFonts w:asciiTheme="minorHAnsi" w:eastAsia="Cambria" w:hAnsiTheme="minorHAnsi" w:cstheme="minorHAnsi"/>
          <w:color w:val="000000" w:themeColor="text1"/>
        </w:rPr>
        <w:t>kvalitě některých</w:t>
      </w:r>
      <w:r w:rsidRPr="00B43E5B">
        <w:rPr>
          <w:rFonts w:asciiTheme="minorHAnsi" w:eastAsia="Segoe UI" w:hAnsiTheme="minorHAnsi" w:cstheme="minorHAnsi"/>
          <w:color w:val="000000" w:themeColor="text1"/>
        </w:rPr>
        <w:t xml:space="preserve"> českých výzkumných týmů. </w:t>
      </w:r>
      <w:r w:rsidRPr="00B43E5B">
        <w:rPr>
          <w:rFonts w:asciiTheme="minorHAnsi" w:eastAsia="Cambria" w:hAnsiTheme="minorHAnsi" w:cstheme="minorHAnsi"/>
          <w:color w:val="000000" w:themeColor="text1"/>
        </w:rPr>
        <w:t xml:space="preserve">Je tedy </w:t>
      </w:r>
      <w:r w:rsidR="0091747B">
        <w:rPr>
          <w:rFonts w:asciiTheme="minorHAnsi" w:eastAsia="Cambria" w:hAnsiTheme="minorHAnsi" w:cstheme="minorHAnsi"/>
          <w:color w:val="000000" w:themeColor="text1"/>
        </w:rPr>
        <w:t>třeba</w:t>
      </w:r>
      <w:r w:rsidR="001A1754">
        <w:rPr>
          <w:rFonts w:asciiTheme="minorHAnsi" w:eastAsia="Cambria" w:hAnsiTheme="minorHAnsi" w:cstheme="minorHAnsi"/>
          <w:color w:val="000000" w:themeColor="text1"/>
        </w:rPr>
        <w:t>,</w:t>
      </w:r>
      <w:r w:rsidRPr="00B43E5B">
        <w:rPr>
          <w:rFonts w:asciiTheme="minorHAnsi" w:eastAsia="Segoe UI" w:hAnsiTheme="minorHAnsi" w:cstheme="minorHAnsi"/>
          <w:color w:val="000000" w:themeColor="text1"/>
        </w:rPr>
        <w:t xml:space="preserve"> abychom mnohem aktivněji využívali možností spolupracovat</w:t>
      </w:r>
      <w:r w:rsidR="009B66B5">
        <w:rPr>
          <w:rFonts w:asciiTheme="minorHAnsi" w:eastAsia="Segoe UI" w:hAnsiTheme="minorHAnsi" w:cstheme="minorHAnsi"/>
          <w:color w:val="000000" w:themeColor="text1"/>
        </w:rPr>
        <w:t xml:space="preserve"> s </w:t>
      </w:r>
      <w:r w:rsidRPr="00B43E5B">
        <w:rPr>
          <w:rFonts w:asciiTheme="minorHAnsi" w:eastAsia="Segoe UI" w:hAnsiTheme="minorHAnsi" w:cstheme="minorHAnsi"/>
          <w:color w:val="000000" w:themeColor="text1"/>
        </w:rPr>
        <w:t xml:space="preserve">nejvýznamnějším evropskými institucemi, které RP nabízí, </w:t>
      </w:r>
      <w:r w:rsidRPr="00B43E5B">
        <w:rPr>
          <w:rFonts w:asciiTheme="minorHAnsi" w:eastAsia="Cambria" w:hAnsiTheme="minorHAnsi" w:cstheme="minorHAnsi"/>
          <w:color w:val="000000" w:themeColor="text1"/>
        </w:rPr>
        <w:t>tj. zapojili se do přípravy mnohem většího počtu projektových návrhů</w:t>
      </w:r>
      <w:r w:rsidR="00210E36">
        <w:rPr>
          <w:rFonts w:asciiTheme="minorHAnsi" w:eastAsia="Cambria" w:hAnsiTheme="minorHAnsi" w:cstheme="minorHAnsi"/>
          <w:color w:val="000000" w:themeColor="text1"/>
        </w:rPr>
        <w:t>.</w:t>
      </w:r>
    </w:p>
    <w:p w14:paraId="60A84FA6" w14:textId="77777777" w:rsidR="5592521F" w:rsidRPr="00B43E5B" w:rsidRDefault="5592521F" w:rsidP="00DF7764">
      <w:pPr>
        <w:pStyle w:val="Nadpis2"/>
      </w:pPr>
      <w:bookmarkStart w:id="11" w:name="_Toc114572311"/>
      <w:r w:rsidRPr="005515AB">
        <w:t>Kvalita</w:t>
      </w:r>
      <w:r w:rsidRPr="00B43E5B">
        <w:t xml:space="preserve"> publikačních výsledků</w:t>
      </w:r>
      <w:r w:rsidR="009B66B5">
        <w:t xml:space="preserve"> z </w:t>
      </w:r>
      <w:r w:rsidRPr="00B43E5B">
        <w:t xml:space="preserve">projektů </w:t>
      </w:r>
      <w:r w:rsidR="007C0D59">
        <w:t>rámcových programů</w:t>
      </w:r>
      <w:bookmarkEnd w:id="11"/>
    </w:p>
    <w:p w14:paraId="34048FFD" w14:textId="77777777" w:rsidR="5592521F" w:rsidRPr="00B43E5B" w:rsidRDefault="42361FC7" w:rsidP="09F46A13">
      <w:pPr>
        <w:spacing w:after="0" w:line="257" w:lineRule="auto"/>
        <w:rPr>
          <w:rFonts w:asciiTheme="minorHAnsi" w:hAnsiTheme="minorHAnsi" w:cstheme="minorHAnsi"/>
        </w:rPr>
      </w:pPr>
      <w:r w:rsidRPr="00B43E5B">
        <w:rPr>
          <w:rFonts w:asciiTheme="minorHAnsi" w:eastAsia="Cambria" w:hAnsiTheme="minorHAnsi" w:cstheme="minorHAnsi"/>
        </w:rPr>
        <w:t>Ve všech zemích EU</w:t>
      </w:r>
      <w:r w:rsidR="00C53505">
        <w:rPr>
          <w:rFonts w:asciiTheme="minorHAnsi" w:eastAsia="Cambria" w:hAnsiTheme="minorHAnsi" w:cstheme="minorHAnsi"/>
        </w:rPr>
        <w:t>,</w:t>
      </w:r>
      <w:r w:rsidR="00F749E7">
        <w:rPr>
          <w:rFonts w:asciiTheme="minorHAnsi" w:eastAsia="Cambria" w:hAnsiTheme="minorHAnsi" w:cstheme="minorHAnsi"/>
        </w:rPr>
        <w:t xml:space="preserve"> včetně ČR, se publikace</w:t>
      </w:r>
      <w:r w:rsidR="009B66B5">
        <w:rPr>
          <w:rFonts w:asciiTheme="minorHAnsi" w:eastAsia="Cambria" w:hAnsiTheme="minorHAnsi" w:cstheme="minorHAnsi"/>
        </w:rPr>
        <w:t xml:space="preserve"> z </w:t>
      </w:r>
      <w:r w:rsidRPr="00B43E5B">
        <w:rPr>
          <w:rFonts w:asciiTheme="minorHAnsi" w:eastAsia="Cambria" w:hAnsiTheme="minorHAnsi" w:cstheme="minorHAnsi"/>
        </w:rPr>
        <w:t>RP značně liší od běžné národní produkce (European Commission 2017, European Commission 2019, Fresco</w:t>
      </w:r>
      <w:r w:rsidR="009B66B5">
        <w:rPr>
          <w:rFonts w:asciiTheme="minorHAnsi" w:eastAsia="Cambria" w:hAnsiTheme="minorHAnsi" w:cstheme="minorHAnsi"/>
        </w:rPr>
        <w:t xml:space="preserve"> a </w:t>
      </w:r>
      <w:r w:rsidRPr="00B43E5B">
        <w:rPr>
          <w:rFonts w:asciiTheme="minorHAnsi" w:eastAsia="Cambria" w:hAnsiTheme="minorHAnsi" w:cstheme="minorHAnsi"/>
        </w:rPr>
        <w:t>spol. 2015, Vaněček 2021). Mezinárodní rozměr RP se odráží</w:t>
      </w:r>
      <w:r w:rsidR="009B66B5">
        <w:rPr>
          <w:rFonts w:asciiTheme="minorHAnsi" w:eastAsia="Cambria" w:hAnsiTheme="minorHAnsi" w:cstheme="minorHAnsi"/>
        </w:rPr>
        <w:t xml:space="preserve"> i v </w:t>
      </w:r>
      <w:r w:rsidRPr="00B43E5B">
        <w:rPr>
          <w:rFonts w:asciiTheme="minorHAnsi" w:eastAsia="Cambria" w:hAnsiTheme="minorHAnsi" w:cstheme="minorHAnsi"/>
        </w:rPr>
        <w:t>charakteru publikací, které vznikají</w:t>
      </w:r>
      <w:r w:rsidR="009B66B5">
        <w:rPr>
          <w:rFonts w:asciiTheme="minorHAnsi" w:eastAsia="Cambria" w:hAnsiTheme="minorHAnsi" w:cstheme="minorHAnsi"/>
        </w:rPr>
        <w:t xml:space="preserve"> z </w:t>
      </w:r>
      <w:r w:rsidRPr="00B43E5B">
        <w:rPr>
          <w:rFonts w:asciiTheme="minorHAnsi" w:eastAsia="Cambria" w:hAnsiTheme="minorHAnsi" w:cstheme="minorHAnsi"/>
        </w:rPr>
        <w:t>řešených projektů. Na většině publikačních výstupů spolupracují autoři</w:t>
      </w:r>
      <w:r w:rsidR="009B66B5">
        <w:rPr>
          <w:rFonts w:asciiTheme="minorHAnsi" w:eastAsia="Cambria" w:hAnsiTheme="minorHAnsi" w:cstheme="minorHAnsi"/>
        </w:rPr>
        <w:t xml:space="preserve"> z </w:t>
      </w:r>
      <w:r w:rsidRPr="00B43E5B">
        <w:rPr>
          <w:rFonts w:asciiTheme="minorHAnsi" w:eastAsia="Cambria" w:hAnsiTheme="minorHAnsi" w:cstheme="minorHAnsi"/>
        </w:rPr>
        <w:t xml:space="preserve">různých </w:t>
      </w:r>
      <w:r w:rsidR="00311FDE">
        <w:rPr>
          <w:rFonts w:asciiTheme="minorHAnsi" w:eastAsia="Cambria" w:hAnsiTheme="minorHAnsi" w:cstheme="minorHAnsi"/>
        </w:rPr>
        <w:t xml:space="preserve">zemí, </w:t>
      </w:r>
      <w:r w:rsidRPr="00B43E5B">
        <w:rPr>
          <w:rFonts w:asciiTheme="minorHAnsi" w:eastAsia="Cambria" w:hAnsiTheme="minorHAnsi" w:cstheme="minorHAnsi"/>
        </w:rPr>
        <w:t>tj. publikace vzniklé</w:t>
      </w:r>
      <w:r w:rsidR="009B66B5">
        <w:rPr>
          <w:rFonts w:asciiTheme="minorHAnsi" w:eastAsia="Cambria" w:hAnsiTheme="minorHAnsi" w:cstheme="minorHAnsi"/>
        </w:rPr>
        <w:t xml:space="preserve"> z </w:t>
      </w:r>
      <w:r w:rsidRPr="00B43E5B">
        <w:rPr>
          <w:rFonts w:asciiTheme="minorHAnsi" w:eastAsia="Cambria" w:hAnsiTheme="minorHAnsi" w:cstheme="minorHAnsi"/>
        </w:rPr>
        <w:t>projektů RP mají vyšší míru mezinárodní spolupráce. Vyšší je oproti národním publikacím rovněž míra spolupráce</w:t>
      </w:r>
      <w:r w:rsidR="009B66B5">
        <w:rPr>
          <w:rFonts w:asciiTheme="minorHAnsi" w:eastAsia="Cambria" w:hAnsiTheme="minorHAnsi" w:cstheme="minorHAnsi"/>
        </w:rPr>
        <w:t xml:space="preserve"> s </w:t>
      </w:r>
      <w:r w:rsidRPr="00B43E5B">
        <w:rPr>
          <w:rFonts w:asciiTheme="minorHAnsi" w:eastAsia="Cambria" w:hAnsiTheme="minorHAnsi" w:cstheme="minorHAnsi"/>
        </w:rPr>
        <w:t>privátním sektorem</w:t>
      </w:r>
      <w:r w:rsidR="009B66B5">
        <w:rPr>
          <w:rFonts w:asciiTheme="minorHAnsi" w:eastAsia="Cambria" w:hAnsiTheme="minorHAnsi" w:cstheme="minorHAnsi"/>
        </w:rPr>
        <w:t xml:space="preserve"> a </w:t>
      </w:r>
      <w:r w:rsidRPr="00B43E5B">
        <w:rPr>
          <w:rFonts w:asciiTheme="minorHAnsi" w:eastAsia="Cambria" w:hAnsiTheme="minorHAnsi" w:cstheme="minorHAnsi"/>
        </w:rPr>
        <w:t xml:space="preserve">podíl poznatků zaměřených na praktické využití výsledků projektů. Jsou zde </w:t>
      </w:r>
      <w:r w:rsidR="00731579">
        <w:rPr>
          <w:rFonts w:asciiTheme="minorHAnsi" w:eastAsia="Cambria" w:hAnsiTheme="minorHAnsi" w:cstheme="minorHAnsi"/>
        </w:rPr>
        <w:t>ale</w:t>
      </w:r>
      <w:r w:rsidR="009B66B5">
        <w:rPr>
          <w:rFonts w:asciiTheme="minorHAnsi" w:eastAsia="Cambria" w:hAnsiTheme="minorHAnsi" w:cstheme="minorHAnsi"/>
        </w:rPr>
        <w:t xml:space="preserve"> i </w:t>
      </w:r>
      <w:r w:rsidRPr="00B43E5B">
        <w:rPr>
          <w:rFonts w:asciiTheme="minorHAnsi" w:eastAsia="Cambria" w:hAnsiTheme="minorHAnsi" w:cstheme="minorHAnsi"/>
        </w:rPr>
        <w:t>další odlišnosti</w:t>
      </w:r>
      <w:r w:rsidR="00731579">
        <w:rPr>
          <w:rFonts w:asciiTheme="minorHAnsi" w:eastAsia="Cambria" w:hAnsiTheme="minorHAnsi" w:cstheme="minorHAnsi"/>
        </w:rPr>
        <w:t>, jako</w:t>
      </w:r>
      <w:r w:rsidRPr="00B43E5B">
        <w:rPr>
          <w:rFonts w:asciiTheme="minorHAnsi" w:eastAsia="Cambria" w:hAnsiTheme="minorHAnsi" w:cstheme="minorHAnsi"/>
        </w:rPr>
        <w:t xml:space="preserve"> vyšší podíl publikací </w:t>
      </w:r>
      <w:r w:rsidRPr="00B43E5B">
        <w:rPr>
          <w:rFonts w:asciiTheme="minorHAnsi" w:eastAsia="Cambria" w:hAnsiTheme="minorHAnsi" w:cstheme="minorHAnsi"/>
        </w:rPr>
        <w:lastRenderedPageBreak/>
        <w:t>otištěných</w:t>
      </w:r>
      <w:r w:rsidR="009B66B5">
        <w:rPr>
          <w:rFonts w:asciiTheme="minorHAnsi" w:eastAsia="Cambria" w:hAnsiTheme="minorHAnsi" w:cstheme="minorHAnsi"/>
        </w:rPr>
        <w:t xml:space="preserve"> v </w:t>
      </w:r>
      <w:r w:rsidR="00731579">
        <w:rPr>
          <w:rFonts w:asciiTheme="minorHAnsi" w:eastAsia="Cambria" w:hAnsiTheme="minorHAnsi" w:cstheme="minorHAnsi"/>
        </w:rPr>
        <w:t>předních</w:t>
      </w:r>
      <w:r w:rsidRPr="00B43E5B">
        <w:rPr>
          <w:rFonts w:asciiTheme="minorHAnsi" w:eastAsia="Cambria" w:hAnsiTheme="minorHAnsi" w:cstheme="minorHAnsi"/>
        </w:rPr>
        <w:t xml:space="preserve"> časopisech řazených</w:t>
      </w:r>
      <w:r w:rsidR="009B66B5">
        <w:rPr>
          <w:rFonts w:asciiTheme="minorHAnsi" w:eastAsia="Cambria" w:hAnsiTheme="minorHAnsi" w:cstheme="minorHAnsi"/>
        </w:rPr>
        <w:t xml:space="preserve"> v </w:t>
      </w:r>
      <w:r w:rsidR="00731579">
        <w:rPr>
          <w:rFonts w:asciiTheme="minorHAnsi" w:eastAsia="Cambria" w:hAnsiTheme="minorHAnsi" w:cstheme="minorHAnsi"/>
        </w:rPr>
        <w:t>příslušných</w:t>
      </w:r>
      <w:r w:rsidR="00731579" w:rsidRPr="00B43E5B">
        <w:rPr>
          <w:rFonts w:asciiTheme="minorHAnsi" w:eastAsia="Cambria" w:hAnsiTheme="minorHAnsi" w:cstheme="minorHAnsi"/>
        </w:rPr>
        <w:t xml:space="preserve"> </w:t>
      </w:r>
      <w:r w:rsidRPr="00B43E5B">
        <w:rPr>
          <w:rFonts w:asciiTheme="minorHAnsi" w:eastAsia="Cambria" w:hAnsiTheme="minorHAnsi" w:cstheme="minorHAnsi"/>
        </w:rPr>
        <w:t xml:space="preserve">oborech </w:t>
      </w:r>
      <w:r w:rsidR="00731579">
        <w:rPr>
          <w:rFonts w:asciiTheme="minorHAnsi" w:eastAsia="Cambria" w:hAnsiTheme="minorHAnsi" w:cstheme="minorHAnsi"/>
        </w:rPr>
        <w:t xml:space="preserve">spadajících </w:t>
      </w:r>
      <w:r w:rsidRPr="00B43E5B">
        <w:rPr>
          <w:rFonts w:asciiTheme="minorHAnsi" w:eastAsia="Cambria" w:hAnsiTheme="minorHAnsi" w:cstheme="minorHAnsi"/>
        </w:rPr>
        <w:t>do nejvyššího kvartilu (tzv. Q1 časopisy)</w:t>
      </w:r>
      <w:r w:rsidR="009B66B5">
        <w:rPr>
          <w:rFonts w:asciiTheme="minorHAnsi" w:eastAsia="Cambria" w:hAnsiTheme="minorHAnsi" w:cstheme="minorHAnsi"/>
        </w:rPr>
        <w:t xml:space="preserve"> a </w:t>
      </w:r>
      <w:r w:rsidRPr="00B43E5B">
        <w:rPr>
          <w:rFonts w:asciiTheme="minorHAnsi" w:eastAsia="Cambria" w:hAnsiTheme="minorHAnsi" w:cstheme="minorHAnsi"/>
        </w:rPr>
        <w:t>vysoká citovanost</w:t>
      </w:r>
      <w:r w:rsidR="009B66B5">
        <w:rPr>
          <w:rFonts w:asciiTheme="minorHAnsi" w:eastAsia="Cambria" w:hAnsiTheme="minorHAnsi" w:cstheme="minorHAnsi"/>
        </w:rPr>
        <w:t xml:space="preserve"> v </w:t>
      </w:r>
      <w:r w:rsidRPr="00B43E5B">
        <w:rPr>
          <w:rFonts w:asciiTheme="minorHAnsi" w:eastAsia="Cambria" w:hAnsiTheme="minorHAnsi" w:cstheme="minorHAnsi"/>
        </w:rPr>
        <w:t>podobě vysokého CNCI</w:t>
      </w:r>
      <w:r w:rsidR="006653B2">
        <w:rPr>
          <w:rStyle w:val="Znakapoznpodarou"/>
          <w:rFonts w:asciiTheme="minorHAnsi" w:eastAsia="Cambria" w:hAnsiTheme="minorHAnsi"/>
        </w:rPr>
        <w:footnoteReference w:id="2"/>
      </w:r>
      <w:r w:rsidR="5A69F3A3" w:rsidRPr="00B43E5B">
        <w:rPr>
          <w:rFonts w:asciiTheme="minorHAnsi" w:eastAsia="Cambria" w:hAnsiTheme="minorHAnsi" w:cstheme="minorHAnsi"/>
        </w:rPr>
        <w:t>.</w:t>
      </w:r>
      <w:r w:rsidRPr="00B43E5B">
        <w:rPr>
          <w:rFonts w:asciiTheme="minorHAnsi" w:eastAsia="Cambria" w:hAnsiTheme="minorHAnsi" w:cstheme="minorHAnsi"/>
        </w:rPr>
        <w:t xml:space="preserve"> </w:t>
      </w:r>
    </w:p>
    <w:p w14:paraId="7EA4F39B" w14:textId="77777777" w:rsidR="5592521F" w:rsidRDefault="42361FC7" w:rsidP="09F46A13">
      <w:pPr>
        <w:spacing w:after="0" w:line="257" w:lineRule="auto"/>
        <w:rPr>
          <w:rFonts w:asciiTheme="minorHAnsi" w:eastAsia="Cambria" w:hAnsiTheme="minorHAnsi" w:cstheme="minorHAnsi"/>
        </w:rPr>
      </w:pPr>
      <w:r w:rsidRPr="00B43E5B">
        <w:rPr>
          <w:rFonts w:asciiTheme="minorHAnsi" w:eastAsia="Cambria" w:hAnsiTheme="minorHAnsi" w:cstheme="minorHAnsi"/>
        </w:rPr>
        <w:t xml:space="preserve">Rozdíly </w:t>
      </w:r>
      <w:r w:rsidR="00C53505" w:rsidRPr="00B43E5B">
        <w:rPr>
          <w:rFonts w:asciiTheme="minorHAnsi" w:eastAsia="Cambria" w:hAnsiTheme="minorHAnsi" w:cstheme="minorHAnsi"/>
        </w:rPr>
        <w:t xml:space="preserve">mezi jednotlivými zeměmi </w:t>
      </w:r>
      <w:r w:rsidRPr="00B43E5B">
        <w:rPr>
          <w:rFonts w:asciiTheme="minorHAnsi" w:eastAsia="Cambria" w:hAnsiTheme="minorHAnsi" w:cstheme="minorHAnsi"/>
        </w:rPr>
        <w:t>ve všech těchto indikátorech jsou</w:t>
      </w:r>
      <w:r w:rsidR="009B66B5">
        <w:rPr>
          <w:rFonts w:asciiTheme="minorHAnsi" w:eastAsia="Cambria" w:hAnsiTheme="minorHAnsi" w:cstheme="minorHAnsi"/>
        </w:rPr>
        <w:t xml:space="preserve"> v </w:t>
      </w:r>
      <w:r w:rsidRPr="00B43E5B">
        <w:rPr>
          <w:rFonts w:asciiTheme="minorHAnsi" w:eastAsia="Cambria" w:hAnsiTheme="minorHAnsi" w:cstheme="minorHAnsi"/>
        </w:rPr>
        <w:t>publikacích</w:t>
      </w:r>
      <w:r w:rsidR="009B66B5">
        <w:rPr>
          <w:rFonts w:asciiTheme="minorHAnsi" w:eastAsia="Cambria" w:hAnsiTheme="minorHAnsi" w:cstheme="minorHAnsi"/>
        </w:rPr>
        <w:t xml:space="preserve"> z </w:t>
      </w:r>
      <w:r w:rsidRPr="00B43E5B">
        <w:rPr>
          <w:rFonts w:asciiTheme="minorHAnsi" w:eastAsia="Cambria" w:hAnsiTheme="minorHAnsi" w:cstheme="minorHAnsi"/>
        </w:rPr>
        <w:t>RP mnohem menší, než je tomu u běžné národní produkce. Z tohoto důvodu platí, že výzkumně slabší země EU si díky účasti</w:t>
      </w:r>
      <w:r w:rsidR="009B66B5">
        <w:rPr>
          <w:rFonts w:asciiTheme="minorHAnsi" w:eastAsia="Cambria" w:hAnsiTheme="minorHAnsi" w:cstheme="minorHAnsi"/>
        </w:rPr>
        <w:t xml:space="preserve"> v </w:t>
      </w:r>
      <w:r w:rsidRPr="00B43E5B">
        <w:rPr>
          <w:rFonts w:asciiTheme="minorHAnsi" w:eastAsia="Cambria" w:hAnsiTheme="minorHAnsi" w:cstheme="minorHAnsi"/>
        </w:rPr>
        <w:t>RP</w:t>
      </w:r>
      <w:r w:rsidR="009B66B5">
        <w:rPr>
          <w:rFonts w:asciiTheme="minorHAnsi" w:eastAsia="Cambria" w:hAnsiTheme="minorHAnsi" w:cstheme="minorHAnsi"/>
        </w:rPr>
        <w:t xml:space="preserve"> v </w:t>
      </w:r>
      <w:r w:rsidRPr="00B43E5B">
        <w:rPr>
          <w:rFonts w:asciiTheme="minorHAnsi" w:eastAsia="Cambria" w:hAnsiTheme="minorHAnsi" w:cstheme="minorHAnsi"/>
        </w:rPr>
        <w:t>kvalitě publikací polepší více než země výzkumně vyspělejší. To platí</w:t>
      </w:r>
      <w:r w:rsidR="009B66B5">
        <w:rPr>
          <w:rFonts w:asciiTheme="minorHAnsi" w:eastAsia="Cambria" w:hAnsiTheme="minorHAnsi" w:cstheme="minorHAnsi"/>
        </w:rPr>
        <w:t xml:space="preserve"> i </w:t>
      </w:r>
      <w:r w:rsidRPr="00B43E5B">
        <w:rPr>
          <w:rFonts w:asciiTheme="minorHAnsi" w:eastAsia="Cambria" w:hAnsiTheme="minorHAnsi" w:cstheme="minorHAnsi"/>
        </w:rPr>
        <w:t>pro ČR</w:t>
      </w:r>
      <w:r w:rsidR="00C53505">
        <w:rPr>
          <w:rFonts w:asciiTheme="minorHAnsi" w:eastAsia="Cambria" w:hAnsiTheme="minorHAnsi" w:cstheme="minorHAnsi"/>
        </w:rPr>
        <w:t>,</w:t>
      </w:r>
      <w:r w:rsidR="009B66B5">
        <w:rPr>
          <w:rFonts w:asciiTheme="minorHAnsi" w:eastAsia="Cambria" w:hAnsiTheme="minorHAnsi" w:cstheme="minorHAnsi"/>
        </w:rPr>
        <w:t xml:space="preserve"> a </w:t>
      </w:r>
      <w:r w:rsidRPr="00B43E5B">
        <w:rPr>
          <w:rFonts w:asciiTheme="minorHAnsi" w:eastAsia="Cambria" w:hAnsiTheme="minorHAnsi" w:cstheme="minorHAnsi"/>
        </w:rPr>
        <w:t>možná že zvláště pro ČR, protože průměrné české publikace se vyznačují velmi nízkou mírou zahraniční spolupráce.</w:t>
      </w:r>
    </w:p>
    <w:p w14:paraId="19227F7E" w14:textId="77777777" w:rsidR="5592521F" w:rsidRPr="00B43E5B" w:rsidRDefault="42361FC7" w:rsidP="09F46A13">
      <w:pPr>
        <w:spacing w:after="0" w:line="257" w:lineRule="auto"/>
        <w:rPr>
          <w:rFonts w:asciiTheme="minorHAnsi" w:hAnsiTheme="minorHAnsi" w:cstheme="minorHAnsi"/>
        </w:rPr>
      </w:pPr>
      <w:r w:rsidRPr="00B43E5B">
        <w:rPr>
          <w:rFonts w:asciiTheme="minorHAnsi" w:eastAsia="Cambria" w:hAnsiTheme="minorHAnsi" w:cstheme="minorHAnsi"/>
        </w:rPr>
        <w:t>Analýzy celkových výsledků R</w:t>
      </w:r>
      <w:r w:rsidR="00C53505">
        <w:rPr>
          <w:rFonts w:asciiTheme="minorHAnsi" w:eastAsia="Cambria" w:hAnsiTheme="minorHAnsi" w:cstheme="minorHAnsi"/>
        </w:rPr>
        <w:t>P</w:t>
      </w:r>
      <w:r w:rsidRPr="00B43E5B">
        <w:rPr>
          <w:rFonts w:asciiTheme="minorHAnsi" w:eastAsia="Cambria" w:hAnsiTheme="minorHAnsi" w:cstheme="minorHAnsi"/>
        </w:rPr>
        <w:t xml:space="preserve"> jsou početné. Evropská komise zadává</w:t>
      </w:r>
      <w:r w:rsidR="009B66B5">
        <w:rPr>
          <w:rFonts w:asciiTheme="minorHAnsi" w:eastAsia="Cambria" w:hAnsiTheme="minorHAnsi" w:cstheme="minorHAnsi"/>
        </w:rPr>
        <w:t xml:space="preserve"> a </w:t>
      </w:r>
      <w:r w:rsidRPr="00B43E5B">
        <w:rPr>
          <w:rFonts w:asciiTheme="minorHAnsi" w:eastAsia="Cambria" w:hAnsiTheme="minorHAnsi" w:cstheme="minorHAnsi"/>
        </w:rPr>
        <w:t>publikuje celkové analýzy každého RP vždy</w:t>
      </w:r>
      <w:r w:rsidR="009B66B5">
        <w:rPr>
          <w:rFonts w:asciiTheme="minorHAnsi" w:eastAsia="Cambria" w:hAnsiTheme="minorHAnsi" w:cstheme="minorHAnsi"/>
        </w:rPr>
        <w:t xml:space="preserve"> v </w:t>
      </w:r>
      <w:r w:rsidRPr="00B43E5B">
        <w:rPr>
          <w:rFonts w:asciiTheme="minorHAnsi" w:eastAsia="Cambria" w:hAnsiTheme="minorHAnsi" w:cstheme="minorHAnsi"/>
        </w:rPr>
        <w:t>polovině</w:t>
      </w:r>
      <w:r w:rsidR="009B66B5">
        <w:rPr>
          <w:rFonts w:asciiTheme="minorHAnsi" w:eastAsia="Cambria" w:hAnsiTheme="minorHAnsi" w:cstheme="minorHAnsi"/>
        </w:rPr>
        <w:t xml:space="preserve"> a </w:t>
      </w:r>
      <w:r w:rsidRPr="00B43E5B">
        <w:rPr>
          <w:rFonts w:asciiTheme="minorHAnsi" w:eastAsia="Cambria" w:hAnsiTheme="minorHAnsi" w:cstheme="minorHAnsi"/>
        </w:rPr>
        <w:t xml:space="preserve">na konci </w:t>
      </w:r>
      <w:r w:rsidR="00165275">
        <w:rPr>
          <w:rFonts w:asciiTheme="minorHAnsi" w:eastAsia="Cambria" w:hAnsiTheme="minorHAnsi" w:cstheme="minorHAnsi"/>
        </w:rPr>
        <w:t xml:space="preserve">realizace </w:t>
      </w:r>
      <w:r w:rsidR="00311FDE">
        <w:rPr>
          <w:rFonts w:asciiTheme="minorHAnsi" w:eastAsia="Cambria" w:hAnsiTheme="minorHAnsi" w:cstheme="minorHAnsi"/>
        </w:rPr>
        <w:t>(interim</w:t>
      </w:r>
      <w:r w:rsidR="009B66B5">
        <w:rPr>
          <w:rFonts w:asciiTheme="minorHAnsi" w:eastAsia="Cambria" w:hAnsiTheme="minorHAnsi" w:cstheme="minorHAnsi"/>
        </w:rPr>
        <w:t xml:space="preserve"> a </w:t>
      </w:r>
      <w:r w:rsidR="00311FDE">
        <w:rPr>
          <w:rFonts w:asciiTheme="minorHAnsi" w:eastAsia="Cambria" w:hAnsiTheme="minorHAnsi" w:cstheme="minorHAnsi"/>
        </w:rPr>
        <w:t>ex</w:t>
      </w:r>
      <w:r w:rsidR="00165275">
        <w:rPr>
          <w:rFonts w:asciiTheme="minorHAnsi" w:eastAsia="Cambria" w:hAnsiTheme="minorHAnsi" w:cstheme="minorHAnsi"/>
        </w:rPr>
        <w:t>-</w:t>
      </w:r>
      <w:r w:rsidR="00311FDE">
        <w:rPr>
          <w:rFonts w:asciiTheme="minorHAnsi" w:eastAsia="Cambria" w:hAnsiTheme="minorHAnsi" w:cstheme="minorHAnsi"/>
        </w:rPr>
        <w:t>post hodnocení</w:t>
      </w:r>
      <w:r w:rsidRPr="00B43E5B">
        <w:rPr>
          <w:rFonts w:asciiTheme="minorHAnsi" w:eastAsia="Cambria" w:hAnsiTheme="minorHAnsi" w:cstheme="minorHAnsi"/>
        </w:rPr>
        <w:t xml:space="preserve"> (European Commission 2017, European Commission 2019, Fresco</w:t>
      </w:r>
      <w:r w:rsidR="009B66B5">
        <w:rPr>
          <w:rFonts w:asciiTheme="minorHAnsi" w:eastAsia="Cambria" w:hAnsiTheme="minorHAnsi" w:cstheme="minorHAnsi"/>
        </w:rPr>
        <w:t xml:space="preserve"> a </w:t>
      </w:r>
      <w:r w:rsidRPr="00B43E5B">
        <w:rPr>
          <w:rFonts w:asciiTheme="minorHAnsi" w:eastAsia="Cambria" w:hAnsiTheme="minorHAnsi" w:cstheme="minorHAnsi"/>
        </w:rPr>
        <w:t>spol. 2015, European Commission 2013, Report of the Expert Group 2009, Arnold 2012). Rovněž publikuje ana</w:t>
      </w:r>
      <w:r w:rsidR="00311FDE">
        <w:rPr>
          <w:rFonts w:asciiTheme="minorHAnsi" w:eastAsia="Cambria" w:hAnsiTheme="minorHAnsi" w:cstheme="minorHAnsi"/>
        </w:rPr>
        <w:t>lýzy zaměřené na jednotlivé pod</w:t>
      </w:r>
      <w:r w:rsidRPr="00B43E5B">
        <w:rPr>
          <w:rFonts w:asciiTheme="minorHAnsi" w:eastAsia="Cambria" w:hAnsiTheme="minorHAnsi" w:cstheme="minorHAnsi"/>
        </w:rPr>
        <w:t>programy či pilíře. Další analýzy si zadávají j</w:t>
      </w:r>
      <w:r w:rsidR="00311FDE">
        <w:rPr>
          <w:rFonts w:asciiTheme="minorHAnsi" w:eastAsia="Cambria" w:hAnsiTheme="minorHAnsi" w:cstheme="minorHAnsi"/>
        </w:rPr>
        <w:t xml:space="preserve">ednotlivé </w:t>
      </w:r>
      <w:r w:rsidR="00165275">
        <w:rPr>
          <w:rFonts w:asciiTheme="minorHAnsi" w:eastAsia="Cambria" w:hAnsiTheme="minorHAnsi" w:cstheme="minorHAnsi"/>
        </w:rPr>
        <w:t xml:space="preserve">členské státy </w:t>
      </w:r>
      <w:r w:rsidR="00311FDE">
        <w:rPr>
          <w:rFonts w:asciiTheme="minorHAnsi" w:eastAsia="Cambria" w:hAnsiTheme="minorHAnsi" w:cstheme="minorHAnsi"/>
        </w:rPr>
        <w:t>EU</w:t>
      </w:r>
      <w:r w:rsidR="009B66B5">
        <w:rPr>
          <w:rFonts w:asciiTheme="minorHAnsi" w:eastAsia="Cambria" w:hAnsiTheme="minorHAnsi" w:cstheme="minorHAnsi"/>
        </w:rPr>
        <w:t xml:space="preserve"> a </w:t>
      </w:r>
      <w:r w:rsidR="00165275">
        <w:rPr>
          <w:rFonts w:asciiTheme="minorHAnsi" w:eastAsia="Cambria" w:hAnsiTheme="minorHAnsi" w:cstheme="minorHAnsi"/>
        </w:rPr>
        <w:t xml:space="preserve">asociované státy </w:t>
      </w:r>
      <w:r w:rsidR="00311FDE">
        <w:rPr>
          <w:rFonts w:asciiTheme="minorHAnsi" w:eastAsia="Cambria" w:hAnsiTheme="minorHAnsi" w:cstheme="minorHAnsi"/>
        </w:rPr>
        <w:t>(např. Dánsko</w:t>
      </w:r>
      <w:r w:rsidRPr="00B43E5B">
        <w:rPr>
          <w:rFonts w:asciiTheme="minorHAnsi" w:eastAsia="Cambria" w:hAnsiTheme="minorHAnsi" w:cstheme="minorHAnsi"/>
        </w:rPr>
        <w:t xml:space="preserve"> či Norsko) – ty jsou však pochopitelně zaměřeny vždy hlavně na účast</w:t>
      </w:r>
      <w:r w:rsidR="009B66B5">
        <w:rPr>
          <w:rFonts w:asciiTheme="minorHAnsi" w:eastAsia="Cambria" w:hAnsiTheme="minorHAnsi" w:cstheme="minorHAnsi"/>
        </w:rPr>
        <w:t xml:space="preserve"> a </w:t>
      </w:r>
      <w:r w:rsidRPr="00B43E5B">
        <w:rPr>
          <w:rFonts w:asciiTheme="minorHAnsi" w:eastAsia="Cambria" w:hAnsiTheme="minorHAnsi" w:cstheme="minorHAnsi"/>
        </w:rPr>
        <w:t>výsledky oné zadávající země (Ministry of Higher Education and Science 2015, Godø</w:t>
      </w:r>
      <w:r w:rsidR="009B66B5">
        <w:rPr>
          <w:rFonts w:asciiTheme="minorHAnsi" w:eastAsia="Cambria" w:hAnsiTheme="minorHAnsi" w:cstheme="minorHAnsi"/>
        </w:rPr>
        <w:t xml:space="preserve"> a </w:t>
      </w:r>
      <w:r w:rsidRPr="00B43E5B">
        <w:rPr>
          <w:rFonts w:asciiTheme="minorHAnsi" w:eastAsia="Cambria" w:hAnsiTheme="minorHAnsi" w:cstheme="minorHAnsi"/>
        </w:rPr>
        <w:t xml:space="preserve">spol. 2009). </w:t>
      </w:r>
    </w:p>
    <w:p w14:paraId="5B81B3C1" w14:textId="77777777" w:rsidR="00C93EB8" w:rsidRDefault="00311FDE" w:rsidP="00C93EB8">
      <w:pPr>
        <w:spacing w:after="0" w:line="257" w:lineRule="auto"/>
        <w:rPr>
          <w:rFonts w:asciiTheme="minorHAnsi" w:eastAsia="Cambria" w:hAnsiTheme="minorHAnsi" w:cstheme="minorHAnsi"/>
        </w:rPr>
      </w:pPr>
      <w:r>
        <w:rPr>
          <w:rFonts w:asciiTheme="minorHAnsi" w:eastAsia="Cambria" w:hAnsiTheme="minorHAnsi" w:cstheme="minorHAnsi"/>
        </w:rPr>
        <w:t>Důležitým ukazatelem porovná</w:t>
      </w:r>
      <w:r w:rsidR="00C93EB8" w:rsidRPr="00B43E5B">
        <w:rPr>
          <w:rFonts w:asciiTheme="minorHAnsi" w:eastAsia="Cambria" w:hAnsiTheme="minorHAnsi" w:cstheme="minorHAnsi"/>
        </w:rPr>
        <w:t>ní publik</w:t>
      </w:r>
      <w:r>
        <w:rPr>
          <w:rFonts w:asciiTheme="minorHAnsi" w:eastAsia="Cambria" w:hAnsiTheme="minorHAnsi" w:cstheme="minorHAnsi"/>
        </w:rPr>
        <w:t xml:space="preserve">ačních výstupů jednotlivých zemí </w:t>
      </w:r>
      <w:r w:rsidR="00165275">
        <w:rPr>
          <w:rFonts w:asciiTheme="minorHAnsi" w:eastAsia="Cambria" w:hAnsiTheme="minorHAnsi" w:cstheme="minorHAnsi"/>
        </w:rPr>
        <w:t xml:space="preserve">bývalé </w:t>
      </w:r>
      <w:r>
        <w:rPr>
          <w:rFonts w:asciiTheme="minorHAnsi" w:eastAsia="Cambria" w:hAnsiTheme="minorHAnsi" w:cstheme="minorHAnsi"/>
        </w:rPr>
        <w:t>EU-28 je podíl publikací</w:t>
      </w:r>
      <w:r w:rsidR="00C93EB8" w:rsidRPr="00B43E5B">
        <w:rPr>
          <w:rFonts w:asciiTheme="minorHAnsi" w:eastAsia="Cambria" w:hAnsiTheme="minorHAnsi" w:cstheme="minorHAnsi"/>
        </w:rPr>
        <w:t xml:space="preserve"> vzniklých</w:t>
      </w:r>
      <w:r w:rsidR="009B66B5">
        <w:rPr>
          <w:rFonts w:asciiTheme="minorHAnsi" w:eastAsia="Cambria" w:hAnsiTheme="minorHAnsi" w:cstheme="minorHAnsi"/>
        </w:rPr>
        <w:t xml:space="preserve"> z </w:t>
      </w:r>
      <w:r>
        <w:rPr>
          <w:rFonts w:asciiTheme="minorHAnsi" w:eastAsia="Cambria" w:hAnsiTheme="minorHAnsi" w:cstheme="minorHAnsi"/>
        </w:rPr>
        <w:t>RP</w:t>
      </w:r>
      <w:r w:rsidR="009B66B5">
        <w:rPr>
          <w:rFonts w:asciiTheme="minorHAnsi" w:eastAsia="Cambria" w:hAnsiTheme="minorHAnsi" w:cstheme="minorHAnsi"/>
        </w:rPr>
        <w:t xml:space="preserve"> k </w:t>
      </w:r>
      <w:r>
        <w:rPr>
          <w:rFonts w:asciiTheme="minorHAnsi" w:eastAsia="Cambria" w:hAnsiTheme="minorHAnsi" w:cstheme="minorHAnsi"/>
        </w:rPr>
        <w:t>celkové produkci publikací</w:t>
      </w:r>
      <w:r w:rsidR="00C93EB8" w:rsidRPr="00B43E5B">
        <w:rPr>
          <w:rFonts w:asciiTheme="minorHAnsi" w:eastAsia="Cambria" w:hAnsiTheme="minorHAnsi" w:cstheme="minorHAnsi"/>
        </w:rPr>
        <w:t xml:space="preserve"> dan</w:t>
      </w:r>
      <w:r w:rsidR="00FF79EF">
        <w:rPr>
          <w:rFonts w:asciiTheme="minorHAnsi" w:eastAsia="Cambria" w:hAnsiTheme="minorHAnsi" w:cstheme="minorHAnsi"/>
        </w:rPr>
        <w:t>é</w:t>
      </w:r>
      <w:r w:rsidR="00C93EB8" w:rsidRPr="00B43E5B">
        <w:rPr>
          <w:rFonts w:asciiTheme="minorHAnsi" w:eastAsia="Cambria" w:hAnsiTheme="minorHAnsi" w:cstheme="minorHAnsi"/>
        </w:rPr>
        <w:t xml:space="preserve"> země. Tento podíl lze považovat za jeden</w:t>
      </w:r>
      <w:r w:rsidR="009B66B5">
        <w:rPr>
          <w:rFonts w:asciiTheme="minorHAnsi" w:eastAsia="Cambria" w:hAnsiTheme="minorHAnsi" w:cstheme="minorHAnsi"/>
        </w:rPr>
        <w:t xml:space="preserve"> z </w:t>
      </w:r>
      <w:r w:rsidR="00C93EB8" w:rsidRPr="00B43E5B">
        <w:rPr>
          <w:rFonts w:asciiTheme="minorHAnsi" w:eastAsia="Cambria" w:hAnsiTheme="minorHAnsi" w:cstheme="minorHAnsi"/>
        </w:rPr>
        <w:t>indikátorů důležitosti H</w:t>
      </w:r>
      <w:r w:rsidR="00165275">
        <w:rPr>
          <w:rFonts w:asciiTheme="minorHAnsi" w:eastAsia="Cambria" w:hAnsiTheme="minorHAnsi" w:cstheme="minorHAnsi"/>
        </w:rPr>
        <w:t xml:space="preserve">orizontu </w:t>
      </w:r>
      <w:r w:rsidR="00C93EB8" w:rsidRPr="00B43E5B">
        <w:rPr>
          <w:rFonts w:asciiTheme="minorHAnsi" w:eastAsia="Cambria" w:hAnsiTheme="minorHAnsi" w:cstheme="minorHAnsi"/>
        </w:rPr>
        <w:t>2020</w:t>
      </w:r>
      <w:r w:rsidR="009B66B5">
        <w:rPr>
          <w:rFonts w:asciiTheme="minorHAnsi" w:eastAsia="Cambria" w:hAnsiTheme="minorHAnsi" w:cstheme="minorHAnsi"/>
        </w:rPr>
        <w:t xml:space="preserve"> v </w:t>
      </w:r>
      <w:r w:rsidR="00C93EB8" w:rsidRPr="00B43E5B">
        <w:rPr>
          <w:rFonts w:asciiTheme="minorHAnsi" w:eastAsia="Cambria" w:hAnsiTheme="minorHAnsi" w:cstheme="minorHAnsi"/>
        </w:rPr>
        <w:t>dané zemi, jehož význam roste zejména u menších zemí, které nemají tak rozsáhl</w:t>
      </w:r>
      <w:r w:rsidR="00FF79EF">
        <w:rPr>
          <w:rFonts w:asciiTheme="minorHAnsi" w:eastAsia="Cambria" w:hAnsiTheme="minorHAnsi" w:cstheme="minorHAnsi"/>
        </w:rPr>
        <w:t>é</w:t>
      </w:r>
      <w:r w:rsidR="00C93EB8" w:rsidRPr="00B43E5B">
        <w:rPr>
          <w:rFonts w:asciiTheme="minorHAnsi" w:eastAsia="Cambria" w:hAnsiTheme="minorHAnsi" w:cstheme="minorHAnsi"/>
        </w:rPr>
        <w:t xml:space="preserve"> systémy národní podpory </w:t>
      </w:r>
      <w:r w:rsidR="00165275">
        <w:rPr>
          <w:rFonts w:asciiTheme="minorHAnsi" w:eastAsia="Cambria" w:hAnsiTheme="minorHAnsi" w:cstheme="minorHAnsi"/>
        </w:rPr>
        <w:t>VaVaI</w:t>
      </w:r>
      <w:r w:rsidR="00C93EB8" w:rsidRPr="00B43E5B">
        <w:rPr>
          <w:rFonts w:asciiTheme="minorHAnsi" w:eastAsia="Cambria" w:hAnsiTheme="minorHAnsi" w:cstheme="minorHAnsi"/>
        </w:rPr>
        <w:t>. Z mezinárodních analýz vyplývá, že počet publikací vznikajících</w:t>
      </w:r>
      <w:r w:rsidR="009B66B5">
        <w:rPr>
          <w:rFonts w:asciiTheme="minorHAnsi" w:eastAsia="Cambria" w:hAnsiTheme="minorHAnsi" w:cstheme="minorHAnsi"/>
        </w:rPr>
        <w:t xml:space="preserve"> v </w:t>
      </w:r>
      <w:r w:rsidR="00C93EB8" w:rsidRPr="00B43E5B">
        <w:rPr>
          <w:rFonts w:asciiTheme="minorHAnsi" w:eastAsia="Cambria" w:hAnsiTheme="minorHAnsi" w:cstheme="minorHAnsi"/>
        </w:rPr>
        <w:t>RP představu</w:t>
      </w:r>
      <w:r>
        <w:rPr>
          <w:rFonts w:asciiTheme="minorHAnsi" w:eastAsia="Cambria" w:hAnsiTheme="minorHAnsi" w:cstheme="minorHAnsi"/>
        </w:rPr>
        <w:t>je přibližně 3</w:t>
      </w:r>
      <w:r w:rsidRPr="00B43E5B">
        <w:rPr>
          <w:rFonts w:asciiTheme="minorHAnsi" w:eastAsia="Cambria" w:hAnsiTheme="minorHAnsi" w:cstheme="minorHAnsi"/>
        </w:rPr>
        <w:t>–</w:t>
      </w:r>
      <w:r w:rsidR="00C93EB8" w:rsidRPr="00B43E5B">
        <w:rPr>
          <w:rFonts w:asciiTheme="minorHAnsi" w:eastAsia="Cambria" w:hAnsiTheme="minorHAnsi" w:cstheme="minorHAnsi"/>
        </w:rPr>
        <w:t>3,5</w:t>
      </w:r>
      <w:r>
        <w:rPr>
          <w:rFonts w:asciiTheme="minorHAnsi" w:eastAsia="Cambria" w:hAnsiTheme="minorHAnsi" w:cstheme="minorHAnsi"/>
        </w:rPr>
        <w:t xml:space="preserve"> % celkové produkce zemí </w:t>
      </w:r>
      <w:r w:rsidR="00165275">
        <w:rPr>
          <w:rFonts w:asciiTheme="minorHAnsi" w:eastAsia="Cambria" w:hAnsiTheme="minorHAnsi" w:cstheme="minorHAnsi"/>
        </w:rPr>
        <w:t xml:space="preserve">bývalé </w:t>
      </w:r>
      <w:r>
        <w:rPr>
          <w:rFonts w:asciiTheme="minorHAnsi" w:eastAsia="Cambria" w:hAnsiTheme="minorHAnsi" w:cstheme="minorHAnsi"/>
        </w:rPr>
        <w:t>EU-28</w:t>
      </w:r>
      <w:r w:rsidR="00C93EB8" w:rsidRPr="00B43E5B">
        <w:rPr>
          <w:rFonts w:asciiTheme="minorHAnsi" w:eastAsia="Cambria" w:hAnsiTheme="minorHAnsi" w:cstheme="minorHAnsi"/>
        </w:rPr>
        <w:t xml:space="preserve"> (interim</w:t>
      </w:r>
      <w:r w:rsidR="009B66B5">
        <w:rPr>
          <w:rFonts w:asciiTheme="minorHAnsi" w:eastAsia="Cambria" w:hAnsiTheme="minorHAnsi" w:cstheme="minorHAnsi"/>
        </w:rPr>
        <w:t xml:space="preserve"> a </w:t>
      </w:r>
      <w:r w:rsidR="00C93EB8" w:rsidRPr="00B43E5B">
        <w:rPr>
          <w:rFonts w:asciiTheme="minorHAnsi" w:eastAsia="Cambria" w:hAnsiTheme="minorHAnsi" w:cstheme="minorHAnsi"/>
        </w:rPr>
        <w:t>ex</w:t>
      </w:r>
      <w:r w:rsidR="00165275">
        <w:rPr>
          <w:rFonts w:asciiTheme="minorHAnsi" w:eastAsia="Cambria" w:hAnsiTheme="minorHAnsi" w:cstheme="minorHAnsi"/>
        </w:rPr>
        <w:t>-</w:t>
      </w:r>
      <w:r w:rsidR="00C93EB8" w:rsidRPr="00B43E5B">
        <w:rPr>
          <w:rFonts w:asciiTheme="minorHAnsi" w:eastAsia="Cambria" w:hAnsiTheme="minorHAnsi" w:cstheme="minorHAnsi"/>
        </w:rPr>
        <w:t>post hodnocení (European Commission 2017, European Commission 2019, Fresco</w:t>
      </w:r>
      <w:r w:rsidR="009B66B5">
        <w:rPr>
          <w:rFonts w:asciiTheme="minorHAnsi" w:eastAsia="Cambria" w:hAnsiTheme="minorHAnsi" w:cstheme="minorHAnsi"/>
        </w:rPr>
        <w:t xml:space="preserve"> a </w:t>
      </w:r>
      <w:r w:rsidR="00C93EB8" w:rsidRPr="00B43E5B">
        <w:rPr>
          <w:rFonts w:asciiTheme="minorHAnsi" w:eastAsia="Cambria" w:hAnsiTheme="minorHAnsi" w:cstheme="minorHAnsi"/>
        </w:rPr>
        <w:t>spol. 2015, European Commission 2013, Report of the Expert Group 2009, Arnold 2012)</w:t>
      </w:r>
      <w:r w:rsidR="00C93EB8">
        <w:rPr>
          <w:rFonts w:asciiTheme="minorHAnsi" w:eastAsia="Cambria" w:hAnsiTheme="minorHAnsi" w:cstheme="minorHAnsi"/>
        </w:rPr>
        <w:t>.</w:t>
      </w:r>
    </w:p>
    <w:p w14:paraId="19D9C8AF" w14:textId="77777777" w:rsidR="5592521F" w:rsidRDefault="00C93EB8" w:rsidP="09F46A13">
      <w:pPr>
        <w:spacing w:after="0" w:line="257" w:lineRule="auto"/>
        <w:rPr>
          <w:rFonts w:asciiTheme="minorHAnsi" w:eastAsia="Cambria" w:hAnsiTheme="minorHAnsi" w:cstheme="minorHAnsi"/>
        </w:rPr>
      </w:pPr>
      <w:r w:rsidRPr="00B43E5B">
        <w:rPr>
          <w:rFonts w:asciiTheme="minorHAnsi" w:eastAsia="Cambria" w:hAnsiTheme="minorHAnsi" w:cstheme="minorHAnsi"/>
        </w:rPr>
        <w:t>Počet českých publikací vznikajících</w:t>
      </w:r>
      <w:r w:rsidR="009B66B5">
        <w:rPr>
          <w:rFonts w:asciiTheme="minorHAnsi" w:eastAsia="Cambria" w:hAnsiTheme="minorHAnsi" w:cstheme="minorHAnsi"/>
        </w:rPr>
        <w:t xml:space="preserve"> v </w:t>
      </w:r>
      <w:r w:rsidRPr="00B43E5B">
        <w:rPr>
          <w:rFonts w:asciiTheme="minorHAnsi" w:eastAsia="Cambria" w:hAnsiTheme="minorHAnsi" w:cstheme="minorHAnsi"/>
        </w:rPr>
        <w:t>RP sice během let postupně roste, ale pořád je poměrně nízký, což je zřejmě dáno nízkou účastí českých výzkumníků</w:t>
      </w:r>
      <w:r w:rsidR="009B66B5">
        <w:rPr>
          <w:rFonts w:asciiTheme="minorHAnsi" w:eastAsia="Cambria" w:hAnsiTheme="minorHAnsi" w:cstheme="minorHAnsi"/>
        </w:rPr>
        <w:t xml:space="preserve"> v </w:t>
      </w:r>
      <w:r w:rsidRPr="00B43E5B">
        <w:rPr>
          <w:rFonts w:asciiTheme="minorHAnsi" w:eastAsia="Cambria" w:hAnsiTheme="minorHAnsi" w:cstheme="minorHAnsi"/>
        </w:rPr>
        <w:t xml:space="preserve">RP. V rámci projektů </w:t>
      </w:r>
      <w:r w:rsidR="00AF21B3">
        <w:rPr>
          <w:rFonts w:asciiTheme="minorHAnsi" w:eastAsia="Cambria" w:hAnsiTheme="minorHAnsi" w:cstheme="minorHAnsi"/>
        </w:rPr>
        <w:t>5.</w:t>
      </w:r>
      <w:r w:rsidR="009B66B5">
        <w:rPr>
          <w:rFonts w:asciiTheme="minorHAnsi" w:eastAsia="Cambria" w:hAnsiTheme="minorHAnsi" w:cstheme="minorHAnsi"/>
        </w:rPr>
        <w:t xml:space="preserve"> a </w:t>
      </w:r>
      <w:r w:rsidR="00AF21B3">
        <w:rPr>
          <w:rFonts w:asciiTheme="minorHAnsi" w:eastAsia="Cambria" w:hAnsiTheme="minorHAnsi" w:cstheme="minorHAnsi"/>
        </w:rPr>
        <w:t>6. RP</w:t>
      </w:r>
      <w:r w:rsidRPr="00B43E5B">
        <w:rPr>
          <w:rFonts w:asciiTheme="minorHAnsi" w:eastAsia="Cambria" w:hAnsiTheme="minorHAnsi" w:cstheme="minorHAnsi"/>
        </w:rPr>
        <w:t xml:space="preserve"> vzniklo</w:t>
      </w:r>
      <w:r w:rsidR="009B66B5">
        <w:rPr>
          <w:rFonts w:asciiTheme="minorHAnsi" w:eastAsia="Cambria" w:hAnsiTheme="minorHAnsi" w:cstheme="minorHAnsi"/>
        </w:rPr>
        <w:t xml:space="preserve"> v </w:t>
      </w:r>
      <w:r w:rsidRPr="00B43E5B">
        <w:rPr>
          <w:rFonts w:asciiTheme="minorHAnsi" w:eastAsia="Cambria" w:hAnsiTheme="minorHAnsi" w:cstheme="minorHAnsi"/>
        </w:rPr>
        <w:t>letech 2000 až 2007 asi 1,46 % všech českých publikací (Vaněček</w:t>
      </w:r>
      <w:r w:rsidR="009B66B5">
        <w:rPr>
          <w:rFonts w:asciiTheme="minorHAnsi" w:eastAsia="Cambria" w:hAnsiTheme="minorHAnsi" w:cstheme="minorHAnsi"/>
        </w:rPr>
        <w:t xml:space="preserve"> a </w:t>
      </w:r>
      <w:r w:rsidRPr="00B43E5B">
        <w:rPr>
          <w:rFonts w:asciiTheme="minorHAnsi" w:eastAsia="Cambria" w:hAnsiTheme="minorHAnsi" w:cstheme="minorHAnsi"/>
        </w:rPr>
        <w:t>spol. 2010). České publikace</w:t>
      </w:r>
      <w:r w:rsidR="009B66B5">
        <w:rPr>
          <w:rFonts w:asciiTheme="minorHAnsi" w:eastAsia="Cambria" w:hAnsiTheme="minorHAnsi" w:cstheme="minorHAnsi"/>
        </w:rPr>
        <w:t xml:space="preserve"> v </w:t>
      </w:r>
      <w:r w:rsidR="00AF21B3">
        <w:rPr>
          <w:rFonts w:asciiTheme="minorHAnsi" w:eastAsia="Cambria" w:hAnsiTheme="minorHAnsi" w:cstheme="minorHAnsi"/>
        </w:rPr>
        <w:t>7. RP</w:t>
      </w:r>
      <w:r w:rsidRPr="00B43E5B">
        <w:rPr>
          <w:rFonts w:asciiTheme="minorHAnsi" w:eastAsia="Cambria" w:hAnsiTheme="minorHAnsi" w:cstheme="minorHAnsi"/>
        </w:rPr>
        <w:t xml:space="preserve"> představují asi 1,85</w:t>
      </w:r>
      <w:r w:rsidR="00AF21B3">
        <w:rPr>
          <w:rFonts w:asciiTheme="minorHAnsi" w:eastAsia="Cambria" w:hAnsiTheme="minorHAnsi" w:cstheme="minorHAnsi"/>
        </w:rPr>
        <w:t xml:space="preserve"> </w:t>
      </w:r>
      <w:r w:rsidRPr="00B43E5B">
        <w:rPr>
          <w:rFonts w:asciiTheme="minorHAnsi" w:eastAsia="Cambria" w:hAnsiTheme="minorHAnsi" w:cstheme="minorHAnsi"/>
        </w:rPr>
        <w:t xml:space="preserve">% celkové produkce publikací </w:t>
      </w:r>
      <w:r w:rsidR="00165275">
        <w:rPr>
          <w:rFonts w:asciiTheme="minorHAnsi" w:eastAsia="Cambria" w:hAnsiTheme="minorHAnsi" w:cstheme="minorHAnsi"/>
        </w:rPr>
        <w:t xml:space="preserve">bývalé </w:t>
      </w:r>
      <w:r w:rsidRPr="00B43E5B">
        <w:rPr>
          <w:rFonts w:asciiTheme="minorHAnsi" w:eastAsia="Cambria" w:hAnsiTheme="minorHAnsi" w:cstheme="minorHAnsi"/>
        </w:rPr>
        <w:t>EU-28</w:t>
      </w:r>
      <w:r w:rsidR="009B66B5">
        <w:rPr>
          <w:rFonts w:asciiTheme="minorHAnsi" w:eastAsia="Cambria" w:hAnsiTheme="minorHAnsi" w:cstheme="minorHAnsi"/>
        </w:rPr>
        <w:t xml:space="preserve"> v </w:t>
      </w:r>
      <w:r w:rsidRPr="00B43E5B">
        <w:rPr>
          <w:rFonts w:asciiTheme="minorHAnsi" w:eastAsia="Cambria" w:hAnsiTheme="minorHAnsi" w:cstheme="minorHAnsi"/>
        </w:rPr>
        <w:t xml:space="preserve">tomto </w:t>
      </w:r>
      <w:r w:rsidR="00165275">
        <w:rPr>
          <w:rFonts w:asciiTheme="minorHAnsi" w:eastAsia="Cambria" w:hAnsiTheme="minorHAnsi" w:cstheme="minorHAnsi"/>
        </w:rPr>
        <w:t>RP</w:t>
      </w:r>
      <w:r w:rsidR="009B66B5">
        <w:rPr>
          <w:rFonts w:asciiTheme="minorHAnsi" w:eastAsia="Cambria" w:hAnsiTheme="minorHAnsi" w:cstheme="minorHAnsi"/>
        </w:rPr>
        <w:t xml:space="preserve"> a </w:t>
      </w:r>
      <w:r w:rsidRPr="00B43E5B">
        <w:rPr>
          <w:rFonts w:asciiTheme="minorHAnsi" w:eastAsia="Cambria" w:hAnsiTheme="minorHAnsi" w:cstheme="minorHAnsi"/>
        </w:rPr>
        <w:t>zároveň také 1,4</w:t>
      </w:r>
      <w:r w:rsidR="00AF21B3">
        <w:rPr>
          <w:rFonts w:asciiTheme="minorHAnsi" w:eastAsia="Cambria" w:hAnsiTheme="minorHAnsi" w:cstheme="minorHAnsi"/>
        </w:rPr>
        <w:t xml:space="preserve"> </w:t>
      </w:r>
      <w:r w:rsidRPr="00B43E5B">
        <w:rPr>
          <w:rFonts w:asciiTheme="minorHAnsi" w:eastAsia="Cambria" w:hAnsiTheme="minorHAnsi" w:cstheme="minorHAnsi"/>
        </w:rPr>
        <w:t>% celkové české p</w:t>
      </w:r>
      <w:r w:rsidR="00AF21B3">
        <w:rPr>
          <w:rFonts w:asciiTheme="minorHAnsi" w:eastAsia="Cambria" w:hAnsiTheme="minorHAnsi" w:cstheme="minorHAnsi"/>
        </w:rPr>
        <w:t>rodukce publikací vedených ve WoS za dané období (2007</w:t>
      </w:r>
      <w:r w:rsidR="00AF21B3" w:rsidRPr="00B43E5B">
        <w:rPr>
          <w:rFonts w:asciiTheme="minorHAnsi" w:eastAsia="Cambria" w:hAnsiTheme="minorHAnsi" w:cstheme="minorHAnsi"/>
        </w:rPr>
        <w:t>–</w:t>
      </w:r>
      <w:r w:rsidRPr="00B43E5B">
        <w:rPr>
          <w:rFonts w:asciiTheme="minorHAnsi" w:eastAsia="Cambria" w:hAnsiTheme="minorHAnsi" w:cstheme="minorHAnsi"/>
        </w:rPr>
        <w:t>20</w:t>
      </w:r>
      <w:r w:rsidR="00165275">
        <w:rPr>
          <w:rFonts w:asciiTheme="minorHAnsi" w:eastAsia="Cambria" w:hAnsiTheme="minorHAnsi" w:cstheme="minorHAnsi"/>
        </w:rPr>
        <w:t>14</w:t>
      </w:r>
      <w:r w:rsidRPr="00B43E5B">
        <w:rPr>
          <w:rFonts w:asciiTheme="minorHAnsi" w:eastAsia="Cambria" w:hAnsiTheme="minorHAnsi" w:cstheme="minorHAnsi"/>
        </w:rPr>
        <w:t>). V  H</w:t>
      </w:r>
      <w:r w:rsidR="00165275">
        <w:rPr>
          <w:rFonts w:asciiTheme="minorHAnsi" w:eastAsia="Cambria" w:hAnsiTheme="minorHAnsi" w:cstheme="minorHAnsi"/>
        </w:rPr>
        <w:t xml:space="preserve">orizontu </w:t>
      </w:r>
      <w:r w:rsidRPr="00B43E5B">
        <w:rPr>
          <w:rFonts w:asciiTheme="minorHAnsi" w:eastAsia="Cambria" w:hAnsiTheme="minorHAnsi" w:cstheme="minorHAnsi"/>
        </w:rPr>
        <w:t>2020 představují české publikace asi 2,8</w:t>
      </w:r>
      <w:r w:rsidR="00AF21B3">
        <w:rPr>
          <w:rFonts w:asciiTheme="minorHAnsi" w:eastAsia="Cambria" w:hAnsiTheme="minorHAnsi" w:cstheme="minorHAnsi"/>
        </w:rPr>
        <w:t xml:space="preserve"> </w:t>
      </w:r>
      <w:r w:rsidRPr="00B43E5B">
        <w:rPr>
          <w:rFonts w:asciiTheme="minorHAnsi" w:eastAsia="Cambria" w:hAnsiTheme="minorHAnsi" w:cstheme="minorHAnsi"/>
        </w:rPr>
        <w:t xml:space="preserve">% celkové produkce publikací </w:t>
      </w:r>
      <w:r w:rsidR="00165275">
        <w:rPr>
          <w:rFonts w:asciiTheme="minorHAnsi" w:eastAsia="Cambria" w:hAnsiTheme="minorHAnsi" w:cstheme="minorHAnsi"/>
        </w:rPr>
        <w:t xml:space="preserve">bývalé </w:t>
      </w:r>
      <w:r w:rsidRPr="00B43E5B">
        <w:rPr>
          <w:rFonts w:asciiTheme="minorHAnsi" w:eastAsia="Cambria" w:hAnsiTheme="minorHAnsi" w:cstheme="minorHAnsi"/>
        </w:rPr>
        <w:t>EU-28</w:t>
      </w:r>
      <w:r w:rsidR="009B66B5">
        <w:rPr>
          <w:rFonts w:asciiTheme="minorHAnsi" w:eastAsia="Cambria" w:hAnsiTheme="minorHAnsi" w:cstheme="minorHAnsi"/>
        </w:rPr>
        <w:t xml:space="preserve"> a </w:t>
      </w:r>
      <w:r w:rsidRPr="00B43E5B">
        <w:rPr>
          <w:rFonts w:asciiTheme="minorHAnsi" w:eastAsia="Cambria" w:hAnsiTheme="minorHAnsi" w:cstheme="minorHAnsi"/>
        </w:rPr>
        <w:t>zároveň také 1,75</w:t>
      </w:r>
      <w:r w:rsidR="00AF21B3">
        <w:rPr>
          <w:rFonts w:asciiTheme="minorHAnsi" w:eastAsia="Cambria" w:hAnsiTheme="minorHAnsi" w:cstheme="minorHAnsi"/>
        </w:rPr>
        <w:t xml:space="preserve"> </w:t>
      </w:r>
      <w:r w:rsidRPr="00B43E5B">
        <w:rPr>
          <w:rFonts w:asciiTheme="minorHAnsi" w:eastAsia="Cambria" w:hAnsiTheme="minorHAnsi" w:cstheme="minorHAnsi"/>
        </w:rPr>
        <w:t>% celkové české p</w:t>
      </w:r>
      <w:r w:rsidR="00AF21B3">
        <w:rPr>
          <w:rFonts w:asciiTheme="minorHAnsi" w:eastAsia="Cambria" w:hAnsiTheme="minorHAnsi" w:cstheme="minorHAnsi"/>
        </w:rPr>
        <w:t>rodukce publikací vedených ve Wo</w:t>
      </w:r>
      <w:r w:rsidRPr="00B43E5B">
        <w:rPr>
          <w:rFonts w:asciiTheme="minorHAnsi" w:eastAsia="Cambria" w:hAnsiTheme="minorHAnsi" w:cstheme="minorHAnsi"/>
        </w:rPr>
        <w:t>S za dané období (201</w:t>
      </w:r>
      <w:r w:rsidR="00AF21B3">
        <w:rPr>
          <w:rFonts w:asciiTheme="minorHAnsi" w:eastAsia="Cambria" w:hAnsiTheme="minorHAnsi" w:cstheme="minorHAnsi"/>
        </w:rPr>
        <w:t>4</w:t>
      </w:r>
      <w:r w:rsidR="00AF21B3" w:rsidRPr="00B43E5B">
        <w:rPr>
          <w:rFonts w:asciiTheme="minorHAnsi" w:eastAsia="Cambria" w:hAnsiTheme="minorHAnsi" w:cstheme="minorHAnsi"/>
        </w:rPr>
        <w:t>–</w:t>
      </w:r>
      <w:r w:rsidRPr="00B43E5B">
        <w:rPr>
          <w:rFonts w:asciiTheme="minorHAnsi" w:eastAsia="Cambria" w:hAnsiTheme="minorHAnsi" w:cstheme="minorHAnsi"/>
        </w:rPr>
        <w:t>2020).</w:t>
      </w:r>
      <w:r>
        <w:rPr>
          <w:rFonts w:asciiTheme="minorHAnsi" w:eastAsia="Cambria" w:hAnsiTheme="minorHAnsi" w:cstheme="minorHAnsi"/>
        </w:rPr>
        <w:t xml:space="preserve"> </w:t>
      </w:r>
    </w:p>
    <w:p w14:paraId="52F4A5AF" w14:textId="77777777" w:rsidR="00C93EB8" w:rsidRPr="00B43E5B" w:rsidRDefault="00C93EB8" w:rsidP="09F46A13">
      <w:pPr>
        <w:spacing w:after="0" w:line="257" w:lineRule="auto"/>
        <w:rPr>
          <w:rFonts w:asciiTheme="minorHAnsi" w:hAnsiTheme="minorHAnsi" w:cstheme="minorHAnsi"/>
        </w:rPr>
      </w:pPr>
      <w:r>
        <w:rPr>
          <w:rFonts w:asciiTheme="minorHAnsi" w:eastAsia="Cambria" w:hAnsiTheme="minorHAnsi" w:cstheme="minorHAnsi"/>
        </w:rPr>
        <w:t>V</w:t>
      </w:r>
      <w:r w:rsidRPr="00B43E5B">
        <w:rPr>
          <w:rFonts w:asciiTheme="minorHAnsi" w:eastAsia="Cambria" w:hAnsiTheme="minorHAnsi" w:cstheme="minorHAnsi"/>
        </w:rPr>
        <w:t xml:space="preserve"> počtu publikací na </w:t>
      </w:r>
      <w:r w:rsidR="00FF79EF">
        <w:rPr>
          <w:rFonts w:asciiTheme="minorHAnsi" w:eastAsia="Cambria" w:hAnsiTheme="minorHAnsi" w:cstheme="minorHAnsi"/>
        </w:rPr>
        <w:t>tisíc</w:t>
      </w:r>
      <w:r w:rsidRPr="00B43E5B">
        <w:rPr>
          <w:rFonts w:asciiTheme="minorHAnsi" w:eastAsia="Cambria" w:hAnsiTheme="minorHAnsi" w:cstheme="minorHAnsi"/>
        </w:rPr>
        <w:t xml:space="preserve"> FTE pracovníků VaV</w:t>
      </w:r>
      <w:r w:rsidR="00165275">
        <w:rPr>
          <w:rFonts w:asciiTheme="minorHAnsi" w:eastAsia="Cambria" w:hAnsiTheme="minorHAnsi" w:cstheme="minorHAnsi"/>
        </w:rPr>
        <w:t>aI</w:t>
      </w:r>
      <w:r w:rsidRPr="00B43E5B">
        <w:rPr>
          <w:rFonts w:asciiTheme="minorHAnsi" w:eastAsia="Cambria" w:hAnsiTheme="minorHAnsi" w:cstheme="minorHAnsi"/>
        </w:rPr>
        <w:t xml:space="preserve"> se ČR</w:t>
      </w:r>
      <w:r w:rsidR="009B66B5">
        <w:rPr>
          <w:rFonts w:asciiTheme="minorHAnsi" w:eastAsia="Cambria" w:hAnsiTheme="minorHAnsi" w:cstheme="minorHAnsi"/>
        </w:rPr>
        <w:t xml:space="preserve"> v </w:t>
      </w:r>
      <w:r w:rsidRPr="00B43E5B">
        <w:rPr>
          <w:rFonts w:asciiTheme="minorHAnsi" w:eastAsia="Cambria" w:hAnsiTheme="minorHAnsi" w:cstheme="minorHAnsi"/>
        </w:rPr>
        <w:t>H</w:t>
      </w:r>
      <w:r w:rsidR="00165275">
        <w:rPr>
          <w:rFonts w:asciiTheme="minorHAnsi" w:eastAsia="Cambria" w:hAnsiTheme="minorHAnsi" w:cstheme="minorHAnsi"/>
        </w:rPr>
        <w:t xml:space="preserve">orizontu </w:t>
      </w:r>
      <w:r w:rsidRPr="00B43E5B">
        <w:rPr>
          <w:rFonts w:asciiTheme="minorHAnsi" w:eastAsia="Cambria" w:hAnsiTheme="minorHAnsi" w:cstheme="minorHAnsi"/>
        </w:rPr>
        <w:t>2020</w:t>
      </w:r>
      <w:r>
        <w:rPr>
          <w:rFonts w:asciiTheme="minorHAnsi" w:eastAsia="Cambria" w:hAnsiTheme="minorHAnsi" w:cstheme="minorHAnsi"/>
        </w:rPr>
        <w:t xml:space="preserve"> </w:t>
      </w:r>
      <w:r w:rsidRPr="00B43E5B">
        <w:rPr>
          <w:rFonts w:asciiTheme="minorHAnsi" w:eastAsia="Cambria" w:hAnsiTheme="minorHAnsi" w:cstheme="minorHAnsi"/>
        </w:rPr>
        <w:t>umístila mezi zeměmi EU-27 na 3. místě od konce</w:t>
      </w:r>
      <w:r w:rsidR="009B66B5">
        <w:rPr>
          <w:rFonts w:asciiTheme="minorHAnsi" w:eastAsia="Cambria" w:hAnsiTheme="minorHAnsi" w:cstheme="minorHAnsi"/>
        </w:rPr>
        <w:t xml:space="preserve"> a </w:t>
      </w:r>
      <w:r w:rsidRPr="00B43E5B">
        <w:rPr>
          <w:rFonts w:asciiTheme="minorHAnsi" w:eastAsia="Cambria" w:hAnsiTheme="minorHAnsi" w:cstheme="minorHAnsi"/>
        </w:rPr>
        <w:t>po přepočtu na podíly</w:t>
      </w:r>
      <w:r w:rsidR="009B66B5">
        <w:rPr>
          <w:rFonts w:asciiTheme="minorHAnsi" w:eastAsia="Cambria" w:hAnsiTheme="minorHAnsi" w:cstheme="minorHAnsi"/>
        </w:rPr>
        <w:t xml:space="preserve"> z </w:t>
      </w:r>
      <w:r w:rsidRPr="00B43E5B">
        <w:rPr>
          <w:rFonts w:asciiTheme="minorHAnsi" w:eastAsia="Cambria" w:hAnsiTheme="minorHAnsi" w:cstheme="minorHAnsi"/>
        </w:rPr>
        <w:t>celkového počtu publikací</w:t>
      </w:r>
      <w:r w:rsidR="009B66B5">
        <w:rPr>
          <w:rFonts w:asciiTheme="minorHAnsi" w:eastAsia="Cambria" w:hAnsiTheme="minorHAnsi" w:cstheme="minorHAnsi"/>
        </w:rPr>
        <w:t xml:space="preserve"> v </w:t>
      </w:r>
      <w:r w:rsidRPr="00B43E5B">
        <w:rPr>
          <w:rFonts w:asciiTheme="minorHAnsi" w:eastAsia="Cambria" w:hAnsiTheme="minorHAnsi" w:cstheme="minorHAnsi"/>
        </w:rPr>
        <w:t>dané zemi se ČR</w:t>
      </w:r>
      <w:r w:rsidR="009B66B5">
        <w:rPr>
          <w:rFonts w:asciiTheme="minorHAnsi" w:eastAsia="Cambria" w:hAnsiTheme="minorHAnsi" w:cstheme="minorHAnsi"/>
        </w:rPr>
        <w:t xml:space="preserve"> s </w:t>
      </w:r>
      <w:r w:rsidRPr="00B43E5B">
        <w:rPr>
          <w:rFonts w:asciiTheme="minorHAnsi" w:eastAsia="Cambria" w:hAnsiTheme="minorHAnsi" w:cstheme="minorHAnsi"/>
        </w:rPr>
        <w:t xml:space="preserve">podílem publikací menším než 2 % zařadila rovněž mezi </w:t>
      </w:r>
      <w:r w:rsidR="00FF79EF">
        <w:rPr>
          <w:rFonts w:asciiTheme="minorHAnsi" w:eastAsia="Cambria" w:hAnsiTheme="minorHAnsi" w:cstheme="minorHAnsi"/>
        </w:rPr>
        <w:t>tři</w:t>
      </w:r>
      <w:r w:rsidRPr="00B43E5B">
        <w:rPr>
          <w:rFonts w:asciiTheme="minorHAnsi" w:eastAsia="Cambria" w:hAnsiTheme="minorHAnsi" w:cstheme="minorHAnsi"/>
        </w:rPr>
        <w:t xml:space="preserve"> nejméně produktivní země. To </w:t>
      </w:r>
      <w:r>
        <w:rPr>
          <w:rFonts w:asciiTheme="minorHAnsi" w:eastAsia="Cambria" w:hAnsiTheme="minorHAnsi" w:cstheme="minorHAnsi"/>
        </w:rPr>
        <w:t xml:space="preserve">opět </w:t>
      </w:r>
      <w:r w:rsidRPr="00B43E5B">
        <w:rPr>
          <w:rFonts w:asciiTheme="minorHAnsi" w:eastAsia="Cambria" w:hAnsiTheme="minorHAnsi" w:cstheme="minorHAnsi"/>
        </w:rPr>
        <w:t>ukazuje, že čeští pracovníci VaV</w:t>
      </w:r>
      <w:r w:rsidR="00165275">
        <w:rPr>
          <w:rFonts w:asciiTheme="minorHAnsi" w:eastAsia="Cambria" w:hAnsiTheme="minorHAnsi" w:cstheme="minorHAnsi"/>
        </w:rPr>
        <w:t>aI</w:t>
      </w:r>
      <w:r w:rsidRPr="00B43E5B">
        <w:rPr>
          <w:rFonts w:asciiTheme="minorHAnsi" w:eastAsia="Cambria" w:hAnsiTheme="minorHAnsi" w:cstheme="minorHAnsi"/>
        </w:rPr>
        <w:t xml:space="preserve"> ne</w:t>
      </w:r>
      <w:r w:rsidR="00165275">
        <w:rPr>
          <w:rFonts w:asciiTheme="minorHAnsi" w:eastAsia="Cambria" w:hAnsiTheme="minorHAnsi" w:cstheme="minorHAnsi"/>
        </w:rPr>
        <w:t>byli</w:t>
      </w:r>
      <w:r w:rsidR="009B66B5">
        <w:rPr>
          <w:rFonts w:asciiTheme="minorHAnsi" w:eastAsia="Cambria" w:hAnsiTheme="minorHAnsi" w:cstheme="minorHAnsi"/>
        </w:rPr>
        <w:t xml:space="preserve"> v </w:t>
      </w:r>
      <w:r w:rsidRPr="00B43E5B">
        <w:rPr>
          <w:rFonts w:asciiTheme="minorHAnsi" w:eastAsia="Cambria" w:hAnsiTheme="minorHAnsi" w:cstheme="minorHAnsi"/>
        </w:rPr>
        <w:t>H</w:t>
      </w:r>
      <w:r w:rsidR="00165275">
        <w:rPr>
          <w:rFonts w:asciiTheme="minorHAnsi" w:eastAsia="Cambria" w:hAnsiTheme="minorHAnsi" w:cstheme="minorHAnsi"/>
        </w:rPr>
        <w:t xml:space="preserve">orizontu </w:t>
      </w:r>
      <w:r w:rsidRPr="00B43E5B">
        <w:rPr>
          <w:rFonts w:asciiTheme="minorHAnsi" w:eastAsia="Cambria" w:hAnsiTheme="minorHAnsi" w:cstheme="minorHAnsi"/>
        </w:rPr>
        <w:t>2020 příliš aktivní (Vaněček 2021)</w:t>
      </w:r>
      <w:r>
        <w:rPr>
          <w:rFonts w:asciiTheme="minorHAnsi" w:eastAsia="Cambria" w:hAnsiTheme="minorHAnsi" w:cstheme="minorHAnsi"/>
        </w:rPr>
        <w:t>.</w:t>
      </w:r>
    </w:p>
    <w:p w14:paraId="0E8508B0" w14:textId="77777777" w:rsidR="5592521F" w:rsidRPr="00B43E5B" w:rsidRDefault="00C93EB8" w:rsidP="09F46A13">
      <w:pPr>
        <w:spacing w:after="0" w:line="257" w:lineRule="auto"/>
        <w:rPr>
          <w:rFonts w:asciiTheme="minorHAnsi" w:hAnsiTheme="minorHAnsi" w:cstheme="minorHAnsi"/>
        </w:rPr>
      </w:pPr>
      <w:r>
        <w:rPr>
          <w:rFonts w:asciiTheme="minorHAnsi" w:eastAsia="Cambria" w:hAnsiTheme="minorHAnsi" w:cstheme="minorHAnsi"/>
        </w:rPr>
        <w:lastRenderedPageBreak/>
        <w:t xml:space="preserve">V analýzách se </w:t>
      </w:r>
      <w:r w:rsidR="006653B2">
        <w:rPr>
          <w:rFonts w:asciiTheme="minorHAnsi" w:eastAsia="Cambria" w:hAnsiTheme="minorHAnsi" w:cstheme="minorHAnsi"/>
        </w:rPr>
        <w:t>ukazuje, že c</w:t>
      </w:r>
      <w:r w:rsidR="42361FC7" w:rsidRPr="00B43E5B">
        <w:rPr>
          <w:rFonts w:asciiTheme="minorHAnsi" w:eastAsia="Cambria" w:hAnsiTheme="minorHAnsi" w:cstheme="minorHAnsi"/>
        </w:rPr>
        <w:t xml:space="preserve">itovanost publikací vzniklých za podpory RP je velmi vysoká. Ve všech zemích EU je významně vyšší, než je průměrná citovanost všech jejich publikací. </w:t>
      </w:r>
      <w:r w:rsidR="5592521F" w:rsidRPr="00B43E5B">
        <w:rPr>
          <w:rFonts w:asciiTheme="minorHAnsi" w:eastAsia="Cambria" w:hAnsiTheme="minorHAnsi" w:cstheme="minorHAnsi"/>
        </w:rPr>
        <w:t xml:space="preserve">Vysoká citovanost publikací může být zčásti způsobena tím, že velká část publikací </w:t>
      </w:r>
      <w:r w:rsidR="00165275">
        <w:rPr>
          <w:rFonts w:asciiTheme="minorHAnsi" w:eastAsia="Cambria" w:hAnsiTheme="minorHAnsi" w:cstheme="minorHAnsi"/>
        </w:rPr>
        <w:t>vzešlých</w:t>
      </w:r>
      <w:r w:rsidR="009B66B5">
        <w:rPr>
          <w:rFonts w:asciiTheme="minorHAnsi" w:eastAsia="Cambria" w:hAnsiTheme="minorHAnsi" w:cstheme="minorHAnsi"/>
        </w:rPr>
        <w:t xml:space="preserve"> z </w:t>
      </w:r>
      <w:r w:rsidR="00165275">
        <w:rPr>
          <w:rFonts w:asciiTheme="minorHAnsi" w:eastAsia="Cambria" w:hAnsiTheme="minorHAnsi" w:cstheme="minorHAnsi"/>
        </w:rPr>
        <w:t xml:space="preserve">Horizontu 2020 </w:t>
      </w:r>
      <w:r w:rsidR="5592521F" w:rsidRPr="00B43E5B">
        <w:rPr>
          <w:rFonts w:asciiTheme="minorHAnsi" w:eastAsia="Cambria" w:hAnsiTheme="minorHAnsi" w:cstheme="minorHAnsi"/>
        </w:rPr>
        <w:t>vyšla ve špičkových časopisech patřících do nejvyššího kvartilu (Q1). Publikace</w:t>
      </w:r>
      <w:r w:rsidR="009B66B5">
        <w:rPr>
          <w:rFonts w:asciiTheme="minorHAnsi" w:eastAsia="Cambria" w:hAnsiTheme="minorHAnsi" w:cstheme="minorHAnsi"/>
        </w:rPr>
        <w:t xml:space="preserve"> z </w:t>
      </w:r>
      <w:r w:rsidR="5592521F" w:rsidRPr="00B43E5B">
        <w:rPr>
          <w:rFonts w:asciiTheme="minorHAnsi" w:eastAsia="Cambria" w:hAnsiTheme="minorHAnsi" w:cstheme="minorHAnsi"/>
        </w:rPr>
        <w:t>projektů H</w:t>
      </w:r>
      <w:r w:rsidR="00E7535F">
        <w:rPr>
          <w:rFonts w:asciiTheme="minorHAnsi" w:eastAsia="Cambria" w:hAnsiTheme="minorHAnsi" w:cstheme="minorHAnsi"/>
        </w:rPr>
        <w:t xml:space="preserve">orizontu </w:t>
      </w:r>
      <w:r w:rsidR="5592521F" w:rsidRPr="00B43E5B">
        <w:rPr>
          <w:rFonts w:asciiTheme="minorHAnsi" w:eastAsia="Cambria" w:hAnsiTheme="minorHAnsi" w:cstheme="minorHAnsi"/>
        </w:rPr>
        <w:t xml:space="preserve">2020 </w:t>
      </w:r>
      <w:r w:rsidR="00E7535F">
        <w:rPr>
          <w:rFonts w:asciiTheme="minorHAnsi" w:eastAsia="Cambria" w:hAnsiTheme="minorHAnsi" w:cstheme="minorHAnsi"/>
        </w:rPr>
        <w:t>byly</w:t>
      </w:r>
      <w:r w:rsidR="00E7535F" w:rsidRPr="00B43E5B">
        <w:rPr>
          <w:rFonts w:asciiTheme="minorHAnsi" w:eastAsia="Cambria" w:hAnsiTheme="minorHAnsi" w:cstheme="minorHAnsi"/>
        </w:rPr>
        <w:t xml:space="preserve"> </w:t>
      </w:r>
      <w:r w:rsidR="5592521F" w:rsidRPr="00B43E5B">
        <w:rPr>
          <w:rFonts w:asciiTheme="minorHAnsi" w:eastAsia="Cambria" w:hAnsiTheme="minorHAnsi" w:cstheme="minorHAnsi"/>
        </w:rPr>
        <w:t xml:space="preserve">totiž ve všech zemí </w:t>
      </w:r>
      <w:r w:rsidR="00E7535F">
        <w:rPr>
          <w:rFonts w:asciiTheme="minorHAnsi" w:eastAsia="Cambria" w:hAnsiTheme="minorHAnsi" w:cstheme="minorHAnsi"/>
        </w:rPr>
        <w:t xml:space="preserve">bývalé </w:t>
      </w:r>
      <w:r w:rsidR="5592521F" w:rsidRPr="00B43E5B">
        <w:rPr>
          <w:rFonts w:asciiTheme="minorHAnsi" w:eastAsia="Cambria" w:hAnsiTheme="minorHAnsi" w:cstheme="minorHAnsi"/>
        </w:rPr>
        <w:t>EU-28 mnohem častěji publikovány</w:t>
      </w:r>
      <w:r w:rsidR="009B66B5">
        <w:rPr>
          <w:rFonts w:asciiTheme="minorHAnsi" w:eastAsia="Cambria" w:hAnsiTheme="minorHAnsi" w:cstheme="minorHAnsi"/>
        </w:rPr>
        <w:t xml:space="preserve"> v </w:t>
      </w:r>
      <w:r w:rsidR="5592521F" w:rsidRPr="00B43E5B">
        <w:rPr>
          <w:rFonts w:asciiTheme="minorHAnsi" w:eastAsia="Cambria" w:hAnsiTheme="minorHAnsi" w:cstheme="minorHAnsi"/>
        </w:rPr>
        <w:t>Q1 časopisech než ostatní národní publikace.</w:t>
      </w:r>
      <w:r w:rsidR="006653B2">
        <w:rPr>
          <w:rFonts w:asciiTheme="minorHAnsi" w:eastAsia="Cambria" w:hAnsiTheme="minorHAnsi" w:cstheme="minorHAnsi"/>
        </w:rPr>
        <w:t xml:space="preserve"> </w:t>
      </w:r>
      <w:r w:rsidR="5592521F" w:rsidRPr="00B43E5B">
        <w:rPr>
          <w:rFonts w:asciiTheme="minorHAnsi" w:eastAsia="Cambria" w:hAnsiTheme="minorHAnsi" w:cstheme="minorHAnsi"/>
        </w:rPr>
        <w:t xml:space="preserve">Příčinou vysoké citovanosti </w:t>
      </w:r>
      <w:r w:rsidR="00E7535F">
        <w:rPr>
          <w:rFonts w:asciiTheme="minorHAnsi" w:eastAsia="Cambria" w:hAnsiTheme="minorHAnsi" w:cstheme="minorHAnsi"/>
        </w:rPr>
        <w:t>těchto</w:t>
      </w:r>
      <w:r w:rsidR="5592521F" w:rsidRPr="00B43E5B">
        <w:rPr>
          <w:rFonts w:asciiTheme="minorHAnsi" w:eastAsia="Cambria" w:hAnsiTheme="minorHAnsi" w:cstheme="minorHAnsi"/>
        </w:rPr>
        <w:t xml:space="preserve"> publikací může být rovněž vysoká míra mezinárodní spolupráce. Je totiž známo, že mezinárodní spolupráce významně zvyšuje citační ohlas (Narin</w:t>
      </w:r>
      <w:r w:rsidR="009B66B5">
        <w:rPr>
          <w:rFonts w:asciiTheme="minorHAnsi" w:eastAsia="Cambria" w:hAnsiTheme="minorHAnsi" w:cstheme="minorHAnsi"/>
        </w:rPr>
        <w:t xml:space="preserve"> a </w:t>
      </w:r>
      <w:r w:rsidR="5592521F" w:rsidRPr="00B43E5B">
        <w:rPr>
          <w:rFonts w:asciiTheme="minorHAnsi" w:eastAsia="Cambria" w:hAnsiTheme="minorHAnsi" w:cstheme="minorHAnsi"/>
        </w:rPr>
        <w:t>spol. 1991, Glanzel 2001).</w:t>
      </w:r>
    </w:p>
    <w:p w14:paraId="20AB00CF" w14:textId="42B018D4" w:rsidR="0055328E" w:rsidRPr="00B43E5B" w:rsidRDefault="42361FC7" w:rsidP="0055328E">
      <w:pPr>
        <w:spacing w:after="0" w:line="257" w:lineRule="auto"/>
        <w:rPr>
          <w:rFonts w:asciiTheme="minorHAnsi" w:hAnsiTheme="minorHAnsi" w:cstheme="minorHAnsi"/>
        </w:rPr>
      </w:pPr>
      <w:r w:rsidRPr="00B43E5B">
        <w:rPr>
          <w:rFonts w:asciiTheme="minorHAnsi" w:eastAsia="Cambria" w:hAnsiTheme="minorHAnsi" w:cstheme="minorHAnsi"/>
        </w:rPr>
        <w:t>Citovanost českých publikací</w:t>
      </w:r>
      <w:r w:rsidR="009B66B5">
        <w:rPr>
          <w:rFonts w:asciiTheme="minorHAnsi" w:eastAsia="Cambria" w:hAnsiTheme="minorHAnsi" w:cstheme="minorHAnsi"/>
        </w:rPr>
        <w:t xml:space="preserve"> v </w:t>
      </w:r>
      <w:r w:rsidR="006234EA">
        <w:rPr>
          <w:rFonts w:asciiTheme="minorHAnsi" w:eastAsia="Cambria" w:hAnsiTheme="minorHAnsi" w:cstheme="minorHAnsi"/>
        </w:rPr>
        <w:t>7. RP</w:t>
      </w:r>
      <w:r w:rsidR="009B66B5">
        <w:rPr>
          <w:rFonts w:asciiTheme="minorHAnsi" w:eastAsia="Cambria" w:hAnsiTheme="minorHAnsi" w:cstheme="minorHAnsi"/>
        </w:rPr>
        <w:t xml:space="preserve"> a </w:t>
      </w:r>
      <w:r w:rsidRPr="00B43E5B">
        <w:rPr>
          <w:rFonts w:asciiTheme="minorHAnsi" w:eastAsia="Cambria" w:hAnsiTheme="minorHAnsi" w:cstheme="minorHAnsi"/>
        </w:rPr>
        <w:t>H</w:t>
      </w:r>
      <w:r w:rsidR="00E7535F">
        <w:rPr>
          <w:rFonts w:asciiTheme="minorHAnsi" w:eastAsia="Cambria" w:hAnsiTheme="minorHAnsi" w:cstheme="minorHAnsi"/>
        </w:rPr>
        <w:t xml:space="preserve">orizontu </w:t>
      </w:r>
      <w:r w:rsidRPr="00B43E5B">
        <w:rPr>
          <w:rFonts w:asciiTheme="minorHAnsi" w:eastAsia="Cambria" w:hAnsiTheme="minorHAnsi" w:cstheme="minorHAnsi"/>
        </w:rPr>
        <w:t xml:space="preserve">2020 je </w:t>
      </w:r>
      <w:r w:rsidR="0055328E">
        <w:rPr>
          <w:rFonts w:asciiTheme="minorHAnsi" w:eastAsia="Cambria" w:hAnsiTheme="minorHAnsi" w:cstheme="minorHAnsi"/>
        </w:rPr>
        <w:t xml:space="preserve">však </w:t>
      </w:r>
      <w:r w:rsidRPr="00B43E5B">
        <w:rPr>
          <w:rFonts w:asciiTheme="minorHAnsi" w:eastAsia="Cambria" w:hAnsiTheme="minorHAnsi" w:cstheme="minorHAnsi"/>
        </w:rPr>
        <w:t>vyšší než průměrná citovanost všech publikací v RP. Rovněž je to výrazně vyšší citovanost, než je průměr všech česk</w:t>
      </w:r>
      <w:r w:rsidR="006234EA">
        <w:rPr>
          <w:rFonts w:asciiTheme="minorHAnsi" w:eastAsia="Cambria" w:hAnsiTheme="minorHAnsi" w:cstheme="minorHAnsi"/>
        </w:rPr>
        <w:t>ých publikací indexovaných ve Wo</w:t>
      </w:r>
      <w:r w:rsidRPr="00B43E5B">
        <w:rPr>
          <w:rFonts w:asciiTheme="minorHAnsi" w:eastAsia="Cambria" w:hAnsiTheme="minorHAnsi" w:cstheme="minorHAnsi"/>
        </w:rPr>
        <w:t xml:space="preserve">S. </w:t>
      </w:r>
      <w:r w:rsidR="0055328E" w:rsidRPr="00B43E5B">
        <w:rPr>
          <w:rFonts w:asciiTheme="minorHAnsi" w:eastAsia="Cambria" w:hAnsiTheme="minorHAnsi" w:cstheme="minorHAnsi"/>
        </w:rPr>
        <w:t>V RP je vyšší</w:t>
      </w:r>
      <w:r w:rsidR="009B66B5">
        <w:rPr>
          <w:rFonts w:asciiTheme="minorHAnsi" w:eastAsia="Cambria" w:hAnsiTheme="minorHAnsi" w:cstheme="minorHAnsi"/>
        </w:rPr>
        <w:t xml:space="preserve"> i </w:t>
      </w:r>
      <w:r w:rsidR="0055328E" w:rsidRPr="00B43E5B">
        <w:rPr>
          <w:rFonts w:asciiTheme="minorHAnsi" w:eastAsia="Cambria" w:hAnsiTheme="minorHAnsi" w:cstheme="minorHAnsi"/>
        </w:rPr>
        <w:t>podíl českých publikací vydaných</w:t>
      </w:r>
      <w:r w:rsidR="009B66B5">
        <w:rPr>
          <w:rFonts w:asciiTheme="minorHAnsi" w:eastAsia="Cambria" w:hAnsiTheme="minorHAnsi" w:cstheme="minorHAnsi"/>
        </w:rPr>
        <w:t xml:space="preserve"> v </w:t>
      </w:r>
      <w:r w:rsidR="0055328E" w:rsidRPr="00B43E5B">
        <w:rPr>
          <w:rFonts w:asciiTheme="minorHAnsi" w:eastAsia="Cambria" w:hAnsiTheme="minorHAnsi" w:cstheme="minorHAnsi"/>
        </w:rPr>
        <w:t xml:space="preserve">časopisech patřících do prvního kvartilu (Q1J). U projektů </w:t>
      </w:r>
      <w:r w:rsidR="006234EA">
        <w:rPr>
          <w:rFonts w:asciiTheme="minorHAnsi" w:eastAsia="Cambria" w:hAnsiTheme="minorHAnsi" w:cstheme="minorHAnsi"/>
        </w:rPr>
        <w:t>7. RP</w:t>
      </w:r>
      <w:r w:rsidR="0055328E" w:rsidRPr="00B43E5B">
        <w:rPr>
          <w:rFonts w:asciiTheme="minorHAnsi" w:eastAsia="Cambria" w:hAnsiTheme="minorHAnsi" w:cstheme="minorHAnsi"/>
        </w:rPr>
        <w:t xml:space="preserve"> vyšlo asi 72 % publikací</w:t>
      </w:r>
      <w:r w:rsidR="009B66B5">
        <w:rPr>
          <w:rFonts w:asciiTheme="minorHAnsi" w:eastAsia="Cambria" w:hAnsiTheme="minorHAnsi" w:cstheme="minorHAnsi"/>
        </w:rPr>
        <w:t xml:space="preserve"> v </w:t>
      </w:r>
      <w:r w:rsidR="0055328E" w:rsidRPr="00B43E5B">
        <w:rPr>
          <w:rFonts w:asciiTheme="minorHAnsi" w:eastAsia="Cambria" w:hAnsiTheme="minorHAnsi" w:cstheme="minorHAnsi"/>
        </w:rPr>
        <w:t>Q1 časopisech, u projektů H</w:t>
      </w:r>
      <w:r w:rsidR="00E7535F">
        <w:rPr>
          <w:rFonts w:asciiTheme="minorHAnsi" w:eastAsia="Cambria" w:hAnsiTheme="minorHAnsi" w:cstheme="minorHAnsi"/>
        </w:rPr>
        <w:t xml:space="preserve">orizontu </w:t>
      </w:r>
      <w:r w:rsidR="0055328E" w:rsidRPr="00B43E5B">
        <w:rPr>
          <w:rFonts w:asciiTheme="minorHAnsi" w:eastAsia="Cambria" w:hAnsiTheme="minorHAnsi" w:cstheme="minorHAnsi"/>
        </w:rPr>
        <w:t xml:space="preserve">2020 činil tento podíl 63 %, kdežto český průměr </w:t>
      </w:r>
      <w:r w:rsidR="00E7535F">
        <w:rPr>
          <w:rFonts w:asciiTheme="minorHAnsi" w:eastAsia="Cambria" w:hAnsiTheme="minorHAnsi" w:cstheme="minorHAnsi"/>
        </w:rPr>
        <w:t>představoval</w:t>
      </w:r>
      <w:r w:rsidR="00E7535F" w:rsidRPr="00B43E5B">
        <w:rPr>
          <w:rFonts w:asciiTheme="minorHAnsi" w:eastAsia="Cambria" w:hAnsiTheme="minorHAnsi" w:cstheme="minorHAnsi"/>
        </w:rPr>
        <w:t xml:space="preserve"> </w:t>
      </w:r>
      <w:r w:rsidR="00E7535F">
        <w:rPr>
          <w:rFonts w:asciiTheme="minorHAnsi" w:eastAsia="Cambria" w:hAnsiTheme="minorHAnsi" w:cstheme="minorHAnsi"/>
        </w:rPr>
        <w:t>cca</w:t>
      </w:r>
      <w:r w:rsidR="0055328E" w:rsidRPr="00B43E5B">
        <w:rPr>
          <w:rFonts w:asciiTheme="minorHAnsi" w:eastAsia="Cambria" w:hAnsiTheme="minorHAnsi" w:cstheme="minorHAnsi"/>
        </w:rPr>
        <w:t xml:space="preserve"> 45 %.</w:t>
      </w:r>
      <w:r w:rsidR="0033584A">
        <w:rPr>
          <w:rFonts w:asciiTheme="minorHAnsi" w:eastAsia="Cambria" w:hAnsiTheme="minorHAnsi" w:cstheme="minorHAnsi"/>
        </w:rPr>
        <w:t xml:space="preserve"> Zároveň se ukazuje, že</w:t>
      </w:r>
      <w:r w:rsidR="009B66B5">
        <w:rPr>
          <w:rFonts w:asciiTheme="minorHAnsi" w:eastAsia="Cambria" w:hAnsiTheme="minorHAnsi" w:cstheme="minorHAnsi"/>
        </w:rPr>
        <w:t xml:space="preserve"> v </w:t>
      </w:r>
      <w:r w:rsidR="0033584A" w:rsidRPr="00B43E5B">
        <w:rPr>
          <w:rFonts w:asciiTheme="minorHAnsi" w:eastAsia="Cambria" w:hAnsiTheme="minorHAnsi" w:cstheme="minorHAnsi"/>
        </w:rPr>
        <w:t>ČR vzniká poměrně početná elitní skupina vědců, kteří patří podle citačního ohlasu jejich publikací mezi špičku</w:t>
      </w:r>
      <w:r w:rsidR="009B66B5">
        <w:rPr>
          <w:rFonts w:asciiTheme="minorHAnsi" w:eastAsia="Cambria" w:hAnsiTheme="minorHAnsi" w:cstheme="minorHAnsi"/>
        </w:rPr>
        <w:t xml:space="preserve"> a </w:t>
      </w:r>
      <w:r w:rsidR="0033584A" w:rsidRPr="00B43E5B">
        <w:rPr>
          <w:rFonts w:asciiTheme="minorHAnsi" w:eastAsia="Cambria" w:hAnsiTheme="minorHAnsi" w:cstheme="minorHAnsi"/>
        </w:rPr>
        <w:t>kteří se pravidelně účastní RP. Při analýze publikací 1000 nejcitovanějších autorů</w:t>
      </w:r>
      <w:r w:rsidR="009B66B5">
        <w:rPr>
          <w:rFonts w:asciiTheme="minorHAnsi" w:eastAsia="Cambria" w:hAnsiTheme="minorHAnsi" w:cstheme="minorHAnsi"/>
        </w:rPr>
        <w:t xml:space="preserve"> s </w:t>
      </w:r>
      <w:r w:rsidR="0033584A" w:rsidRPr="00B43E5B">
        <w:rPr>
          <w:rFonts w:asciiTheme="minorHAnsi" w:eastAsia="Cambria" w:hAnsiTheme="minorHAnsi" w:cstheme="minorHAnsi"/>
        </w:rPr>
        <w:t>afilací</w:t>
      </w:r>
      <w:r w:rsidR="009B66B5">
        <w:rPr>
          <w:rFonts w:asciiTheme="minorHAnsi" w:eastAsia="Cambria" w:hAnsiTheme="minorHAnsi" w:cstheme="minorHAnsi"/>
        </w:rPr>
        <w:t xml:space="preserve"> v </w:t>
      </w:r>
      <w:r w:rsidR="0033584A" w:rsidRPr="00B43E5B">
        <w:rPr>
          <w:rFonts w:asciiTheme="minorHAnsi" w:eastAsia="Cambria" w:hAnsiTheme="minorHAnsi" w:cstheme="minorHAnsi"/>
        </w:rPr>
        <w:t>ČR</w:t>
      </w:r>
      <w:r w:rsidR="009B66B5">
        <w:rPr>
          <w:rFonts w:asciiTheme="minorHAnsi" w:eastAsia="Cambria" w:hAnsiTheme="minorHAnsi" w:cstheme="minorHAnsi"/>
        </w:rPr>
        <w:t xml:space="preserve"> z </w:t>
      </w:r>
      <w:r w:rsidR="0033584A" w:rsidRPr="00B43E5B">
        <w:rPr>
          <w:rFonts w:asciiTheme="minorHAnsi" w:eastAsia="Cambria" w:hAnsiTheme="minorHAnsi" w:cstheme="minorHAnsi"/>
        </w:rPr>
        <w:t>období 2007 až 2020 bylo zjištěno, že většina</w:t>
      </w:r>
      <w:r w:rsidR="009B66B5">
        <w:rPr>
          <w:rFonts w:asciiTheme="minorHAnsi" w:eastAsia="Cambria" w:hAnsiTheme="minorHAnsi" w:cstheme="minorHAnsi"/>
        </w:rPr>
        <w:t xml:space="preserve"> z </w:t>
      </w:r>
      <w:r w:rsidR="0033584A" w:rsidRPr="00B43E5B">
        <w:rPr>
          <w:rFonts w:asciiTheme="minorHAnsi" w:eastAsia="Cambria" w:hAnsiTheme="minorHAnsi" w:cstheme="minorHAnsi"/>
        </w:rPr>
        <w:t xml:space="preserve">nich (73 %) se aktivně (jako spoluautoři) zúčastnila projektů </w:t>
      </w:r>
      <w:r w:rsidR="006234EA">
        <w:rPr>
          <w:rFonts w:asciiTheme="minorHAnsi" w:eastAsia="Cambria" w:hAnsiTheme="minorHAnsi" w:cstheme="minorHAnsi"/>
        </w:rPr>
        <w:t>7. RP</w:t>
      </w:r>
      <w:r w:rsidR="0033584A" w:rsidRPr="00B43E5B">
        <w:rPr>
          <w:rFonts w:asciiTheme="minorHAnsi" w:eastAsia="Cambria" w:hAnsiTheme="minorHAnsi" w:cstheme="minorHAnsi"/>
        </w:rPr>
        <w:t xml:space="preserve"> nebo H</w:t>
      </w:r>
      <w:r w:rsidR="00E7535F">
        <w:rPr>
          <w:rFonts w:asciiTheme="minorHAnsi" w:eastAsia="Cambria" w:hAnsiTheme="minorHAnsi" w:cstheme="minorHAnsi"/>
        </w:rPr>
        <w:t xml:space="preserve">orizontu </w:t>
      </w:r>
      <w:r w:rsidR="0033584A" w:rsidRPr="00B43E5B">
        <w:rPr>
          <w:rFonts w:asciiTheme="minorHAnsi" w:eastAsia="Cambria" w:hAnsiTheme="minorHAnsi" w:cstheme="minorHAnsi"/>
        </w:rPr>
        <w:t>2020</w:t>
      </w:r>
      <w:r w:rsidR="009B66B5">
        <w:rPr>
          <w:rFonts w:asciiTheme="minorHAnsi" w:eastAsia="Cambria" w:hAnsiTheme="minorHAnsi" w:cstheme="minorHAnsi"/>
        </w:rPr>
        <w:t xml:space="preserve"> a </w:t>
      </w:r>
      <w:r w:rsidR="0033584A" w:rsidRPr="00B43E5B">
        <w:rPr>
          <w:rFonts w:asciiTheme="minorHAnsi" w:eastAsia="Cambria" w:hAnsiTheme="minorHAnsi" w:cstheme="minorHAnsi"/>
        </w:rPr>
        <w:t>více než čtvrtina</w:t>
      </w:r>
      <w:r w:rsidR="009B66B5">
        <w:rPr>
          <w:rFonts w:asciiTheme="minorHAnsi" w:eastAsia="Cambria" w:hAnsiTheme="minorHAnsi" w:cstheme="minorHAnsi"/>
        </w:rPr>
        <w:t xml:space="preserve"> z </w:t>
      </w:r>
      <w:r w:rsidR="0033584A" w:rsidRPr="00B43E5B">
        <w:rPr>
          <w:rFonts w:asciiTheme="minorHAnsi" w:eastAsia="Cambria" w:hAnsiTheme="minorHAnsi" w:cstheme="minorHAnsi"/>
        </w:rPr>
        <w:t>nich spolupracovala na publikacích souvisejících</w:t>
      </w:r>
      <w:r w:rsidR="009B66B5">
        <w:rPr>
          <w:rFonts w:asciiTheme="minorHAnsi" w:eastAsia="Cambria" w:hAnsiTheme="minorHAnsi" w:cstheme="minorHAnsi"/>
        </w:rPr>
        <w:t xml:space="preserve"> s </w:t>
      </w:r>
      <w:r w:rsidR="0033584A" w:rsidRPr="00B43E5B">
        <w:rPr>
          <w:rFonts w:asciiTheme="minorHAnsi" w:eastAsia="Cambria" w:hAnsiTheme="minorHAnsi" w:cstheme="minorHAnsi"/>
        </w:rPr>
        <w:t xml:space="preserve">oběma </w:t>
      </w:r>
      <w:r w:rsidR="00E7535F">
        <w:rPr>
          <w:rFonts w:asciiTheme="minorHAnsi" w:eastAsia="Cambria" w:hAnsiTheme="minorHAnsi" w:cstheme="minorHAnsi"/>
        </w:rPr>
        <w:t>RP</w:t>
      </w:r>
      <w:r w:rsidR="0033584A" w:rsidRPr="00B43E5B">
        <w:rPr>
          <w:rFonts w:asciiTheme="minorHAnsi" w:eastAsia="Cambria" w:hAnsiTheme="minorHAnsi" w:cstheme="minorHAnsi"/>
        </w:rPr>
        <w:t xml:space="preserve"> (Vaněček</w:t>
      </w:r>
      <w:r w:rsidR="009B66B5">
        <w:rPr>
          <w:rFonts w:asciiTheme="minorHAnsi" w:eastAsia="Cambria" w:hAnsiTheme="minorHAnsi" w:cstheme="minorHAnsi"/>
        </w:rPr>
        <w:t xml:space="preserve"> a </w:t>
      </w:r>
      <w:r w:rsidR="0033584A" w:rsidRPr="00B43E5B">
        <w:rPr>
          <w:rFonts w:asciiTheme="minorHAnsi" w:eastAsia="Cambria" w:hAnsiTheme="minorHAnsi" w:cstheme="minorHAnsi"/>
        </w:rPr>
        <w:t>Frank 2022).</w:t>
      </w:r>
    </w:p>
    <w:p w14:paraId="5B4AD9DE" w14:textId="77777777" w:rsidR="5592521F" w:rsidRDefault="42361FC7" w:rsidP="09F46A13">
      <w:pPr>
        <w:spacing w:after="0" w:line="257" w:lineRule="auto"/>
        <w:rPr>
          <w:rFonts w:asciiTheme="minorHAnsi" w:eastAsia="Cambria" w:hAnsiTheme="minorHAnsi" w:cstheme="minorHAnsi"/>
        </w:rPr>
      </w:pPr>
      <w:r w:rsidRPr="00B43E5B">
        <w:rPr>
          <w:rFonts w:asciiTheme="minorHAnsi" w:eastAsia="Cambria" w:hAnsiTheme="minorHAnsi" w:cstheme="minorHAnsi"/>
        </w:rPr>
        <w:t>U všech česk</w:t>
      </w:r>
      <w:r w:rsidR="006234EA">
        <w:rPr>
          <w:rFonts w:asciiTheme="minorHAnsi" w:eastAsia="Cambria" w:hAnsiTheme="minorHAnsi" w:cstheme="minorHAnsi"/>
        </w:rPr>
        <w:t>ých publikací indexovaných ve Wo</w:t>
      </w:r>
      <w:r w:rsidRPr="00B43E5B">
        <w:rPr>
          <w:rFonts w:asciiTheme="minorHAnsi" w:eastAsia="Cambria" w:hAnsiTheme="minorHAnsi" w:cstheme="minorHAnsi"/>
        </w:rPr>
        <w:t xml:space="preserve">S je míra mezinárodní spolupráce poměrně nízká, mezinárodní publikace představují jen </w:t>
      </w:r>
      <w:r w:rsidR="00E7535F">
        <w:rPr>
          <w:rFonts w:asciiTheme="minorHAnsi" w:eastAsia="Cambria" w:hAnsiTheme="minorHAnsi" w:cstheme="minorHAnsi"/>
        </w:rPr>
        <w:t>cca</w:t>
      </w:r>
      <w:r w:rsidR="00E7535F" w:rsidRPr="00B43E5B">
        <w:rPr>
          <w:rFonts w:asciiTheme="minorHAnsi" w:eastAsia="Cambria" w:hAnsiTheme="minorHAnsi" w:cstheme="minorHAnsi"/>
        </w:rPr>
        <w:t xml:space="preserve"> </w:t>
      </w:r>
      <w:r w:rsidR="051ED120" w:rsidRPr="00B43E5B">
        <w:rPr>
          <w:rFonts w:asciiTheme="minorHAnsi" w:eastAsia="Cambria" w:hAnsiTheme="minorHAnsi" w:cstheme="minorHAnsi"/>
        </w:rPr>
        <w:t>45 %</w:t>
      </w:r>
      <w:r w:rsidRPr="00B43E5B">
        <w:rPr>
          <w:rFonts w:asciiTheme="minorHAnsi" w:eastAsia="Cambria" w:hAnsiTheme="minorHAnsi" w:cstheme="minorHAnsi"/>
        </w:rPr>
        <w:t xml:space="preserve"> všech českých publikací. U publikací</w:t>
      </w:r>
      <w:r w:rsidR="009B66B5">
        <w:rPr>
          <w:rFonts w:asciiTheme="minorHAnsi" w:eastAsia="Cambria" w:hAnsiTheme="minorHAnsi" w:cstheme="minorHAnsi"/>
        </w:rPr>
        <w:t xml:space="preserve"> z </w:t>
      </w:r>
      <w:r w:rsidR="006234EA">
        <w:rPr>
          <w:rFonts w:asciiTheme="minorHAnsi" w:eastAsia="Cambria" w:hAnsiTheme="minorHAnsi" w:cstheme="minorHAnsi"/>
        </w:rPr>
        <w:t>5.</w:t>
      </w:r>
      <w:r w:rsidR="009B66B5">
        <w:rPr>
          <w:rFonts w:asciiTheme="minorHAnsi" w:eastAsia="Cambria" w:hAnsiTheme="minorHAnsi" w:cstheme="minorHAnsi"/>
        </w:rPr>
        <w:t xml:space="preserve"> a </w:t>
      </w:r>
      <w:r w:rsidR="006234EA">
        <w:rPr>
          <w:rFonts w:asciiTheme="minorHAnsi" w:eastAsia="Cambria" w:hAnsiTheme="minorHAnsi" w:cstheme="minorHAnsi"/>
        </w:rPr>
        <w:t>6. RP</w:t>
      </w:r>
      <w:r w:rsidRPr="00B43E5B">
        <w:rPr>
          <w:rFonts w:asciiTheme="minorHAnsi" w:eastAsia="Cambria" w:hAnsiTheme="minorHAnsi" w:cstheme="minorHAnsi"/>
        </w:rPr>
        <w:t xml:space="preserve"> byl pozorován vzestup intenzity mezinárodní spolupráce</w:t>
      </w:r>
      <w:r w:rsidR="009B66B5">
        <w:rPr>
          <w:rFonts w:asciiTheme="minorHAnsi" w:eastAsia="Cambria" w:hAnsiTheme="minorHAnsi" w:cstheme="minorHAnsi"/>
        </w:rPr>
        <w:t xml:space="preserve"> o </w:t>
      </w:r>
      <w:r w:rsidRPr="00B43E5B">
        <w:rPr>
          <w:rFonts w:asciiTheme="minorHAnsi" w:eastAsia="Cambria" w:hAnsiTheme="minorHAnsi" w:cstheme="minorHAnsi"/>
        </w:rPr>
        <w:t>77 %. U publikací vzniklých</w:t>
      </w:r>
      <w:r w:rsidR="009B66B5">
        <w:rPr>
          <w:rFonts w:asciiTheme="minorHAnsi" w:eastAsia="Cambria" w:hAnsiTheme="minorHAnsi" w:cstheme="minorHAnsi"/>
        </w:rPr>
        <w:t xml:space="preserve"> v </w:t>
      </w:r>
      <w:r w:rsidR="006234EA">
        <w:rPr>
          <w:rFonts w:asciiTheme="minorHAnsi" w:eastAsia="Cambria" w:hAnsiTheme="minorHAnsi" w:cstheme="minorHAnsi"/>
        </w:rPr>
        <w:t>7. RP</w:t>
      </w:r>
      <w:r w:rsidR="009B66B5">
        <w:rPr>
          <w:rFonts w:asciiTheme="minorHAnsi" w:eastAsia="Cambria" w:hAnsiTheme="minorHAnsi" w:cstheme="minorHAnsi"/>
        </w:rPr>
        <w:t xml:space="preserve"> i </w:t>
      </w:r>
      <w:r w:rsidR="006234EA">
        <w:rPr>
          <w:rFonts w:asciiTheme="minorHAnsi" w:eastAsia="Cambria" w:hAnsiTheme="minorHAnsi" w:cstheme="minorHAnsi"/>
        </w:rPr>
        <w:t>H</w:t>
      </w:r>
      <w:r w:rsidR="00E7535F">
        <w:rPr>
          <w:rFonts w:asciiTheme="minorHAnsi" w:eastAsia="Cambria" w:hAnsiTheme="minorHAnsi" w:cstheme="minorHAnsi"/>
        </w:rPr>
        <w:t xml:space="preserve">orizontu </w:t>
      </w:r>
      <w:r w:rsidR="006234EA">
        <w:rPr>
          <w:rFonts w:asciiTheme="minorHAnsi" w:eastAsia="Cambria" w:hAnsiTheme="minorHAnsi" w:cstheme="minorHAnsi"/>
        </w:rPr>
        <w:t>2020</w:t>
      </w:r>
      <w:r w:rsidRPr="00B43E5B">
        <w:rPr>
          <w:rFonts w:asciiTheme="minorHAnsi" w:eastAsia="Cambria" w:hAnsiTheme="minorHAnsi" w:cstheme="minorHAnsi"/>
        </w:rPr>
        <w:t xml:space="preserve"> však intenzita mezinárodní spolupráce stoupala ještě víc</w:t>
      </w:r>
      <w:r w:rsidR="00E7535F">
        <w:rPr>
          <w:rFonts w:asciiTheme="minorHAnsi" w:eastAsia="Cambria" w:hAnsiTheme="minorHAnsi" w:cstheme="minorHAnsi"/>
        </w:rPr>
        <w:t>e</w:t>
      </w:r>
      <w:r w:rsidRPr="00B43E5B">
        <w:rPr>
          <w:rFonts w:asciiTheme="minorHAnsi" w:eastAsia="Cambria" w:hAnsiTheme="minorHAnsi" w:cstheme="minorHAnsi"/>
        </w:rPr>
        <w:t>. V</w:t>
      </w:r>
      <w:r w:rsidR="006234EA">
        <w:rPr>
          <w:rFonts w:asciiTheme="minorHAnsi" w:eastAsia="Cambria" w:hAnsiTheme="minorHAnsi" w:cstheme="minorHAnsi"/>
        </w:rPr>
        <w:t> 7. RP</w:t>
      </w:r>
      <w:r w:rsidR="009B66B5">
        <w:rPr>
          <w:rFonts w:asciiTheme="minorHAnsi" w:eastAsia="Cambria" w:hAnsiTheme="minorHAnsi" w:cstheme="minorHAnsi"/>
        </w:rPr>
        <w:t xml:space="preserve"> a v </w:t>
      </w:r>
      <w:r w:rsidRPr="00B43E5B">
        <w:rPr>
          <w:rFonts w:asciiTheme="minorHAnsi" w:eastAsia="Cambria" w:hAnsiTheme="minorHAnsi" w:cstheme="minorHAnsi"/>
        </w:rPr>
        <w:t>H</w:t>
      </w:r>
      <w:r w:rsidR="00E7535F">
        <w:rPr>
          <w:rFonts w:asciiTheme="minorHAnsi" w:eastAsia="Cambria" w:hAnsiTheme="minorHAnsi" w:cstheme="minorHAnsi"/>
        </w:rPr>
        <w:t xml:space="preserve">orizontu </w:t>
      </w:r>
      <w:r w:rsidRPr="00B43E5B">
        <w:rPr>
          <w:rFonts w:asciiTheme="minorHAnsi" w:eastAsia="Cambria" w:hAnsiTheme="minorHAnsi" w:cstheme="minorHAnsi"/>
        </w:rPr>
        <w:t>2020 přesahuje podíl mezinárodních publikací 87 %, což je asi 93% vzestup proti národnímu průměru. V intenzitě mezinárodní spolupráce se ČR umístila</w:t>
      </w:r>
      <w:r w:rsidR="009B66B5">
        <w:rPr>
          <w:rFonts w:asciiTheme="minorHAnsi" w:eastAsia="Cambria" w:hAnsiTheme="minorHAnsi" w:cstheme="minorHAnsi"/>
        </w:rPr>
        <w:t xml:space="preserve"> v </w:t>
      </w:r>
      <w:r w:rsidRPr="00B43E5B">
        <w:rPr>
          <w:rFonts w:asciiTheme="minorHAnsi" w:eastAsia="Cambria" w:hAnsiTheme="minorHAnsi" w:cstheme="minorHAnsi"/>
        </w:rPr>
        <w:t>H</w:t>
      </w:r>
      <w:r w:rsidR="00E7535F">
        <w:rPr>
          <w:rFonts w:asciiTheme="minorHAnsi" w:eastAsia="Cambria" w:hAnsiTheme="minorHAnsi" w:cstheme="minorHAnsi"/>
        </w:rPr>
        <w:t xml:space="preserve">orizontu </w:t>
      </w:r>
      <w:r w:rsidRPr="00B43E5B">
        <w:rPr>
          <w:rFonts w:asciiTheme="minorHAnsi" w:eastAsia="Cambria" w:hAnsiTheme="minorHAnsi" w:cstheme="minorHAnsi"/>
        </w:rPr>
        <w:t xml:space="preserve">2020 mezi zeměmi </w:t>
      </w:r>
      <w:r w:rsidR="00E7535F">
        <w:rPr>
          <w:rFonts w:asciiTheme="minorHAnsi" w:eastAsia="Cambria" w:hAnsiTheme="minorHAnsi" w:cstheme="minorHAnsi"/>
        </w:rPr>
        <w:t xml:space="preserve">bývalé </w:t>
      </w:r>
      <w:r w:rsidRPr="00B43E5B">
        <w:rPr>
          <w:rFonts w:asciiTheme="minorHAnsi" w:eastAsia="Cambria" w:hAnsiTheme="minorHAnsi" w:cstheme="minorHAnsi"/>
        </w:rPr>
        <w:t>EU-28 na 4. místě</w:t>
      </w:r>
      <w:r w:rsidR="009B66B5">
        <w:rPr>
          <w:rFonts w:asciiTheme="minorHAnsi" w:eastAsia="Cambria" w:hAnsiTheme="minorHAnsi" w:cstheme="minorHAnsi"/>
        </w:rPr>
        <w:t xml:space="preserve"> a </w:t>
      </w:r>
      <w:r w:rsidRPr="00B43E5B">
        <w:rPr>
          <w:rFonts w:asciiTheme="minorHAnsi" w:eastAsia="Cambria" w:hAnsiTheme="minorHAnsi" w:cstheme="minorHAnsi"/>
        </w:rPr>
        <w:t>patřila tak mezi země</w:t>
      </w:r>
      <w:r w:rsidR="009B66B5">
        <w:rPr>
          <w:rFonts w:asciiTheme="minorHAnsi" w:eastAsia="Cambria" w:hAnsiTheme="minorHAnsi" w:cstheme="minorHAnsi"/>
        </w:rPr>
        <w:t xml:space="preserve"> s </w:t>
      </w:r>
      <w:r w:rsidRPr="00B43E5B">
        <w:rPr>
          <w:rFonts w:asciiTheme="minorHAnsi" w:eastAsia="Cambria" w:hAnsiTheme="minorHAnsi" w:cstheme="minorHAnsi"/>
        </w:rPr>
        <w:t xml:space="preserve">nejintenzivnější mezinárodní spoluprací. </w:t>
      </w:r>
    </w:p>
    <w:p w14:paraId="6194FD3A" w14:textId="77777777" w:rsidR="0033584A" w:rsidRPr="00B43E5B" w:rsidRDefault="0033584A" w:rsidP="09F46A13">
      <w:pPr>
        <w:spacing w:after="0" w:line="257" w:lineRule="auto"/>
        <w:rPr>
          <w:rFonts w:asciiTheme="minorHAnsi" w:hAnsiTheme="minorHAnsi" w:cstheme="minorHAnsi"/>
        </w:rPr>
      </w:pPr>
      <w:r w:rsidRPr="00B43E5B">
        <w:rPr>
          <w:rFonts w:asciiTheme="minorHAnsi" w:eastAsia="Cambria" w:hAnsiTheme="minorHAnsi" w:cstheme="minorHAnsi"/>
        </w:rPr>
        <w:t>V další analýze byly porovnávány publikace českých autorů financované</w:t>
      </w:r>
      <w:r w:rsidR="009B66B5">
        <w:rPr>
          <w:rFonts w:asciiTheme="minorHAnsi" w:eastAsia="Cambria" w:hAnsiTheme="minorHAnsi" w:cstheme="minorHAnsi"/>
        </w:rPr>
        <w:t xml:space="preserve"> z </w:t>
      </w:r>
      <w:r w:rsidRPr="00B43E5B">
        <w:rPr>
          <w:rFonts w:asciiTheme="minorHAnsi" w:eastAsia="Cambria" w:hAnsiTheme="minorHAnsi" w:cstheme="minorHAnsi"/>
        </w:rPr>
        <w:t>RP</w:t>
      </w:r>
      <w:r w:rsidR="009B66B5">
        <w:rPr>
          <w:rFonts w:asciiTheme="minorHAnsi" w:eastAsia="Cambria" w:hAnsiTheme="minorHAnsi" w:cstheme="minorHAnsi"/>
        </w:rPr>
        <w:t xml:space="preserve"> s </w:t>
      </w:r>
      <w:r w:rsidRPr="00B43E5B">
        <w:rPr>
          <w:rFonts w:asciiTheme="minorHAnsi" w:eastAsia="Cambria" w:hAnsiTheme="minorHAnsi" w:cstheme="minorHAnsi"/>
        </w:rPr>
        <w:t>publikacemi vzniklými</w:t>
      </w:r>
      <w:r w:rsidR="009B66B5">
        <w:rPr>
          <w:rFonts w:asciiTheme="minorHAnsi" w:eastAsia="Cambria" w:hAnsiTheme="minorHAnsi" w:cstheme="minorHAnsi"/>
        </w:rPr>
        <w:t xml:space="preserve"> v </w:t>
      </w:r>
      <w:r w:rsidRPr="00B43E5B">
        <w:rPr>
          <w:rFonts w:asciiTheme="minorHAnsi" w:eastAsia="Cambria" w:hAnsiTheme="minorHAnsi" w:cstheme="minorHAnsi"/>
        </w:rPr>
        <w:t>rámci projektů podpořených jinými českými programy či granty (Vaněček</w:t>
      </w:r>
      <w:r w:rsidR="009B66B5">
        <w:rPr>
          <w:rFonts w:asciiTheme="minorHAnsi" w:eastAsia="Cambria" w:hAnsiTheme="minorHAnsi" w:cstheme="minorHAnsi"/>
        </w:rPr>
        <w:t xml:space="preserve"> a </w:t>
      </w:r>
      <w:r w:rsidRPr="00B43E5B">
        <w:rPr>
          <w:rFonts w:asciiTheme="minorHAnsi" w:eastAsia="Cambria" w:hAnsiTheme="minorHAnsi" w:cstheme="minorHAnsi"/>
        </w:rPr>
        <w:t>Frank 2020). Publikace</w:t>
      </w:r>
      <w:r w:rsidR="009B66B5">
        <w:rPr>
          <w:rFonts w:asciiTheme="minorHAnsi" w:eastAsia="Cambria" w:hAnsiTheme="minorHAnsi" w:cstheme="minorHAnsi"/>
        </w:rPr>
        <w:t xml:space="preserve"> z </w:t>
      </w:r>
      <w:r w:rsidRPr="00B43E5B">
        <w:rPr>
          <w:rFonts w:asciiTheme="minorHAnsi" w:eastAsia="Cambria" w:hAnsiTheme="minorHAnsi" w:cstheme="minorHAnsi"/>
        </w:rPr>
        <w:t xml:space="preserve">projektů </w:t>
      </w:r>
      <w:r w:rsidR="006234EA">
        <w:rPr>
          <w:rFonts w:asciiTheme="minorHAnsi" w:eastAsia="Cambria" w:hAnsiTheme="minorHAnsi" w:cstheme="minorHAnsi"/>
        </w:rPr>
        <w:t>7. RP</w:t>
      </w:r>
      <w:r w:rsidRPr="00B43E5B">
        <w:rPr>
          <w:rFonts w:asciiTheme="minorHAnsi" w:eastAsia="Cambria" w:hAnsiTheme="minorHAnsi" w:cstheme="minorHAnsi"/>
        </w:rPr>
        <w:t xml:space="preserve"> měly nejvyšší podíl mezinárodní spolupráce</w:t>
      </w:r>
      <w:r w:rsidR="009B66B5">
        <w:rPr>
          <w:rFonts w:asciiTheme="minorHAnsi" w:eastAsia="Cambria" w:hAnsiTheme="minorHAnsi" w:cstheme="minorHAnsi"/>
        </w:rPr>
        <w:t xml:space="preserve"> a </w:t>
      </w:r>
      <w:r w:rsidRPr="00B43E5B">
        <w:rPr>
          <w:rFonts w:asciiTheme="minorHAnsi" w:eastAsia="Cambria" w:hAnsiTheme="minorHAnsi" w:cstheme="minorHAnsi"/>
        </w:rPr>
        <w:t xml:space="preserve">nejvyšší </w:t>
      </w:r>
      <w:r w:rsidR="00FF79EF">
        <w:rPr>
          <w:rFonts w:asciiTheme="minorHAnsi" w:eastAsia="Cambria" w:hAnsiTheme="minorHAnsi" w:cstheme="minorHAnsi"/>
        </w:rPr>
        <w:t>citovanost</w:t>
      </w:r>
      <w:r w:rsidRPr="00B43E5B">
        <w:rPr>
          <w:rFonts w:asciiTheme="minorHAnsi" w:eastAsia="Cambria" w:hAnsiTheme="minorHAnsi" w:cstheme="minorHAnsi"/>
        </w:rPr>
        <w:t xml:space="preserve"> (Vaněček</w:t>
      </w:r>
      <w:r w:rsidR="009B66B5">
        <w:rPr>
          <w:rFonts w:asciiTheme="minorHAnsi" w:eastAsia="Cambria" w:hAnsiTheme="minorHAnsi" w:cstheme="minorHAnsi"/>
        </w:rPr>
        <w:t xml:space="preserve"> a </w:t>
      </w:r>
      <w:r w:rsidRPr="00B43E5B">
        <w:rPr>
          <w:rFonts w:asciiTheme="minorHAnsi" w:eastAsia="Cambria" w:hAnsiTheme="minorHAnsi" w:cstheme="minorHAnsi"/>
        </w:rPr>
        <w:t>Frank 2020). Vysoká korelace mezi intenzitou mezinárodní spolupráce</w:t>
      </w:r>
      <w:r w:rsidR="009B66B5">
        <w:rPr>
          <w:rFonts w:asciiTheme="minorHAnsi" w:eastAsia="Cambria" w:hAnsiTheme="minorHAnsi" w:cstheme="minorHAnsi"/>
        </w:rPr>
        <w:t xml:space="preserve"> a </w:t>
      </w:r>
      <w:r w:rsidRPr="00B43E5B">
        <w:rPr>
          <w:rFonts w:asciiTheme="minorHAnsi" w:eastAsia="Cambria" w:hAnsiTheme="minorHAnsi" w:cstheme="minorHAnsi"/>
        </w:rPr>
        <w:t>citovaností byla pozorována</w:t>
      </w:r>
      <w:r w:rsidR="009B66B5">
        <w:rPr>
          <w:rFonts w:asciiTheme="minorHAnsi" w:eastAsia="Cambria" w:hAnsiTheme="minorHAnsi" w:cstheme="minorHAnsi"/>
        </w:rPr>
        <w:t xml:space="preserve"> i </w:t>
      </w:r>
      <w:r w:rsidR="00E7535F" w:rsidRPr="00B43E5B">
        <w:rPr>
          <w:rFonts w:asciiTheme="minorHAnsi" w:eastAsia="Cambria" w:hAnsiTheme="minorHAnsi" w:cstheme="minorHAnsi"/>
        </w:rPr>
        <w:t>u</w:t>
      </w:r>
      <w:r w:rsidR="00E7535F">
        <w:rPr>
          <w:rFonts w:asciiTheme="minorHAnsi" w:eastAsia="Cambria" w:hAnsiTheme="minorHAnsi" w:cstheme="minorHAnsi"/>
        </w:rPr>
        <w:t> </w:t>
      </w:r>
      <w:r w:rsidRPr="00B43E5B">
        <w:rPr>
          <w:rFonts w:asciiTheme="minorHAnsi" w:eastAsia="Cambria" w:hAnsiTheme="minorHAnsi" w:cstheme="minorHAnsi"/>
        </w:rPr>
        <w:t>publikací</w:t>
      </w:r>
      <w:r w:rsidR="009B66B5">
        <w:rPr>
          <w:rFonts w:asciiTheme="minorHAnsi" w:eastAsia="Cambria" w:hAnsiTheme="minorHAnsi" w:cstheme="minorHAnsi"/>
        </w:rPr>
        <w:t xml:space="preserve"> z </w:t>
      </w:r>
      <w:r w:rsidRPr="00B43E5B">
        <w:rPr>
          <w:rFonts w:asciiTheme="minorHAnsi" w:eastAsia="Cambria" w:hAnsiTheme="minorHAnsi" w:cstheme="minorHAnsi"/>
        </w:rPr>
        <w:t>jiných programů</w:t>
      </w:r>
      <w:r w:rsidR="009B66B5">
        <w:rPr>
          <w:rFonts w:asciiTheme="minorHAnsi" w:eastAsia="Cambria" w:hAnsiTheme="minorHAnsi" w:cstheme="minorHAnsi"/>
        </w:rPr>
        <w:t xml:space="preserve"> a </w:t>
      </w:r>
      <w:r w:rsidRPr="00B43E5B">
        <w:rPr>
          <w:rFonts w:asciiTheme="minorHAnsi" w:eastAsia="Cambria" w:hAnsiTheme="minorHAnsi" w:cstheme="minorHAnsi"/>
        </w:rPr>
        <w:t>projektů.</w:t>
      </w:r>
    </w:p>
    <w:p w14:paraId="2BC38345" w14:textId="77777777" w:rsidR="5592521F" w:rsidRDefault="42361FC7" w:rsidP="09F46A13">
      <w:pPr>
        <w:spacing w:after="0" w:line="257" w:lineRule="auto"/>
        <w:rPr>
          <w:rFonts w:asciiTheme="minorHAnsi" w:eastAsia="Cambria" w:hAnsiTheme="minorHAnsi" w:cstheme="minorHAnsi"/>
        </w:rPr>
      </w:pPr>
      <w:r w:rsidRPr="00B43E5B">
        <w:rPr>
          <w:rFonts w:asciiTheme="minorHAnsi" w:eastAsia="Cambria" w:hAnsiTheme="minorHAnsi" w:cstheme="minorHAnsi"/>
        </w:rPr>
        <w:t>Rovněž spolupráce</w:t>
      </w:r>
      <w:r w:rsidR="009B66B5">
        <w:rPr>
          <w:rFonts w:asciiTheme="minorHAnsi" w:eastAsia="Cambria" w:hAnsiTheme="minorHAnsi" w:cstheme="minorHAnsi"/>
        </w:rPr>
        <w:t xml:space="preserve"> s </w:t>
      </w:r>
      <w:r w:rsidRPr="00B43E5B">
        <w:rPr>
          <w:rFonts w:asciiTheme="minorHAnsi" w:eastAsia="Cambria" w:hAnsiTheme="minorHAnsi" w:cstheme="minorHAnsi"/>
        </w:rPr>
        <w:t>průmyslovými podniky je</w:t>
      </w:r>
      <w:r w:rsidR="009B66B5">
        <w:rPr>
          <w:rFonts w:asciiTheme="minorHAnsi" w:eastAsia="Cambria" w:hAnsiTheme="minorHAnsi" w:cstheme="minorHAnsi"/>
        </w:rPr>
        <w:t xml:space="preserve"> v </w:t>
      </w:r>
      <w:r w:rsidRPr="00B43E5B">
        <w:rPr>
          <w:rFonts w:asciiTheme="minorHAnsi" w:eastAsia="Cambria" w:hAnsiTheme="minorHAnsi" w:cstheme="minorHAnsi"/>
        </w:rPr>
        <w:t xml:space="preserve">RP intenzivnější než u průměrných českých publikací. U projektů </w:t>
      </w:r>
      <w:r w:rsidR="00A83045">
        <w:rPr>
          <w:rFonts w:asciiTheme="minorHAnsi" w:eastAsia="Cambria" w:hAnsiTheme="minorHAnsi" w:cstheme="minorHAnsi"/>
        </w:rPr>
        <w:t>7. RP</w:t>
      </w:r>
      <w:r w:rsidRPr="00B43E5B">
        <w:rPr>
          <w:rFonts w:asciiTheme="minorHAnsi" w:eastAsia="Cambria" w:hAnsiTheme="minorHAnsi" w:cstheme="minorHAnsi"/>
        </w:rPr>
        <w:t xml:space="preserve"> vzniklo asi 4 % českých publik</w:t>
      </w:r>
      <w:r w:rsidR="00A83045">
        <w:rPr>
          <w:rFonts w:asciiTheme="minorHAnsi" w:eastAsia="Cambria" w:hAnsiTheme="minorHAnsi" w:cstheme="minorHAnsi"/>
        </w:rPr>
        <w:t>ací ve spolupráci</w:t>
      </w:r>
      <w:r w:rsidR="009B66B5">
        <w:rPr>
          <w:rFonts w:asciiTheme="minorHAnsi" w:eastAsia="Cambria" w:hAnsiTheme="minorHAnsi" w:cstheme="minorHAnsi"/>
        </w:rPr>
        <w:t xml:space="preserve"> s </w:t>
      </w:r>
      <w:r w:rsidR="00A83045">
        <w:rPr>
          <w:rFonts w:asciiTheme="minorHAnsi" w:eastAsia="Cambria" w:hAnsiTheme="minorHAnsi" w:cstheme="minorHAnsi"/>
        </w:rPr>
        <w:t xml:space="preserve">průmyslem, </w:t>
      </w:r>
      <w:r w:rsidRPr="00B43E5B">
        <w:rPr>
          <w:rFonts w:asciiTheme="minorHAnsi" w:eastAsia="Cambria" w:hAnsiTheme="minorHAnsi" w:cstheme="minorHAnsi"/>
        </w:rPr>
        <w:t>u projektů H</w:t>
      </w:r>
      <w:r w:rsidR="00E7535F">
        <w:rPr>
          <w:rFonts w:asciiTheme="minorHAnsi" w:eastAsia="Cambria" w:hAnsiTheme="minorHAnsi" w:cstheme="minorHAnsi"/>
        </w:rPr>
        <w:t xml:space="preserve">orizontu </w:t>
      </w:r>
      <w:r w:rsidRPr="00B43E5B">
        <w:rPr>
          <w:rFonts w:asciiTheme="minorHAnsi" w:eastAsia="Cambria" w:hAnsiTheme="minorHAnsi" w:cstheme="minorHAnsi"/>
        </w:rPr>
        <w:t xml:space="preserve">2020 je to dokonce </w:t>
      </w:r>
      <w:r w:rsidR="54BD2AF2" w:rsidRPr="00B43E5B">
        <w:rPr>
          <w:rFonts w:asciiTheme="minorHAnsi" w:eastAsia="Cambria" w:hAnsiTheme="minorHAnsi" w:cstheme="minorHAnsi"/>
        </w:rPr>
        <w:t>19 %</w:t>
      </w:r>
      <w:r w:rsidRPr="00B43E5B">
        <w:rPr>
          <w:rFonts w:asciiTheme="minorHAnsi" w:eastAsia="Cambria" w:hAnsiTheme="minorHAnsi" w:cstheme="minorHAnsi"/>
        </w:rPr>
        <w:t xml:space="preserve"> publikací, kdežto u všech česk</w:t>
      </w:r>
      <w:r w:rsidR="00A83045">
        <w:rPr>
          <w:rFonts w:asciiTheme="minorHAnsi" w:eastAsia="Cambria" w:hAnsiTheme="minorHAnsi" w:cstheme="minorHAnsi"/>
        </w:rPr>
        <w:t>ých publikací indexovaných ve Wo</w:t>
      </w:r>
      <w:r w:rsidRPr="00B43E5B">
        <w:rPr>
          <w:rFonts w:asciiTheme="minorHAnsi" w:eastAsia="Cambria" w:hAnsiTheme="minorHAnsi" w:cstheme="minorHAnsi"/>
        </w:rPr>
        <w:t xml:space="preserve">S je </w:t>
      </w:r>
      <w:r w:rsidR="00FF79EF">
        <w:rPr>
          <w:rFonts w:asciiTheme="minorHAnsi" w:eastAsia="Cambria" w:hAnsiTheme="minorHAnsi" w:cstheme="minorHAnsi"/>
        </w:rPr>
        <w:t xml:space="preserve">podíl </w:t>
      </w:r>
      <w:r w:rsidR="005641BB">
        <w:rPr>
          <w:rFonts w:asciiTheme="minorHAnsi" w:eastAsia="Cambria" w:hAnsiTheme="minorHAnsi" w:cstheme="minorHAnsi"/>
        </w:rPr>
        <w:t>publikací vytvořených ve spolupráci</w:t>
      </w:r>
      <w:r w:rsidR="009B66B5">
        <w:rPr>
          <w:rFonts w:asciiTheme="minorHAnsi" w:eastAsia="Cambria" w:hAnsiTheme="minorHAnsi" w:cstheme="minorHAnsi"/>
        </w:rPr>
        <w:t xml:space="preserve"> s </w:t>
      </w:r>
      <w:r w:rsidRPr="00B43E5B">
        <w:rPr>
          <w:rFonts w:asciiTheme="minorHAnsi" w:eastAsia="Cambria" w:hAnsiTheme="minorHAnsi" w:cstheme="minorHAnsi"/>
        </w:rPr>
        <w:t>průmysl</w:t>
      </w:r>
      <w:r w:rsidR="005641BB">
        <w:rPr>
          <w:rFonts w:asciiTheme="minorHAnsi" w:eastAsia="Cambria" w:hAnsiTheme="minorHAnsi" w:cstheme="minorHAnsi"/>
        </w:rPr>
        <w:t>em</w:t>
      </w:r>
      <w:r w:rsidRPr="00B43E5B">
        <w:rPr>
          <w:rFonts w:asciiTheme="minorHAnsi" w:eastAsia="Cambria" w:hAnsiTheme="minorHAnsi" w:cstheme="minorHAnsi"/>
        </w:rPr>
        <w:t xml:space="preserve"> nižší než </w:t>
      </w:r>
      <w:r w:rsidR="7948E276" w:rsidRPr="00B43E5B">
        <w:rPr>
          <w:rFonts w:asciiTheme="minorHAnsi" w:eastAsia="Cambria" w:hAnsiTheme="minorHAnsi" w:cstheme="minorHAnsi"/>
        </w:rPr>
        <w:t>3 %</w:t>
      </w:r>
      <w:r w:rsidRPr="00B43E5B">
        <w:rPr>
          <w:rFonts w:asciiTheme="minorHAnsi" w:eastAsia="Cambria" w:hAnsiTheme="minorHAnsi" w:cstheme="minorHAnsi"/>
        </w:rPr>
        <w:t xml:space="preserve"> (Vaněček 2021). </w:t>
      </w:r>
    </w:p>
    <w:p w14:paraId="068FC8CF" w14:textId="77777777" w:rsidR="00BA25C2" w:rsidRPr="00B43E5B" w:rsidRDefault="00BA25C2" w:rsidP="00BA25C2">
      <w:pPr>
        <w:spacing w:after="0" w:line="257" w:lineRule="auto"/>
        <w:rPr>
          <w:rFonts w:asciiTheme="minorHAnsi" w:eastAsia="Cambria" w:hAnsiTheme="minorHAnsi" w:cstheme="minorHAnsi"/>
        </w:rPr>
      </w:pPr>
      <w:r w:rsidRPr="00C50DE7">
        <w:rPr>
          <w:rFonts w:asciiTheme="minorHAnsi" w:eastAsia="Cambria" w:hAnsiTheme="minorHAnsi" w:cstheme="minorHAnsi"/>
          <w:b/>
          <w:bCs/>
        </w:rPr>
        <w:t>I když českých publikací vzniká</w:t>
      </w:r>
      <w:r w:rsidR="009B66B5">
        <w:rPr>
          <w:rFonts w:asciiTheme="minorHAnsi" w:eastAsia="Cambria" w:hAnsiTheme="minorHAnsi" w:cstheme="minorHAnsi"/>
          <w:b/>
          <w:bCs/>
        </w:rPr>
        <w:t xml:space="preserve"> v </w:t>
      </w:r>
      <w:r w:rsidRPr="00C50DE7">
        <w:rPr>
          <w:rFonts w:asciiTheme="minorHAnsi" w:eastAsia="Cambria" w:hAnsiTheme="minorHAnsi" w:cstheme="minorHAnsi"/>
          <w:b/>
          <w:bCs/>
        </w:rPr>
        <w:t>RP relativně málo, tyto publikace podle bibliometrických indikátorů patří</w:t>
      </w:r>
      <w:r w:rsidR="009B66B5">
        <w:rPr>
          <w:rFonts w:asciiTheme="minorHAnsi" w:eastAsia="Cambria" w:hAnsiTheme="minorHAnsi" w:cstheme="minorHAnsi"/>
          <w:b/>
          <w:bCs/>
        </w:rPr>
        <w:t xml:space="preserve"> k </w:t>
      </w:r>
      <w:r w:rsidRPr="00C50DE7">
        <w:rPr>
          <w:rFonts w:asciiTheme="minorHAnsi" w:eastAsia="Cambria" w:hAnsiTheme="minorHAnsi" w:cstheme="minorHAnsi"/>
          <w:b/>
          <w:bCs/>
        </w:rPr>
        <w:t>tomu nejlepšímu, co</w:t>
      </w:r>
      <w:r w:rsidR="009B66B5">
        <w:rPr>
          <w:rFonts w:asciiTheme="minorHAnsi" w:eastAsia="Cambria" w:hAnsiTheme="minorHAnsi" w:cstheme="minorHAnsi"/>
          <w:b/>
          <w:bCs/>
        </w:rPr>
        <w:t xml:space="preserve"> v </w:t>
      </w:r>
      <w:r w:rsidRPr="00C50DE7">
        <w:rPr>
          <w:rFonts w:asciiTheme="minorHAnsi" w:eastAsia="Cambria" w:hAnsiTheme="minorHAnsi" w:cstheme="minorHAnsi"/>
          <w:b/>
          <w:bCs/>
        </w:rPr>
        <w:t>ČR vzniká</w:t>
      </w:r>
      <w:r w:rsidR="00E7535F">
        <w:rPr>
          <w:rFonts w:asciiTheme="minorHAnsi" w:eastAsia="Cambria" w:hAnsiTheme="minorHAnsi" w:cstheme="minorHAnsi"/>
          <w:b/>
          <w:bCs/>
        </w:rPr>
        <w:t>.</w:t>
      </w:r>
      <w:r w:rsidRPr="00C50DE7">
        <w:rPr>
          <w:rFonts w:asciiTheme="minorHAnsi" w:eastAsia="Cambria" w:hAnsiTheme="minorHAnsi" w:cstheme="minorHAnsi"/>
          <w:b/>
          <w:bCs/>
        </w:rPr>
        <w:t xml:space="preserve"> </w:t>
      </w:r>
      <w:r w:rsidR="00E7535F">
        <w:rPr>
          <w:rFonts w:asciiTheme="minorHAnsi" w:eastAsia="Cambria" w:hAnsiTheme="minorHAnsi" w:cstheme="minorHAnsi"/>
          <w:b/>
          <w:bCs/>
        </w:rPr>
        <w:t>M</w:t>
      </w:r>
      <w:r w:rsidRPr="00C50DE7">
        <w:rPr>
          <w:rFonts w:asciiTheme="minorHAnsi" w:eastAsia="Cambria" w:hAnsiTheme="minorHAnsi" w:cstheme="minorHAnsi"/>
          <w:b/>
          <w:bCs/>
        </w:rPr>
        <w:t>ají vysoký citační dopad, jsou často publikovány</w:t>
      </w:r>
      <w:r w:rsidR="009B66B5">
        <w:rPr>
          <w:rFonts w:asciiTheme="minorHAnsi" w:eastAsia="Cambria" w:hAnsiTheme="minorHAnsi" w:cstheme="minorHAnsi"/>
          <w:b/>
          <w:bCs/>
        </w:rPr>
        <w:t xml:space="preserve"> v </w:t>
      </w:r>
      <w:r w:rsidRPr="00C50DE7">
        <w:rPr>
          <w:rFonts w:asciiTheme="minorHAnsi" w:eastAsia="Cambria" w:hAnsiTheme="minorHAnsi" w:cstheme="minorHAnsi"/>
          <w:b/>
          <w:bCs/>
        </w:rPr>
        <w:t>časopisech</w:t>
      </w:r>
      <w:r w:rsidR="009B66B5">
        <w:rPr>
          <w:rFonts w:asciiTheme="minorHAnsi" w:eastAsia="Cambria" w:hAnsiTheme="minorHAnsi" w:cstheme="minorHAnsi"/>
          <w:b/>
          <w:bCs/>
        </w:rPr>
        <w:t xml:space="preserve"> s </w:t>
      </w:r>
      <w:r w:rsidRPr="00C50DE7">
        <w:rPr>
          <w:rFonts w:asciiTheme="minorHAnsi" w:eastAsia="Cambria" w:hAnsiTheme="minorHAnsi" w:cstheme="minorHAnsi"/>
          <w:b/>
          <w:bCs/>
        </w:rPr>
        <w:t>vysokým impakt faktorem</w:t>
      </w:r>
      <w:r w:rsidR="009B66B5">
        <w:rPr>
          <w:rFonts w:asciiTheme="minorHAnsi" w:eastAsia="Cambria" w:hAnsiTheme="minorHAnsi" w:cstheme="minorHAnsi"/>
          <w:b/>
          <w:bCs/>
        </w:rPr>
        <w:t xml:space="preserve"> a </w:t>
      </w:r>
      <w:r w:rsidRPr="00C50DE7">
        <w:rPr>
          <w:rFonts w:asciiTheme="minorHAnsi" w:eastAsia="Cambria" w:hAnsiTheme="minorHAnsi" w:cstheme="minorHAnsi"/>
          <w:b/>
          <w:bCs/>
        </w:rPr>
        <w:t>mají vysokou míru zahraniční spo</w:t>
      </w:r>
      <w:r w:rsidRPr="00C50DE7">
        <w:rPr>
          <w:rFonts w:asciiTheme="minorHAnsi" w:eastAsia="Cambria" w:hAnsiTheme="minorHAnsi" w:cstheme="minorHAnsi"/>
          <w:b/>
          <w:bCs/>
        </w:rPr>
        <w:lastRenderedPageBreak/>
        <w:t>lupráce.</w:t>
      </w:r>
      <w:r w:rsidRPr="00B43E5B">
        <w:rPr>
          <w:rFonts w:asciiTheme="minorHAnsi" w:eastAsia="Cambria" w:hAnsiTheme="minorHAnsi" w:cstheme="minorHAnsi"/>
        </w:rPr>
        <w:t xml:space="preserve"> Je však rovněž pravda, že za tuto </w:t>
      </w:r>
      <w:r w:rsidR="007E2323" w:rsidRPr="007E2323">
        <w:rPr>
          <w:rFonts w:asciiTheme="minorHAnsi" w:eastAsia="Cambria" w:hAnsiTheme="minorHAnsi" w:cstheme="minorHAnsi"/>
        </w:rPr>
        <w:t>kvalitu vděčí</w:t>
      </w:r>
      <w:r w:rsidRPr="00B43E5B">
        <w:rPr>
          <w:rFonts w:asciiTheme="minorHAnsi" w:eastAsia="Cambria" w:hAnsiTheme="minorHAnsi" w:cstheme="minorHAnsi"/>
        </w:rPr>
        <w:t xml:space="preserve"> publikace spíše zahraničním spoluautorům, neboť čeští autoři nebývají příliš často uvedeni na prvním místě či jako korespondující autoři (Vaněček 2021).  </w:t>
      </w:r>
    </w:p>
    <w:p w14:paraId="55175F66" w14:textId="77777777" w:rsidR="00BA25C2" w:rsidRPr="005515AB" w:rsidRDefault="00BA25C2" w:rsidP="005515AB">
      <w:pPr>
        <w:pStyle w:val="Nadpis2"/>
      </w:pPr>
      <w:bookmarkStart w:id="12" w:name="_Toc112936079"/>
      <w:bookmarkStart w:id="13" w:name="_Toc112936080"/>
      <w:bookmarkStart w:id="14" w:name="_Toc114572312"/>
      <w:bookmarkEnd w:id="12"/>
      <w:bookmarkEnd w:id="13"/>
      <w:r w:rsidRPr="005515AB">
        <w:t>Genderové aspekty důvodů neúčasti</w:t>
      </w:r>
      <w:r w:rsidR="009B66B5">
        <w:t xml:space="preserve"> v </w:t>
      </w:r>
      <w:r w:rsidR="00823898">
        <w:t>r</w:t>
      </w:r>
      <w:r w:rsidRPr="005515AB">
        <w:t>ámcových programech</w:t>
      </w:r>
      <w:bookmarkEnd w:id="14"/>
    </w:p>
    <w:p w14:paraId="33C189AA" w14:textId="78B55594" w:rsidR="00BA25C2" w:rsidRDefault="00BA25C2" w:rsidP="00BA25C2">
      <w:pPr>
        <w:pStyle w:val="paragraph"/>
        <w:spacing w:before="0" w:beforeAutospacing="0" w:after="0" w:afterAutospacing="0"/>
        <w:jc w:val="both"/>
        <w:textAlignment w:val="baseline"/>
        <w:rPr>
          <w:rStyle w:val="normaltextrun"/>
          <w:rFonts w:ascii="Calibri" w:hAnsi="Calibri" w:cs="Calibri"/>
          <w:sz w:val="22"/>
        </w:rPr>
      </w:pPr>
      <w:r>
        <w:rPr>
          <w:rStyle w:val="normaltextrun"/>
          <w:rFonts w:ascii="Calibri" w:hAnsi="Calibri" w:cs="Calibri"/>
          <w:sz w:val="22"/>
        </w:rPr>
        <w:t>Tato kapitola popis</w:t>
      </w:r>
      <w:r w:rsidR="00A83045">
        <w:rPr>
          <w:rStyle w:val="normaltextrun"/>
          <w:rFonts w:ascii="Calibri" w:hAnsi="Calibri" w:cs="Calibri"/>
          <w:sz w:val="22"/>
        </w:rPr>
        <w:t>uje možné důvody neúčasti vědců</w:t>
      </w:r>
      <w:r w:rsidR="009B66B5">
        <w:rPr>
          <w:rStyle w:val="normaltextrun"/>
          <w:rFonts w:ascii="Calibri" w:hAnsi="Calibri" w:cs="Calibri"/>
          <w:sz w:val="22"/>
        </w:rPr>
        <w:t xml:space="preserve"> a </w:t>
      </w:r>
      <w:r w:rsidR="00A83045">
        <w:rPr>
          <w:rStyle w:val="normaltextrun"/>
          <w:rFonts w:ascii="Calibri" w:hAnsi="Calibri" w:cs="Calibri"/>
          <w:sz w:val="22"/>
        </w:rPr>
        <w:t>věd</w:t>
      </w:r>
      <w:r>
        <w:rPr>
          <w:rStyle w:val="normaltextrun"/>
          <w:rFonts w:ascii="Calibri" w:hAnsi="Calibri" w:cs="Calibri"/>
          <w:sz w:val="22"/>
        </w:rPr>
        <w:t>kyň</w:t>
      </w:r>
      <w:r w:rsidR="009B66B5">
        <w:rPr>
          <w:rStyle w:val="normaltextrun"/>
          <w:rFonts w:ascii="Calibri" w:hAnsi="Calibri" w:cs="Calibri"/>
          <w:sz w:val="22"/>
        </w:rPr>
        <w:t xml:space="preserve"> v </w:t>
      </w:r>
      <w:r w:rsidR="00E7535F">
        <w:rPr>
          <w:rStyle w:val="normaltextrun"/>
          <w:rFonts w:ascii="Calibri" w:hAnsi="Calibri" w:cs="Calibri"/>
          <w:sz w:val="22"/>
        </w:rPr>
        <w:t>RP</w:t>
      </w:r>
      <w:r w:rsidR="009B66B5">
        <w:rPr>
          <w:rStyle w:val="normaltextrun"/>
          <w:rFonts w:ascii="Calibri" w:hAnsi="Calibri" w:cs="Calibri"/>
          <w:sz w:val="22"/>
        </w:rPr>
        <w:t xml:space="preserve"> z </w:t>
      </w:r>
      <w:r>
        <w:rPr>
          <w:rStyle w:val="normaltextrun"/>
          <w:rFonts w:ascii="Calibri" w:hAnsi="Calibri" w:cs="Calibri"/>
          <w:sz w:val="22"/>
        </w:rPr>
        <w:t>pohledu genderových aspektů. Především vědkyně při rozhodování</w:t>
      </w:r>
      <w:r w:rsidR="009B66B5">
        <w:rPr>
          <w:rStyle w:val="normaltextrun"/>
          <w:rFonts w:ascii="Calibri" w:hAnsi="Calibri" w:cs="Calibri"/>
          <w:sz w:val="22"/>
        </w:rPr>
        <w:t xml:space="preserve"> o </w:t>
      </w:r>
      <w:r>
        <w:rPr>
          <w:rStyle w:val="normaltextrun"/>
          <w:rFonts w:ascii="Calibri" w:hAnsi="Calibri" w:cs="Calibri"/>
          <w:sz w:val="22"/>
        </w:rPr>
        <w:t>účasti</w:t>
      </w:r>
      <w:r w:rsidR="009B66B5">
        <w:rPr>
          <w:rStyle w:val="normaltextrun"/>
          <w:rFonts w:ascii="Calibri" w:hAnsi="Calibri" w:cs="Calibri"/>
          <w:sz w:val="22"/>
        </w:rPr>
        <w:t xml:space="preserve"> v </w:t>
      </w:r>
      <w:r w:rsidR="00E7535F">
        <w:rPr>
          <w:rStyle w:val="normaltextrun"/>
          <w:rFonts w:ascii="Calibri" w:hAnsi="Calibri" w:cs="Calibri"/>
          <w:sz w:val="22"/>
        </w:rPr>
        <w:t>RP</w:t>
      </w:r>
      <w:r>
        <w:rPr>
          <w:rStyle w:val="normaltextrun"/>
          <w:rFonts w:ascii="Calibri" w:hAnsi="Calibri" w:cs="Calibri"/>
          <w:sz w:val="22"/>
        </w:rPr>
        <w:t xml:space="preserve"> berou</w:t>
      </w:r>
      <w:r w:rsidR="009B66B5">
        <w:rPr>
          <w:rStyle w:val="normaltextrun"/>
          <w:rFonts w:ascii="Calibri" w:hAnsi="Calibri" w:cs="Calibri"/>
          <w:sz w:val="22"/>
        </w:rPr>
        <w:t xml:space="preserve"> v </w:t>
      </w:r>
      <w:r>
        <w:rPr>
          <w:rStyle w:val="normaltextrun"/>
          <w:rFonts w:ascii="Calibri" w:hAnsi="Calibri" w:cs="Calibri"/>
          <w:sz w:val="22"/>
        </w:rPr>
        <w:t>úvahu</w:t>
      </w:r>
      <w:r w:rsidR="009B66B5">
        <w:rPr>
          <w:rStyle w:val="normaltextrun"/>
          <w:rFonts w:ascii="Calibri" w:hAnsi="Calibri" w:cs="Calibri"/>
          <w:sz w:val="22"/>
        </w:rPr>
        <w:t xml:space="preserve"> i </w:t>
      </w:r>
      <w:r>
        <w:rPr>
          <w:rStyle w:val="normaltextrun"/>
          <w:rFonts w:ascii="Calibri" w:hAnsi="Calibri" w:cs="Calibri"/>
          <w:sz w:val="22"/>
        </w:rPr>
        <w:t>jiné závazky než jen pracovní. V </w:t>
      </w:r>
      <w:r w:rsidR="00E7535F">
        <w:rPr>
          <w:rStyle w:val="normaltextrun"/>
          <w:rFonts w:ascii="Calibri" w:hAnsi="Calibri" w:cs="Calibri"/>
          <w:sz w:val="22"/>
        </w:rPr>
        <w:t>ČR</w:t>
      </w:r>
      <w:r>
        <w:rPr>
          <w:rStyle w:val="normaltextrun"/>
          <w:rFonts w:ascii="Calibri" w:hAnsi="Calibri" w:cs="Calibri"/>
          <w:sz w:val="22"/>
        </w:rPr>
        <w:t xml:space="preserve"> stále </w:t>
      </w:r>
      <w:r w:rsidRPr="00FF1632">
        <w:rPr>
          <w:rFonts w:asciiTheme="minorHAnsi" w:eastAsia="Calibri" w:hAnsiTheme="minorHAnsi" w:cstheme="minorHAnsi"/>
          <w:color w:val="000000" w:themeColor="text1"/>
          <w:sz w:val="22"/>
          <w:szCs w:val="22"/>
        </w:rPr>
        <w:t>většina povinností spojených</w:t>
      </w:r>
      <w:r w:rsidR="009B66B5">
        <w:rPr>
          <w:rFonts w:asciiTheme="minorHAnsi" w:eastAsia="Calibri" w:hAnsiTheme="minorHAnsi" w:cstheme="minorHAnsi"/>
          <w:color w:val="000000" w:themeColor="text1"/>
          <w:sz w:val="22"/>
          <w:szCs w:val="22"/>
        </w:rPr>
        <w:t xml:space="preserve"> s </w:t>
      </w:r>
      <w:r w:rsidRPr="00FF1632">
        <w:rPr>
          <w:rFonts w:asciiTheme="minorHAnsi" w:eastAsia="Calibri" w:hAnsiTheme="minorHAnsi" w:cstheme="minorHAnsi"/>
          <w:color w:val="000000" w:themeColor="text1"/>
          <w:sz w:val="22"/>
          <w:szCs w:val="22"/>
        </w:rPr>
        <w:t>výkonem</w:t>
      </w:r>
      <w:r w:rsidR="009B66B5">
        <w:rPr>
          <w:rFonts w:asciiTheme="minorHAnsi" w:eastAsia="Calibri" w:hAnsiTheme="minorHAnsi" w:cstheme="minorHAnsi"/>
          <w:color w:val="000000" w:themeColor="text1"/>
          <w:sz w:val="22"/>
          <w:szCs w:val="22"/>
        </w:rPr>
        <w:t xml:space="preserve"> i </w:t>
      </w:r>
      <w:r w:rsidRPr="00FF1632">
        <w:rPr>
          <w:rFonts w:asciiTheme="minorHAnsi" w:eastAsia="Calibri" w:hAnsiTheme="minorHAnsi" w:cstheme="minorHAnsi"/>
          <w:color w:val="000000" w:themeColor="text1"/>
          <w:sz w:val="22"/>
          <w:szCs w:val="22"/>
        </w:rPr>
        <w:t>managementem péče</w:t>
      </w:r>
      <w:r w:rsidR="009B66B5">
        <w:rPr>
          <w:rFonts w:asciiTheme="minorHAnsi" w:eastAsia="Calibri" w:hAnsiTheme="minorHAnsi" w:cstheme="minorHAnsi"/>
          <w:color w:val="000000" w:themeColor="text1"/>
          <w:sz w:val="22"/>
          <w:szCs w:val="22"/>
        </w:rPr>
        <w:t xml:space="preserve"> o </w:t>
      </w:r>
      <w:r w:rsidRPr="00FF1632">
        <w:rPr>
          <w:rFonts w:asciiTheme="minorHAnsi" w:eastAsia="Calibri" w:hAnsiTheme="minorHAnsi" w:cstheme="minorHAnsi"/>
          <w:color w:val="000000" w:themeColor="text1"/>
          <w:sz w:val="22"/>
          <w:szCs w:val="22"/>
        </w:rPr>
        <w:t>rodinné příslušníky/dítě</w:t>
      </w:r>
      <w:r w:rsidR="009B66B5">
        <w:rPr>
          <w:rFonts w:asciiTheme="minorHAnsi" w:eastAsia="Calibri" w:hAnsiTheme="minorHAnsi" w:cstheme="minorHAnsi"/>
          <w:color w:val="000000" w:themeColor="text1"/>
          <w:sz w:val="22"/>
          <w:szCs w:val="22"/>
        </w:rPr>
        <w:t xml:space="preserve"> v </w:t>
      </w:r>
      <w:r w:rsidRPr="00FF1632">
        <w:rPr>
          <w:rFonts w:asciiTheme="minorHAnsi" w:eastAsia="Calibri" w:hAnsiTheme="minorHAnsi" w:cstheme="minorHAnsi"/>
          <w:color w:val="000000" w:themeColor="text1"/>
          <w:sz w:val="22"/>
          <w:szCs w:val="22"/>
        </w:rPr>
        <w:t>soukromé sféře</w:t>
      </w:r>
      <w:r>
        <w:rPr>
          <w:rFonts w:asciiTheme="minorHAnsi" w:eastAsia="Calibri" w:hAnsiTheme="minorHAnsi" w:cstheme="minorHAnsi"/>
          <w:color w:val="000000" w:themeColor="text1"/>
          <w:sz w:val="22"/>
          <w:szCs w:val="22"/>
        </w:rPr>
        <w:t xml:space="preserve"> padá na ženy</w:t>
      </w:r>
      <w:r w:rsidR="009B66B5">
        <w:rPr>
          <w:rFonts w:asciiTheme="minorHAnsi" w:eastAsia="Calibri" w:hAnsiTheme="minorHAnsi" w:cstheme="minorHAnsi"/>
          <w:color w:val="000000" w:themeColor="text1"/>
          <w:sz w:val="22"/>
          <w:szCs w:val="22"/>
        </w:rPr>
        <w:t xml:space="preserve"> a </w:t>
      </w:r>
      <w:r>
        <w:rPr>
          <w:rFonts w:asciiTheme="minorHAnsi" w:eastAsia="Calibri" w:hAnsiTheme="minorHAnsi" w:cstheme="minorHAnsi"/>
          <w:color w:val="000000" w:themeColor="text1"/>
          <w:sz w:val="22"/>
          <w:szCs w:val="22"/>
        </w:rPr>
        <w:t>toto uspořádání má vliv také na kariéru ženy.</w:t>
      </w:r>
      <w:r w:rsidRPr="00FF1632">
        <w:rPr>
          <w:rStyle w:val="Znakapoznpodarou"/>
          <w:rFonts w:asciiTheme="minorHAnsi" w:eastAsia="Calibri" w:hAnsiTheme="minorHAnsi" w:cstheme="minorHAnsi"/>
          <w:color w:val="002060"/>
          <w:sz w:val="22"/>
          <w:szCs w:val="22"/>
        </w:rPr>
        <w:footnoteReference w:id="3"/>
      </w:r>
      <w:r>
        <w:rPr>
          <w:rFonts w:asciiTheme="minorHAnsi" w:eastAsia="Calibri" w:hAnsiTheme="minorHAnsi" w:cstheme="minorHAnsi"/>
          <w:color w:val="000000" w:themeColor="text1"/>
          <w:sz w:val="22"/>
          <w:szCs w:val="22"/>
        </w:rPr>
        <w:t xml:space="preserve"> Pro ženy, především pak začínající vědkyně, hraje roli také věk</w:t>
      </w:r>
      <w:r w:rsidR="009B66B5">
        <w:rPr>
          <w:rFonts w:asciiTheme="minorHAnsi" w:eastAsia="Calibri" w:hAnsiTheme="minorHAnsi" w:cstheme="minorHAnsi"/>
          <w:color w:val="000000" w:themeColor="text1"/>
          <w:sz w:val="22"/>
          <w:szCs w:val="22"/>
        </w:rPr>
        <w:t xml:space="preserve"> a </w:t>
      </w:r>
      <w:r>
        <w:rPr>
          <w:rFonts w:asciiTheme="minorHAnsi" w:eastAsia="Calibri" w:hAnsiTheme="minorHAnsi" w:cstheme="minorHAnsi"/>
          <w:color w:val="000000" w:themeColor="text1"/>
          <w:sz w:val="22"/>
          <w:szCs w:val="22"/>
        </w:rPr>
        <w:t>plánování rodiny při rozhodování</w:t>
      </w:r>
      <w:r w:rsidR="009B66B5">
        <w:rPr>
          <w:rFonts w:asciiTheme="minorHAnsi" w:eastAsia="Calibri" w:hAnsiTheme="minorHAnsi" w:cstheme="minorHAnsi"/>
          <w:color w:val="000000" w:themeColor="text1"/>
          <w:sz w:val="22"/>
          <w:szCs w:val="22"/>
        </w:rPr>
        <w:t xml:space="preserve"> o </w:t>
      </w:r>
      <w:r>
        <w:rPr>
          <w:rFonts w:asciiTheme="minorHAnsi" w:eastAsia="Calibri" w:hAnsiTheme="minorHAnsi" w:cstheme="minorHAnsi"/>
          <w:color w:val="000000" w:themeColor="text1"/>
          <w:sz w:val="22"/>
          <w:szCs w:val="22"/>
        </w:rPr>
        <w:t xml:space="preserve">dlouhodobějších pracovních závazcích, např. mobilitě či zapojení se do dlouhodobého projektu. </w:t>
      </w:r>
      <w:r>
        <w:rPr>
          <w:rStyle w:val="normaltextrun"/>
          <w:rFonts w:ascii="Calibri" w:hAnsi="Calibri" w:cs="Calibri"/>
          <w:sz w:val="22"/>
        </w:rPr>
        <w:t>Mobilita se velice těžce kombinuje</w:t>
      </w:r>
      <w:r w:rsidR="009B66B5">
        <w:rPr>
          <w:rStyle w:val="normaltextrun"/>
          <w:rFonts w:ascii="Calibri" w:hAnsi="Calibri" w:cs="Calibri"/>
          <w:sz w:val="22"/>
        </w:rPr>
        <w:t xml:space="preserve"> s </w:t>
      </w:r>
      <w:r>
        <w:rPr>
          <w:rStyle w:val="normaltextrun"/>
          <w:rFonts w:ascii="Calibri" w:hAnsi="Calibri" w:cs="Calibri"/>
          <w:sz w:val="22"/>
        </w:rPr>
        <w:t>mateřstvím či pečovatelskými závazky,</w:t>
      </w:r>
      <w:r w:rsidR="009B66B5">
        <w:rPr>
          <w:rStyle w:val="normaltextrun"/>
          <w:rFonts w:ascii="Calibri" w:hAnsi="Calibri" w:cs="Calibri"/>
          <w:sz w:val="22"/>
        </w:rPr>
        <w:t xml:space="preserve"> a </w:t>
      </w:r>
      <w:r>
        <w:rPr>
          <w:rStyle w:val="normaltextrun"/>
          <w:rFonts w:ascii="Calibri" w:hAnsi="Calibri" w:cs="Calibri"/>
          <w:sz w:val="22"/>
        </w:rPr>
        <w:t>to</w:t>
      </w:r>
      <w:r w:rsidR="009B66B5">
        <w:rPr>
          <w:rStyle w:val="normaltextrun"/>
          <w:rFonts w:ascii="Calibri" w:hAnsi="Calibri" w:cs="Calibri"/>
          <w:sz w:val="22"/>
        </w:rPr>
        <w:t xml:space="preserve"> i </w:t>
      </w:r>
      <w:r>
        <w:rPr>
          <w:rStyle w:val="normaltextrun"/>
          <w:rFonts w:ascii="Calibri" w:hAnsi="Calibri" w:cs="Calibri"/>
          <w:sz w:val="22"/>
        </w:rPr>
        <w:t>přesto, že možností akademické mobility je dostatek</w:t>
      </w:r>
      <w:r w:rsidR="009B66B5">
        <w:rPr>
          <w:rStyle w:val="normaltextrun"/>
          <w:rFonts w:ascii="Calibri" w:hAnsi="Calibri" w:cs="Calibri"/>
          <w:sz w:val="22"/>
        </w:rPr>
        <w:t xml:space="preserve"> a </w:t>
      </w:r>
      <w:r>
        <w:rPr>
          <w:rStyle w:val="normaltextrun"/>
          <w:rFonts w:ascii="Calibri" w:hAnsi="Calibri" w:cs="Calibri"/>
          <w:sz w:val="22"/>
        </w:rPr>
        <w:t>bývá na pracovišti podporovaná,</w:t>
      </w:r>
      <w:r w:rsidR="009B66B5">
        <w:rPr>
          <w:rStyle w:val="normaltextrun"/>
          <w:rFonts w:ascii="Calibri" w:hAnsi="Calibri" w:cs="Calibri"/>
          <w:sz w:val="22"/>
        </w:rPr>
        <w:t xml:space="preserve"> v </w:t>
      </w:r>
      <w:r>
        <w:rPr>
          <w:rStyle w:val="normaltextrun"/>
          <w:rFonts w:ascii="Calibri" w:hAnsi="Calibri" w:cs="Calibri"/>
          <w:sz w:val="22"/>
        </w:rPr>
        <w:t>současnosti ještě více než kdy předtím.</w:t>
      </w:r>
      <w:r>
        <w:rPr>
          <w:rStyle w:val="Znakapoznpodarou"/>
          <w:rFonts w:ascii="Calibri" w:hAnsi="Calibri" w:cs="Calibri"/>
          <w:sz w:val="22"/>
          <w:szCs w:val="22"/>
        </w:rPr>
        <w:footnoteReference w:id="4"/>
      </w:r>
      <w:r>
        <w:rPr>
          <w:rStyle w:val="normaltextrun"/>
          <w:rFonts w:ascii="Calibri" w:hAnsi="Calibri" w:cs="Calibri"/>
          <w:sz w:val="22"/>
        </w:rPr>
        <w:t xml:space="preserve"> Pohled na mobilitu, </w:t>
      </w:r>
      <w:r w:rsidR="00A83045">
        <w:rPr>
          <w:rStyle w:val="normaltextrun"/>
          <w:rFonts w:ascii="Calibri" w:hAnsi="Calibri" w:cs="Calibri"/>
          <w:sz w:val="22"/>
        </w:rPr>
        <w:t>zejména</w:t>
      </w:r>
      <w:r>
        <w:rPr>
          <w:rStyle w:val="normaltextrun"/>
          <w:rFonts w:ascii="Calibri" w:hAnsi="Calibri" w:cs="Calibri"/>
          <w:sz w:val="22"/>
        </w:rPr>
        <w:t xml:space="preserve"> dlouhodobější, se mezi muži</w:t>
      </w:r>
      <w:r w:rsidR="009B66B5">
        <w:rPr>
          <w:rStyle w:val="normaltextrun"/>
          <w:rFonts w:ascii="Calibri" w:hAnsi="Calibri" w:cs="Calibri"/>
          <w:sz w:val="22"/>
        </w:rPr>
        <w:t xml:space="preserve"> a </w:t>
      </w:r>
      <w:r>
        <w:rPr>
          <w:rStyle w:val="normaltextrun"/>
          <w:rFonts w:ascii="Calibri" w:hAnsi="Calibri" w:cs="Calibri"/>
          <w:sz w:val="22"/>
        </w:rPr>
        <w:t xml:space="preserve">ženami </w:t>
      </w:r>
      <w:r w:rsidR="00FE713B">
        <w:rPr>
          <w:rStyle w:val="normaltextrun"/>
          <w:rFonts w:ascii="Calibri" w:hAnsi="Calibri" w:cs="Calibri"/>
          <w:sz w:val="22"/>
        </w:rPr>
        <w:t xml:space="preserve">značně </w:t>
      </w:r>
      <w:r>
        <w:rPr>
          <w:rStyle w:val="normaltextrun"/>
          <w:rFonts w:ascii="Calibri" w:hAnsi="Calibri" w:cs="Calibri"/>
          <w:sz w:val="22"/>
        </w:rPr>
        <w:t>liší, důvody pro neúčast pak ukazují na genderové rozdíly</w:t>
      </w:r>
      <w:r w:rsidR="009B66B5">
        <w:rPr>
          <w:rStyle w:val="normaltextrun"/>
          <w:rFonts w:ascii="Calibri" w:hAnsi="Calibri" w:cs="Calibri"/>
          <w:sz w:val="22"/>
        </w:rPr>
        <w:t xml:space="preserve"> v </w:t>
      </w:r>
      <w:r>
        <w:rPr>
          <w:rStyle w:val="normaltextrun"/>
          <w:rFonts w:ascii="Calibri" w:hAnsi="Calibri" w:cs="Calibri"/>
          <w:sz w:val="22"/>
        </w:rPr>
        <w:t>možnostech vědců</w:t>
      </w:r>
      <w:r w:rsidR="009B66B5">
        <w:rPr>
          <w:rStyle w:val="normaltextrun"/>
          <w:rFonts w:ascii="Calibri" w:hAnsi="Calibri" w:cs="Calibri"/>
          <w:sz w:val="22"/>
        </w:rPr>
        <w:t xml:space="preserve"> a </w:t>
      </w:r>
      <w:r>
        <w:rPr>
          <w:rStyle w:val="normaltextrun"/>
          <w:rFonts w:ascii="Calibri" w:hAnsi="Calibri" w:cs="Calibri"/>
          <w:sz w:val="22"/>
        </w:rPr>
        <w:t>vědkyň vyjet do zahraničí. Vedle mobility mohou být mezi dalšími důvody neúčasti</w:t>
      </w:r>
      <w:r w:rsidR="009B66B5">
        <w:rPr>
          <w:rStyle w:val="normaltextrun"/>
          <w:rFonts w:ascii="Calibri" w:hAnsi="Calibri" w:cs="Calibri"/>
          <w:sz w:val="22"/>
        </w:rPr>
        <w:t xml:space="preserve"> v </w:t>
      </w:r>
      <w:r w:rsidR="00FE713B">
        <w:rPr>
          <w:rStyle w:val="normaltextrun"/>
          <w:rFonts w:ascii="Calibri" w:hAnsi="Calibri" w:cs="Calibri"/>
          <w:sz w:val="22"/>
        </w:rPr>
        <w:t>RP</w:t>
      </w:r>
      <w:r>
        <w:rPr>
          <w:rStyle w:val="normaltextrun"/>
          <w:rFonts w:ascii="Calibri" w:hAnsi="Calibri" w:cs="Calibri"/>
          <w:sz w:val="22"/>
        </w:rPr>
        <w:t xml:space="preserve"> jazyková vybavenost, zasíťování či další aspekty spadající </w:t>
      </w:r>
      <w:r w:rsidR="00FE713B">
        <w:rPr>
          <w:rStyle w:val="normaltextrun"/>
          <w:rFonts w:ascii="Calibri" w:hAnsi="Calibri" w:cs="Calibri"/>
          <w:sz w:val="22"/>
        </w:rPr>
        <w:t xml:space="preserve">do kategorie </w:t>
      </w:r>
      <w:r>
        <w:rPr>
          <w:rStyle w:val="normaltextrun"/>
          <w:rFonts w:ascii="Calibri" w:hAnsi="Calibri" w:cs="Calibri"/>
          <w:sz w:val="22"/>
        </w:rPr>
        <w:t xml:space="preserve">work-life balance. Je třeba si také uvědomit, že </w:t>
      </w:r>
      <w:r w:rsidR="00FE713B">
        <w:rPr>
          <w:rStyle w:val="normaltextrun"/>
          <w:rFonts w:ascii="Calibri" w:hAnsi="Calibri" w:cs="Calibri"/>
          <w:sz w:val="22"/>
        </w:rPr>
        <w:t>VaVaI</w:t>
      </w:r>
      <w:r>
        <w:rPr>
          <w:rStyle w:val="normaltextrun"/>
          <w:rFonts w:ascii="Calibri" w:hAnsi="Calibri" w:cs="Calibri"/>
          <w:sz w:val="22"/>
        </w:rPr>
        <w:t xml:space="preserve"> jsou nastaveny způsobem, který nezohledňuje odlišnosti životních drah žen</w:t>
      </w:r>
      <w:r w:rsidR="009B66B5">
        <w:rPr>
          <w:rStyle w:val="normaltextrun"/>
          <w:rFonts w:ascii="Calibri" w:hAnsi="Calibri" w:cs="Calibri"/>
          <w:sz w:val="22"/>
        </w:rPr>
        <w:t xml:space="preserve"> a </w:t>
      </w:r>
      <w:r>
        <w:rPr>
          <w:rStyle w:val="normaltextrun"/>
          <w:rFonts w:ascii="Calibri" w:hAnsi="Calibri" w:cs="Calibri"/>
          <w:sz w:val="22"/>
        </w:rPr>
        <w:t>mužů souvisejících</w:t>
      </w:r>
      <w:r w:rsidR="009B66B5">
        <w:rPr>
          <w:rStyle w:val="normaltextrun"/>
          <w:rFonts w:ascii="Calibri" w:hAnsi="Calibri" w:cs="Calibri"/>
          <w:sz w:val="22"/>
        </w:rPr>
        <w:t xml:space="preserve"> s </w:t>
      </w:r>
      <w:r>
        <w:rPr>
          <w:rStyle w:val="normaltextrun"/>
          <w:rFonts w:ascii="Calibri" w:hAnsi="Calibri" w:cs="Calibri"/>
          <w:sz w:val="22"/>
        </w:rPr>
        <w:t>jejich odlišnými povinnostmi</w:t>
      </w:r>
      <w:r w:rsidR="009B66B5">
        <w:rPr>
          <w:rStyle w:val="normaltextrun"/>
          <w:rFonts w:ascii="Calibri" w:hAnsi="Calibri" w:cs="Calibri"/>
          <w:sz w:val="22"/>
        </w:rPr>
        <w:t xml:space="preserve"> a </w:t>
      </w:r>
      <w:r>
        <w:rPr>
          <w:rStyle w:val="normaltextrun"/>
          <w:rFonts w:ascii="Calibri" w:hAnsi="Calibri" w:cs="Calibri"/>
          <w:sz w:val="22"/>
        </w:rPr>
        <w:t>možnostmi</w:t>
      </w:r>
      <w:r w:rsidR="009B66B5">
        <w:rPr>
          <w:rStyle w:val="normaltextrun"/>
          <w:rFonts w:ascii="Calibri" w:hAnsi="Calibri" w:cs="Calibri"/>
          <w:sz w:val="22"/>
        </w:rPr>
        <w:t xml:space="preserve"> v </w:t>
      </w:r>
      <w:r>
        <w:rPr>
          <w:rStyle w:val="normaltextrun"/>
          <w:rFonts w:ascii="Calibri" w:hAnsi="Calibri" w:cs="Calibri"/>
          <w:sz w:val="22"/>
        </w:rPr>
        <w:t>osobním životě, které mají vliv na kariérní postup, hodnocení</w:t>
      </w:r>
      <w:r w:rsidR="009B66B5">
        <w:rPr>
          <w:rStyle w:val="normaltextrun"/>
          <w:rFonts w:ascii="Calibri" w:hAnsi="Calibri" w:cs="Calibri"/>
          <w:sz w:val="22"/>
        </w:rPr>
        <w:t xml:space="preserve"> i </w:t>
      </w:r>
      <w:r>
        <w:rPr>
          <w:rStyle w:val="normaltextrun"/>
          <w:rFonts w:ascii="Calibri" w:hAnsi="Calibri" w:cs="Calibri"/>
          <w:sz w:val="22"/>
        </w:rPr>
        <w:t>každodenní provoz.</w:t>
      </w:r>
      <w:r>
        <w:rPr>
          <w:rStyle w:val="Znakapoznpodarou"/>
          <w:rFonts w:ascii="Calibri" w:hAnsi="Calibri" w:cs="Calibri"/>
          <w:sz w:val="22"/>
          <w:szCs w:val="22"/>
        </w:rPr>
        <w:footnoteReference w:id="5"/>
      </w:r>
    </w:p>
    <w:p w14:paraId="63284683" w14:textId="77777777" w:rsidR="00BA25C2" w:rsidRDefault="00BA25C2" w:rsidP="00BA25C2">
      <w:pPr>
        <w:pStyle w:val="paragraph"/>
        <w:spacing w:before="0" w:beforeAutospacing="0" w:after="0" w:afterAutospacing="0"/>
        <w:jc w:val="both"/>
        <w:textAlignment w:val="baseline"/>
        <w:rPr>
          <w:rFonts w:ascii="Segoe UI" w:hAnsi="Segoe UI" w:cs="Segoe UI"/>
          <w:sz w:val="18"/>
          <w:szCs w:val="18"/>
        </w:rPr>
      </w:pPr>
    </w:p>
    <w:p w14:paraId="1B2602E8" w14:textId="77777777" w:rsidR="00BA25C2" w:rsidRPr="005515AB" w:rsidRDefault="00BA25C2" w:rsidP="005515AB">
      <w:pPr>
        <w:pStyle w:val="Nadpis3"/>
      </w:pPr>
      <w:bookmarkStart w:id="15" w:name="_Toc114572313"/>
      <w:r w:rsidRPr="005515AB">
        <w:lastRenderedPageBreak/>
        <w:t>Mezinárodní mobilita</w:t>
      </w:r>
      <w:bookmarkEnd w:id="15"/>
    </w:p>
    <w:p w14:paraId="1C4A46AA" w14:textId="77777777" w:rsidR="00BA25C2" w:rsidRDefault="00BA25C2" w:rsidP="00BA25C2">
      <w:pPr>
        <w:pStyle w:val="Nzev"/>
        <w:spacing w:after="0"/>
        <w:jc w:val="both"/>
        <w:textAlignment w:val="baseline"/>
        <w:rPr>
          <w:rFonts w:ascii="Calibri" w:eastAsia="Calibri" w:hAnsi="Calibri" w:cs="Calibri"/>
          <w:color w:val="000000" w:themeColor="text1"/>
          <w:sz w:val="22"/>
          <w:szCs w:val="22"/>
        </w:rPr>
      </w:pPr>
      <w:r w:rsidRPr="00631BCD">
        <w:rPr>
          <w:rStyle w:val="normaltextrun"/>
          <w:rFonts w:ascii="Calibri" w:hAnsi="Calibri" w:cs="Calibri"/>
          <w:color w:val="000000" w:themeColor="text1"/>
          <w:sz w:val="22"/>
        </w:rPr>
        <w:t>M</w:t>
      </w:r>
      <w:r>
        <w:rPr>
          <w:rStyle w:val="normaltextrun"/>
          <w:rFonts w:ascii="Calibri" w:hAnsi="Calibri" w:cs="Calibri"/>
          <w:color w:val="000000" w:themeColor="text1"/>
          <w:sz w:val="22"/>
        </w:rPr>
        <w:t xml:space="preserve">obilita výzkumných </w:t>
      </w:r>
      <w:r w:rsidRPr="00A83045">
        <w:rPr>
          <w:rStyle w:val="normaltextrun"/>
          <w:rFonts w:ascii="Calibri" w:hAnsi="Calibri" w:cs="Calibri"/>
          <w:color w:val="000000" w:themeColor="text1"/>
          <w:sz w:val="22"/>
        </w:rPr>
        <w:t>pracovníků/</w:t>
      </w:r>
      <w:r w:rsidR="00A83045">
        <w:rPr>
          <w:rStyle w:val="normaltextrun"/>
          <w:rFonts w:ascii="Calibri" w:hAnsi="Calibri" w:cs="Calibri"/>
          <w:color w:val="000000" w:themeColor="text1"/>
          <w:sz w:val="22"/>
        </w:rPr>
        <w:t>pracov</w:t>
      </w:r>
      <w:r w:rsidRPr="00A83045">
        <w:rPr>
          <w:rStyle w:val="normaltextrun"/>
          <w:rFonts w:ascii="Calibri" w:hAnsi="Calibri" w:cs="Calibri"/>
          <w:color w:val="000000" w:themeColor="text1"/>
          <w:sz w:val="22"/>
        </w:rPr>
        <w:t>nic</w:t>
      </w:r>
      <w:r>
        <w:rPr>
          <w:rStyle w:val="normaltextrun"/>
          <w:rFonts w:ascii="Calibri" w:hAnsi="Calibri" w:cs="Calibri"/>
          <w:color w:val="000000" w:themeColor="text1"/>
          <w:sz w:val="22"/>
        </w:rPr>
        <w:t xml:space="preserve"> si získává ve </w:t>
      </w:r>
      <w:r w:rsidR="00B32567">
        <w:rPr>
          <w:rStyle w:val="normaltextrun"/>
          <w:rFonts w:ascii="Calibri" w:hAnsi="Calibri" w:cs="Calibri"/>
          <w:color w:val="000000" w:themeColor="text1"/>
          <w:sz w:val="22"/>
        </w:rPr>
        <w:t>VaVaI</w:t>
      </w:r>
      <w:r>
        <w:rPr>
          <w:rStyle w:val="normaltextrun"/>
          <w:rFonts w:ascii="Calibri" w:hAnsi="Calibri" w:cs="Calibri"/>
          <w:color w:val="000000" w:themeColor="text1"/>
          <w:sz w:val="22"/>
        </w:rPr>
        <w:t xml:space="preserve"> čím dál důležitější roli, protože bývá spojována</w:t>
      </w:r>
      <w:r w:rsidR="009B66B5">
        <w:rPr>
          <w:rStyle w:val="normaltextrun"/>
          <w:rFonts w:ascii="Calibri" w:hAnsi="Calibri" w:cs="Calibri"/>
          <w:color w:val="000000" w:themeColor="text1"/>
          <w:sz w:val="22"/>
        </w:rPr>
        <w:t xml:space="preserve"> s </w:t>
      </w:r>
      <w:r>
        <w:rPr>
          <w:rStyle w:val="normaltextrun"/>
          <w:rFonts w:ascii="Calibri" w:hAnsi="Calibri" w:cs="Calibri"/>
          <w:color w:val="000000" w:themeColor="text1"/>
          <w:sz w:val="22"/>
        </w:rPr>
        <w:t>excelencí,</w:t>
      </w:r>
      <w:r w:rsidR="009B66B5">
        <w:rPr>
          <w:rStyle w:val="normaltextrun"/>
          <w:rFonts w:ascii="Calibri" w:hAnsi="Calibri" w:cs="Calibri"/>
          <w:color w:val="000000" w:themeColor="text1"/>
          <w:sz w:val="22"/>
        </w:rPr>
        <w:t xml:space="preserve"> s </w:t>
      </w:r>
      <w:r w:rsidRPr="00585F42">
        <w:rPr>
          <w:rStyle w:val="normaltextrun"/>
          <w:rFonts w:ascii="Calibri" w:hAnsi="Calibri" w:cs="Calibri"/>
          <w:color w:val="000000" w:themeColor="text1"/>
          <w:sz w:val="22"/>
        </w:rPr>
        <w:t>rozvojem schopností</w:t>
      </w:r>
      <w:r w:rsidR="009B66B5">
        <w:rPr>
          <w:rStyle w:val="normaltextrun"/>
          <w:rFonts w:ascii="Calibri" w:hAnsi="Calibri" w:cs="Calibri"/>
          <w:color w:val="000000" w:themeColor="text1"/>
          <w:sz w:val="22"/>
        </w:rPr>
        <w:t xml:space="preserve"> a </w:t>
      </w:r>
      <w:r w:rsidRPr="00585F42">
        <w:rPr>
          <w:rStyle w:val="normaltextrun"/>
          <w:rFonts w:ascii="Calibri" w:hAnsi="Calibri" w:cs="Calibri"/>
          <w:color w:val="000000" w:themeColor="text1"/>
          <w:sz w:val="22"/>
        </w:rPr>
        <w:t>kompetencí, zvyšováním kvalifikace</w:t>
      </w:r>
      <w:r w:rsidR="009B66B5">
        <w:rPr>
          <w:rStyle w:val="normaltextrun"/>
          <w:rFonts w:ascii="Calibri" w:hAnsi="Calibri" w:cs="Calibri"/>
          <w:color w:val="000000" w:themeColor="text1"/>
          <w:sz w:val="22"/>
        </w:rPr>
        <w:t xml:space="preserve"> a </w:t>
      </w:r>
      <w:r w:rsidRPr="00585F42">
        <w:rPr>
          <w:rStyle w:val="normaltextrun"/>
          <w:rFonts w:ascii="Calibri" w:hAnsi="Calibri" w:cs="Calibri"/>
          <w:color w:val="000000" w:themeColor="text1"/>
          <w:sz w:val="22"/>
        </w:rPr>
        <w:t>navazováním kontaktů.</w:t>
      </w:r>
      <w:r>
        <w:rPr>
          <w:rStyle w:val="normaltextrun"/>
          <w:rFonts w:ascii="Calibri" w:hAnsi="Calibri" w:cs="Calibri"/>
          <w:color w:val="000000" w:themeColor="text1"/>
          <w:sz w:val="22"/>
        </w:rPr>
        <w:t xml:space="preserve"> Zároveň je kladen důraz na internacionalizaci</w:t>
      </w:r>
      <w:r w:rsidR="009B66B5">
        <w:rPr>
          <w:rStyle w:val="normaltextrun"/>
          <w:rFonts w:ascii="Calibri" w:hAnsi="Calibri" w:cs="Calibri"/>
          <w:color w:val="000000" w:themeColor="text1"/>
          <w:sz w:val="22"/>
        </w:rPr>
        <w:t xml:space="preserve"> a </w:t>
      </w:r>
      <w:r>
        <w:rPr>
          <w:rStyle w:val="normaltextrun"/>
          <w:rFonts w:ascii="Calibri" w:hAnsi="Calibri" w:cs="Calibri"/>
          <w:color w:val="000000" w:themeColor="text1"/>
          <w:sz w:val="22"/>
        </w:rPr>
        <w:t>zahraniční spolupráci.</w:t>
      </w:r>
      <w:r>
        <w:rPr>
          <w:rStyle w:val="Znakapoznpodarou"/>
          <w:rFonts w:ascii="Calibri" w:hAnsi="Calibri" w:cs="Calibri"/>
          <w:bCs/>
          <w:color w:val="000000" w:themeColor="text1"/>
          <w:sz w:val="22"/>
          <w:szCs w:val="22"/>
        </w:rPr>
        <w:footnoteReference w:id="6"/>
      </w:r>
      <w:r>
        <w:rPr>
          <w:rStyle w:val="normaltextrun"/>
          <w:rFonts w:ascii="Calibri" w:hAnsi="Calibri" w:cs="Calibri"/>
          <w:color w:val="000000" w:themeColor="text1"/>
          <w:sz w:val="22"/>
        </w:rPr>
        <w:t xml:space="preserve"> Mobilita je jako prioritní oblast podporována</w:t>
      </w:r>
      <w:r w:rsidR="009B66B5">
        <w:rPr>
          <w:rStyle w:val="normaltextrun"/>
          <w:rFonts w:ascii="Calibri" w:hAnsi="Calibri" w:cs="Calibri"/>
          <w:color w:val="000000" w:themeColor="text1"/>
          <w:sz w:val="22"/>
        </w:rPr>
        <w:t xml:space="preserve"> v </w:t>
      </w:r>
      <w:r>
        <w:rPr>
          <w:rStyle w:val="normaltextrun"/>
          <w:rFonts w:ascii="Calibri" w:hAnsi="Calibri" w:cs="Calibri"/>
          <w:color w:val="000000" w:themeColor="text1"/>
          <w:sz w:val="22"/>
        </w:rPr>
        <w:t xml:space="preserve">rámci programu </w:t>
      </w:r>
      <w:r w:rsidRPr="00A85E3F">
        <w:rPr>
          <w:rStyle w:val="normaltextrun"/>
          <w:rFonts w:ascii="Calibri" w:hAnsi="Calibri" w:cs="Calibri"/>
          <w:color w:val="000000" w:themeColor="text1"/>
          <w:sz w:val="22"/>
        </w:rPr>
        <w:t>Marie Skłodowska-Curie</w:t>
      </w:r>
      <w:r>
        <w:rPr>
          <w:rStyle w:val="normaltextrun"/>
          <w:rFonts w:ascii="Calibri" w:hAnsi="Calibri" w:cs="Calibri"/>
          <w:color w:val="000000" w:themeColor="text1"/>
          <w:sz w:val="22"/>
        </w:rPr>
        <w:t xml:space="preserve"> Horizontu Evropa</w:t>
      </w:r>
      <w:r>
        <w:rPr>
          <w:rStyle w:val="Znakapoznpodarou"/>
          <w:rFonts w:ascii="Calibri" w:hAnsi="Calibri" w:cs="Calibri"/>
          <w:bCs/>
          <w:color w:val="000000" w:themeColor="text1"/>
          <w:sz w:val="22"/>
          <w:szCs w:val="22"/>
        </w:rPr>
        <w:footnoteReference w:id="7"/>
      </w:r>
      <w:r>
        <w:rPr>
          <w:rStyle w:val="normaltextrun"/>
          <w:rFonts w:ascii="Calibri" w:hAnsi="Calibri" w:cs="Calibri"/>
          <w:color w:val="000000" w:themeColor="text1"/>
          <w:sz w:val="22"/>
        </w:rPr>
        <w:t>. Ne všichni vědci</w:t>
      </w:r>
      <w:r w:rsidR="009B66B5">
        <w:rPr>
          <w:rStyle w:val="normaltextrun"/>
          <w:rFonts w:ascii="Calibri" w:hAnsi="Calibri" w:cs="Calibri"/>
          <w:color w:val="000000" w:themeColor="text1"/>
          <w:sz w:val="22"/>
        </w:rPr>
        <w:t xml:space="preserve"> a </w:t>
      </w:r>
      <w:r>
        <w:rPr>
          <w:rStyle w:val="normaltextrun"/>
          <w:rFonts w:ascii="Calibri" w:hAnsi="Calibri" w:cs="Calibri"/>
          <w:color w:val="000000" w:themeColor="text1"/>
          <w:sz w:val="22"/>
        </w:rPr>
        <w:t>vědkyně ale mají stejnou možnost zapojit se do mobility,</w:t>
      </w:r>
      <w:r w:rsidR="009B66B5">
        <w:rPr>
          <w:rStyle w:val="normaltextrun"/>
          <w:rFonts w:ascii="Calibri" w:hAnsi="Calibri" w:cs="Calibri"/>
          <w:color w:val="000000" w:themeColor="text1"/>
          <w:sz w:val="22"/>
        </w:rPr>
        <w:t xml:space="preserve"> a </w:t>
      </w:r>
      <w:r>
        <w:rPr>
          <w:rStyle w:val="normaltextrun"/>
          <w:rFonts w:ascii="Calibri" w:hAnsi="Calibri" w:cs="Calibri"/>
          <w:color w:val="000000" w:themeColor="text1"/>
          <w:sz w:val="22"/>
        </w:rPr>
        <w:t>to především do dlouhodobější mobility. Ta se</w:t>
      </w:r>
      <w:r w:rsidRPr="006B3FBD">
        <w:rPr>
          <w:rStyle w:val="normaltextrun"/>
          <w:rFonts w:ascii="Calibri" w:hAnsi="Calibri" w:cs="Calibri"/>
          <w:color w:val="000000" w:themeColor="text1"/>
          <w:sz w:val="22"/>
        </w:rPr>
        <w:t xml:space="preserve"> jeví jako problematičtější pro ženy, které mají nebo plánují mít dítě. Ty, které mají děti, jsou často zodpovědné za jejich výchovu</w:t>
      </w:r>
      <w:r w:rsidR="009B66B5">
        <w:rPr>
          <w:rStyle w:val="normaltextrun"/>
          <w:rFonts w:ascii="Calibri" w:hAnsi="Calibri" w:cs="Calibri"/>
          <w:color w:val="000000" w:themeColor="text1"/>
          <w:sz w:val="22"/>
        </w:rPr>
        <w:t xml:space="preserve"> a </w:t>
      </w:r>
      <w:r w:rsidRPr="006B3FBD">
        <w:rPr>
          <w:rStyle w:val="normaltextrun"/>
          <w:rFonts w:ascii="Calibri" w:hAnsi="Calibri" w:cs="Calibri"/>
          <w:color w:val="000000" w:themeColor="text1"/>
          <w:sz w:val="22"/>
        </w:rPr>
        <w:t xml:space="preserve">praktický chod domácnosti více než jejich partneři, což jim neumožňuje rodinu na delší dobu opustit. Tato situace však není ve všech případech způsobená dětmi samotnými, ale někdy také </w:t>
      </w:r>
      <w:r>
        <w:rPr>
          <w:rStyle w:val="normaltextrun"/>
          <w:rFonts w:ascii="Calibri" w:hAnsi="Calibri" w:cs="Calibri"/>
          <w:color w:val="000000" w:themeColor="text1"/>
          <w:sz w:val="22"/>
        </w:rPr>
        <w:t xml:space="preserve">postoji </w:t>
      </w:r>
      <w:r w:rsidRPr="006B3FBD">
        <w:rPr>
          <w:rStyle w:val="normaltextrun"/>
          <w:rFonts w:ascii="Calibri" w:hAnsi="Calibri" w:cs="Calibri"/>
          <w:color w:val="000000" w:themeColor="text1"/>
          <w:sz w:val="22"/>
        </w:rPr>
        <w:t>životní</w:t>
      </w:r>
      <w:r>
        <w:rPr>
          <w:rStyle w:val="normaltextrun"/>
          <w:rFonts w:ascii="Calibri" w:hAnsi="Calibri" w:cs="Calibri"/>
          <w:color w:val="000000" w:themeColor="text1"/>
          <w:sz w:val="22"/>
        </w:rPr>
        <w:t>ch</w:t>
      </w:r>
      <w:r w:rsidRPr="006B3FBD">
        <w:rPr>
          <w:rStyle w:val="normaltextrun"/>
          <w:rFonts w:ascii="Calibri" w:hAnsi="Calibri" w:cs="Calibri"/>
          <w:color w:val="000000" w:themeColor="text1"/>
          <w:sz w:val="22"/>
        </w:rPr>
        <w:t xml:space="preserve"> partner</w:t>
      </w:r>
      <w:r>
        <w:rPr>
          <w:rStyle w:val="normaltextrun"/>
          <w:rFonts w:ascii="Calibri" w:hAnsi="Calibri" w:cs="Calibri"/>
          <w:color w:val="000000" w:themeColor="text1"/>
          <w:sz w:val="22"/>
        </w:rPr>
        <w:t>ů</w:t>
      </w:r>
      <w:r w:rsidRPr="006B3FBD">
        <w:rPr>
          <w:rStyle w:val="normaltextrun"/>
          <w:rFonts w:ascii="Calibri" w:hAnsi="Calibri" w:cs="Calibri"/>
          <w:color w:val="000000" w:themeColor="text1"/>
          <w:sz w:val="22"/>
        </w:rPr>
        <w:t>, kteří jsou proti tomu, aby jejich partnerky či manželky na delší dobu odjížděly do zahraničí.</w:t>
      </w:r>
      <w:r>
        <w:rPr>
          <w:rStyle w:val="normaltextrun"/>
          <w:rFonts w:ascii="Calibri" w:hAnsi="Calibri" w:cs="Calibri"/>
          <w:color w:val="000000" w:themeColor="text1"/>
          <w:sz w:val="22"/>
        </w:rPr>
        <w:t xml:space="preserve"> </w:t>
      </w:r>
      <w:r w:rsidRPr="005344ED">
        <w:rPr>
          <w:rFonts w:ascii="Calibri" w:eastAsia="Calibri" w:hAnsi="Calibri" w:cs="Calibri"/>
          <w:color w:val="000000" w:themeColor="text1"/>
          <w:sz w:val="22"/>
          <w:szCs w:val="22"/>
        </w:rPr>
        <w:t xml:space="preserve">Dvoukariérní páry ve </w:t>
      </w:r>
      <w:r w:rsidR="00B32567">
        <w:rPr>
          <w:rFonts w:ascii="Calibri" w:eastAsia="Calibri" w:hAnsi="Calibri" w:cs="Calibri"/>
          <w:color w:val="000000" w:themeColor="text1"/>
          <w:sz w:val="22"/>
          <w:szCs w:val="22"/>
        </w:rPr>
        <w:t>VaVaI</w:t>
      </w:r>
      <w:r w:rsidR="00B32567" w:rsidRPr="005344ED">
        <w:rPr>
          <w:rFonts w:ascii="Calibri" w:eastAsia="Calibri" w:hAnsi="Calibri" w:cs="Calibri"/>
          <w:color w:val="000000" w:themeColor="text1"/>
          <w:sz w:val="22"/>
          <w:szCs w:val="22"/>
        </w:rPr>
        <w:t xml:space="preserve"> </w:t>
      </w:r>
      <w:r w:rsidRPr="005344ED">
        <w:rPr>
          <w:rFonts w:ascii="Calibri" w:eastAsia="Calibri" w:hAnsi="Calibri" w:cs="Calibri"/>
          <w:color w:val="000000" w:themeColor="text1"/>
          <w:sz w:val="22"/>
          <w:szCs w:val="22"/>
        </w:rPr>
        <w:t>nejsou žádnou výjimkou, přičemž zejména vědkyně žijí častěji</w:t>
      </w:r>
      <w:r w:rsidR="009B66B5">
        <w:rPr>
          <w:rFonts w:ascii="Calibri" w:eastAsia="Calibri" w:hAnsi="Calibri" w:cs="Calibri"/>
          <w:color w:val="000000" w:themeColor="text1"/>
          <w:sz w:val="22"/>
          <w:szCs w:val="22"/>
        </w:rPr>
        <w:t xml:space="preserve"> v </w:t>
      </w:r>
      <w:r w:rsidRPr="005344ED">
        <w:rPr>
          <w:rFonts w:ascii="Calibri" w:eastAsia="Calibri" w:hAnsi="Calibri" w:cs="Calibri"/>
          <w:color w:val="000000" w:themeColor="text1"/>
          <w:sz w:val="22"/>
          <w:szCs w:val="22"/>
        </w:rPr>
        <w:t>partnerství</w:t>
      </w:r>
      <w:r w:rsidR="009B66B5">
        <w:rPr>
          <w:rFonts w:ascii="Calibri" w:eastAsia="Calibri" w:hAnsi="Calibri" w:cs="Calibri"/>
          <w:color w:val="000000" w:themeColor="text1"/>
          <w:sz w:val="22"/>
          <w:szCs w:val="22"/>
        </w:rPr>
        <w:t xml:space="preserve"> s </w:t>
      </w:r>
      <w:r w:rsidRPr="005344ED">
        <w:rPr>
          <w:rFonts w:ascii="Calibri" w:eastAsia="Calibri" w:hAnsi="Calibri" w:cs="Calibri"/>
          <w:color w:val="000000" w:themeColor="text1"/>
          <w:sz w:val="22"/>
          <w:szCs w:val="22"/>
        </w:rPr>
        <w:t>vědcem</w:t>
      </w:r>
      <w:r w:rsidR="009B66B5">
        <w:rPr>
          <w:rFonts w:ascii="Calibri" w:eastAsia="Calibri" w:hAnsi="Calibri" w:cs="Calibri"/>
          <w:color w:val="000000" w:themeColor="text1"/>
          <w:sz w:val="22"/>
          <w:szCs w:val="22"/>
        </w:rPr>
        <w:t xml:space="preserve"> a </w:t>
      </w:r>
      <w:r w:rsidRPr="005344ED">
        <w:rPr>
          <w:rFonts w:ascii="Calibri" w:eastAsia="Calibri" w:hAnsi="Calibri" w:cs="Calibri"/>
          <w:color w:val="000000" w:themeColor="text1"/>
          <w:sz w:val="22"/>
          <w:szCs w:val="22"/>
        </w:rPr>
        <w:t>stěhují se či dlouhodobě cestují do zahraničí kvůli partnerově kariéře než naopak.</w:t>
      </w:r>
      <w:r>
        <w:rPr>
          <w:rStyle w:val="Znakapoznpodarou"/>
          <w:rFonts w:ascii="Calibri" w:eastAsia="Calibri" w:hAnsi="Calibri" w:cs="Calibri"/>
          <w:color w:val="000000" w:themeColor="text1"/>
          <w:sz w:val="22"/>
          <w:szCs w:val="22"/>
        </w:rPr>
        <w:footnoteReference w:id="8"/>
      </w:r>
      <w:r>
        <w:rPr>
          <w:rFonts w:ascii="Calibri" w:eastAsia="Calibri" w:hAnsi="Calibri" w:cs="Calibri"/>
          <w:color w:val="000000" w:themeColor="text1"/>
          <w:sz w:val="22"/>
          <w:szCs w:val="22"/>
        </w:rPr>
        <w:t xml:space="preserve"> Muži vědci naopak na dlouhodobou zahraniční mobilitu mohou vyjet právě díky podpoře partnerek, které se</w:t>
      </w:r>
      <w:r w:rsidR="009B66B5">
        <w:rPr>
          <w:rFonts w:ascii="Calibri" w:eastAsia="Calibri" w:hAnsi="Calibri" w:cs="Calibri"/>
          <w:color w:val="000000" w:themeColor="text1"/>
          <w:sz w:val="22"/>
          <w:szCs w:val="22"/>
        </w:rPr>
        <w:t xml:space="preserve"> s </w:t>
      </w:r>
      <w:r>
        <w:rPr>
          <w:rFonts w:ascii="Calibri" w:eastAsia="Calibri" w:hAnsi="Calibri" w:cs="Calibri"/>
          <w:color w:val="000000" w:themeColor="text1"/>
          <w:sz w:val="22"/>
          <w:szCs w:val="22"/>
        </w:rPr>
        <w:t>nimi často do zahraničí přesunou.</w:t>
      </w:r>
      <w:r>
        <w:rPr>
          <w:rStyle w:val="Znakapoznpodarou"/>
          <w:rFonts w:ascii="Calibri" w:eastAsia="Calibri" w:hAnsi="Calibri" w:cs="Calibri"/>
          <w:color w:val="000000" w:themeColor="text1"/>
          <w:sz w:val="22"/>
          <w:szCs w:val="22"/>
        </w:rPr>
        <w:footnoteReference w:id="9"/>
      </w:r>
    </w:p>
    <w:p w14:paraId="05E84861" w14:textId="77777777" w:rsidR="00BA25C2" w:rsidRPr="0065719A" w:rsidRDefault="00BA25C2" w:rsidP="00BA25C2">
      <w:pPr>
        <w:pStyle w:val="paragraph"/>
        <w:spacing w:after="0" w:line="276" w:lineRule="auto"/>
        <w:jc w:val="both"/>
        <w:textAlignment w:val="baseline"/>
        <w:rPr>
          <w:rStyle w:val="normaltextrun"/>
          <w:rFonts w:ascii="Calibri" w:eastAsiaTheme="minorHAnsi" w:hAnsi="Calibri" w:cs="Calibri"/>
          <w:bCs/>
          <w:color w:val="000000" w:themeColor="text1"/>
          <w:sz w:val="22"/>
          <w:lang w:eastAsia="en-US"/>
        </w:rPr>
      </w:pPr>
      <w:r>
        <w:rPr>
          <w:rStyle w:val="normaltextrun"/>
          <w:rFonts w:ascii="Calibri" w:hAnsi="Calibri" w:cs="Calibri"/>
          <w:color w:val="000000" w:themeColor="text1"/>
          <w:sz w:val="22"/>
        </w:rPr>
        <w:t>Výsledky rozsáhlého dotazníkového šetření Akademici</w:t>
      </w:r>
      <w:r w:rsidR="009B66B5">
        <w:rPr>
          <w:rStyle w:val="normaltextrun"/>
          <w:rFonts w:ascii="Calibri" w:hAnsi="Calibri" w:cs="Calibri"/>
          <w:color w:val="000000" w:themeColor="text1"/>
          <w:sz w:val="22"/>
        </w:rPr>
        <w:t xml:space="preserve"> a </w:t>
      </w:r>
      <w:r>
        <w:rPr>
          <w:rStyle w:val="normaltextrun"/>
          <w:rFonts w:ascii="Calibri" w:hAnsi="Calibri" w:cs="Calibri"/>
          <w:color w:val="000000" w:themeColor="text1"/>
          <w:sz w:val="22"/>
        </w:rPr>
        <w:t>akademičky</w:t>
      </w:r>
      <w:r>
        <w:rPr>
          <w:rStyle w:val="Znakapoznpodarou"/>
          <w:rFonts w:ascii="Calibri" w:hAnsi="Calibri" w:cs="Calibri"/>
          <w:bCs/>
          <w:color w:val="000000" w:themeColor="text1"/>
          <w:sz w:val="22"/>
          <w:szCs w:val="22"/>
        </w:rPr>
        <w:footnoteReference w:id="10"/>
      </w:r>
      <w:r w:rsidR="009B66B5">
        <w:rPr>
          <w:rStyle w:val="normaltextrun"/>
          <w:rFonts w:ascii="Calibri" w:hAnsi="Calibri" w:cs="Calibri"/>
          <w:color w:val="000000" w:themeColor="text1"/>
          <w:sz w:val="22"/>
        </w:rPr>
        <w:t xml:space="preserve"> z </w:t>
      </w:r>
      <w:r>
        <w:rPr>
          <w:rStyle w:val="normaltextrun"/>
          <w:rFonts w:ascii="Calibri" w:hAnsi="Calibri" w:cs="Calibri"/>
          <w:color w:val="000000" w:themeColor="text1"/>
          <w:sz w:val="22"/>
        </w:rPr>
        <w:t>roku 2018 ukazují genderové rozdíly</w:t>
      </w:r>
      <w:r w:rsidR="009B66B5">
        <w:rPr>
          <w:rStyle w:val="normaltextrun"/>
          <w:rFonts w:ascii="Calibri" w:hAnsi="Calibri" w:cs="Calibri"/>
          <w:color w:val="000000" w:themeColor="text1"/>
          <w:sz w:val="22"/>
        </w:rPr>
        <w:t xml:space="preserve"> v </w:t>
      </w:r>
      <w:r>
        <w:rPr>
          <w:rStyle w:val="normaltextrun"/>
          <w:rFonts w:ascii="Calibri" w:hAnsi="Calibri" w:cs="Calibri"/>
          <w:color w:val="000000" w:themeColor="text1"/>
          <w:sz w:val="22"/>
        </w:rPr>
        <w:t>různých aspektech mobility.  Z</w:t>
      </w:r>
      <w:r w:rsidRPr="0065719A">
        <w:rPr>
          <w:rStyle w:val="normaltextrun"/>
          <w:rFonts w:ascii="Calibri" w:hAnsi="Calibri" w:cs="Calibri"/>
          <w:color w:val="000000" w:themeColor="text1"/>
          <w:sz w:val="22"/>
        </w:rPr>
        <w:t>atímco ženy mají častěji než muži zkušenosti</w:t>
      </w:r>
      <w:r w:rsidR="009B66B5">
        <w:rPr>
          <w:rStyle w:val="normaltextrun"/>
          <w:rFonts w:ascii="Calibri" w:hAnsi="Calibri" w:cs="Calibri"/>
          <w:color w:val="000000" w:themeColor="text1"/>
          <w:sz w:val="22"/>
        </w:rPr>
        <w:t xml:space="preserve"> s </w:t>
      </w:r>
      <w:r w:rsidRPr="0065719A">
        <w:rPr>
          <w:rStyle w:val="normaltextrun"/>
          <w:rFonts w:ascii="Calibri" w:hAnsi="Calibri" w:cs="Calibri"/>
          <w:color w:val="000000" w:themeColor="text1"/>
          <w:sz w:val="22"/>
        </w:rPr>
        <w:t>mobilitou během doktorského studia</w:t>
      </w:r>
      <w:r>
        <w:rPr>
          <w:rStyle w:val="normaltextrun"/>
          <w:rFonts w:ascii="Calibri" w:hAnsi="Calibri" w:cs="Calibri"/>
          <w:color w:val="000000" w:themeColor="text1"/>
          <w:sz w:val="22"/>
        </w:rPr>
        <w:t xml:space="preserve"> </w:t>
      </w:r>
      <w:r w:rsidRPr="00A85E3F">
        <w:rPr>
          <w:rStyle w:val="normaltextrun"/>
          <w:rFonts w:ascii="Calibri" w:hAnsi="Calibri" w:cs="Calibri"/>
          <w:color w:val="000000" w:themeColor="text1"/>
          <w:sz w:val="22"/>
        </w:rPr>
        <w:t>(45,1 % akademiček</w:t>
      </w:r>
      <w:r w:rsidR="009B66B5">
        <w:rPr>
          <w:rStyle w:val="normaltextrun"/>
          <w:rFonts w:ascii="Calibri" w:hAnsi="Calibri" w:cs="Calibri"/>
          <w:color w:val="000000" w:themeColor="text1"/>
          <w:sz w:val="22"/>
        </w:rPr>
        <w:t xml:space="preserve"> a </w:t>
      </w:r>
      <w:r w:rsidRPr="00A85E3F">
        <w:rPr>
          <w:rStyle w:val="normaltextrun"/>
          <w:rFonts w:ascii="Calibri" w:hAnsi="Calibri" w:cs="Calibri"/>
          <w:color w:val="000000" w:themeColor="text1"/>
          <w:sz w:val="22"/>
        </w:rPr>
        <w:t>39,5 % akademiků celkem)</w:t>
      </w:r>
      <w:r w:rsidRPr="0065719A">
        <w:rPr>
          <w:rStyle w:val="normaltextrun"/>
          <w:rFonts w:ascii="Calibri" w:hAnsi="Calibri" w:cs="Calibri"/>
          <w:color w:val="000000" w:themeColor="text1"/>
          <w:sz w:val="22"/>
        </w:rPr>
        <w:t>, muži naopak častěji sbírají své zkušenosti</w:t>
      </w:r>
      <w:r w:rsidR="009B66B5">
        <w:rPr>
          <w:rStyle w:val="normaltextrun"/>
          <w:rFonts w:ascii="Calibri" w:hAnsi="Calibri" w:cs="Calibri"/>
          <w:color w:val="000000" w:themeColor="text1"/>
          <w:sz w:val="22"/>
        </w:rPr>
        <w:t xml:space="preserve"> v </w:t>
      </w:r>
      <w:r w:rsidRPr="0065719A">
        <w:rPr>
          <w:rStyle w:val="normaltextrun"/>
          <w:rFonts w:ascii="Calibri" w:hAnsi="Calibri" w:cs="Calibri"/>
          <w:color w:val="000000" w:themeColor="text1"/>
          <w:sz w:val="22"/>
        </w:rPr>
        <w:t>zahraničí po ukončení doktorátu</w:t>
      </w:r>
      <w:r>
        <w:rPr>
          <w:rStyle w:val="normaltextrun"/>
          <w:rFonts w:ascii="Calibri" w:hAnsi="Calibri" w:cs="Calibri"/>
          <w:color w:val="000000" w:themeColor="text1"/>
          <w:sz w:val="22"/>
        </w:rPr>
        <w:t xml:space="preserve"> </w:t>
      </w:r>
      <w:r w:rsidRPr="00A85E3F">
        <w:rPr>
          <w:rStyle w:val="normaltextrun"/>
          <w:rFonts w:ascii="Calibri" w:hAnsi="Calibri" w:cs="Calibri"/>
          <w:color w:val="000000" w:themeColor="text1"/>
          <w:sz w:val="22"/>
        </w:rPr>
        <w:t>(22,1 % akademiků</w:t>
      </w:r>
      <w:r w:rsidR="009B66B5">
        <w:rPr>
          <w:rStyle w:val="normaltextrun"/>
          <w:rFonts w:ascii="Calibri" w:hAnsi="Calibri" w:cs="Calibri"/>
          <w:color w:val="000000" w:themeColor="text1"/>
          <w:sz w:val="22"/>
        </w:rPr>
        <w:t xml:space="preserve"> a </w:t>
      </w:r>
      <w:r w:rsidRPr="00A85E3F">
        <w:rPr>
          <w:rStyle w:val="normaltextrun"/>
          <w:rFonts w:ascii="Calibri" w:hAnsi="Calibri" w:cs="Calibri"/>
          <w:color w:val="000000" w:themeColor="text1"/>
          <w:sz w:val="22"/>
        </w:rPr>
        <w:t>12,2 % akademiček celkem)</w:t>
      </w:r>
      <w:r w:rsidRPr="0065719A">
        <w:rPr>
          <w:rStyle w:val="normaltextrun"/>
          <w:rFonts w:ascii="Calibri" w:hAnsi="Calibri" w:cs="Calibri"/>
          <w:color w:val="000000" w:themeColor="text1"/>
          <w:sz w:val="22"/>
        </w:rPr>
        <w:t>, což je</w:t>
      </w:r>
      <w:r>
        <w:rPr>
          <w:rStyle w:val="normaltextrun"/>
          <w:rFonts w:ascii="Calibri" w:hAnsi="Calibri" w:cs="Calibri"/>
          <w:color w:val="000000" w:themeColor="text1"/>
          <w:sz w:val="22"/>
        </w:rPr>
        <w:t xml:space="preserve"> zároveň</w:t>
      </w:r>
      <w:r w:rsidR="009B66B5">
        <w:rPr>
          <w:rStyle w:val="normaltextrun"/>
          <w:rFonts w:ascii="Calibri" w:hAnsi="Calibri" w:cs="Calibri"/>
          <w:color w:val="000000" w:themeColor="text1"/>
          <w:sz w:val="22"/>
        </w:rPr>
        <w:t xml:space="preserve"> i </w:t>
      </w:r>
      <w:r>
        <w:rPr>
          <w:rStyle w:val="normaltextrun"/>
          <w:rFonts w:ascii="Calibri" w:hAnsi="Calibri" w:cs="Calibri"/>
          <w:color w:val="000000" w:themeColor="text1"/>
          <w:sz w:val="22"/>
        </w:rPr>
        <w:t>forma mobility, které</w:t>
      </w:r>
      <w:r w:rsidRPr="0065719A">
        <w:rPr>
          <w:rStyle w:val="normaltextrun"/>
          <w:rFonts w:ascii="Calibri" w:hAnsi="Calibri" w:cs="Calibri"/>
          <w:color w:val="000000" w:themeColor="text1"/>
          <w:sz w:val="22"/>
        </w:rPr>
        <w:t xml:space="preserve"> bývá</w:t>
      </w:r>
      <w:r w:rsidR="009B66B5">
        <w:rPr>
          <w:rStyle w:val="normaltextrun"/>
          <w:rFonts w:ascii="Calibri" w:hAnsi="Calibri" w:cs="Calibri"/>
          <w:color w:val="000000" w:themeColor="text1"/>
          <w:sz w:val="22"/>
        </w:rPr>
        <w:t xml:space="preserve"> v </w:t>
      </w:r>
      <w:r w:rsidRPr="0065719A">
        <w:rPr>
          <w:rStyle w:val="normaltextrun"/>
          <w:rFonts w:ascii="Calibri" w:hAnsi="Calibri" w:cs="Calibri"/>
          <w:color w:val="000000" w:themeColor="text1"/>
          <w:sz w:val="22"/>
        </w:rPr>
        <w:t>současných systémech hodnocení vědecké excelence přičítána vyšší prestiž</w:t>
      </w:r>
      <w:r>
        <w:rPr>
          <w:rStyle w:val="normaltextrun"/>
          <w:rFonts w:ascii="Calibri" w:hAnsi="Calibri" w:cs="Calibri"/>
          <w:color w:val="000000" w:themeColor="text1"/>
          <w:sz w:val="22"/>
        </w:rPr>
        <w:t xml:space="preserve">. Důvodem této skutečnosti může být </w:t>
      </w:r>
      <w:r w:rsidR="006342E2">
        <w:rPr>
          <w:rStyle w:val="normaltextrun"/>
          <w:rFonts w:ascii="Calibri" w:hAnsi="Calibri" w:cs="Calibri"/>
          <w:color w:val="000000" w:themeColor="text1"/>
          <w:sz w:val="22"/>
        </w:rPr>
        <w:t>to</w:t>
      </w:r>
      <w:r>
        <w:rPr>
          <w:rStyle w:val="normaltextrun"/>
          <w:rFonts w:ascii="Calibri" w:hAnsi="Calibri" w:cs="Calibri"/>
          <w:color w:val="000000" w:themeColor="text1"/>
          <w:sz w:val="22"/>
        </w:rPr>
        <w:t>, že mladí lidé často po doktorském studiu (nebo</w:t>
      </w:r>
      <w:r w:rsidR="009B66B5">
        <w:rPr>
          <w:rStyle w:val="normaltextrun"/>
          <w:rFonts w:ascii="Calibri" w:hAnsi="Calibri" w:cs="Calibri"/>
          <w:color w:val="000000" w:themeColor="text1"/>
          <w:sz w:val="22"/>
        </w:rPr>
        <w:t xml:space="preserve"> v </w:t>
      </w:r>
      <w:r>
        <w:rPr>
          <w:rStyle w:val="normaltextrun"/>
          <w:rFonts w:ascii="Calibri" w:hAnsi="Calibri" w:cs="Calibri"/>
          <w:color w:val="000000" w:themeColor="text1"/>
          <w:sz w:val="22"/>
        </w:rPr>
        <w:t>rámci studia) zakládají rodiny, což</w:t>
      </w:r>
      <w:r w:rsidR="006342E2">
        <w:rPr>
          <w:rStyle w:val="normaltextrun"/>
          <w:rFonts w:ascii="Calibri" w:hAnsi="Calibri" w:cs="Calibri"/>
          <w:color w:val="000000" w:themeColor="text1"/>
          <w:sz w:val="22"/>
        </w:rPr>
        <w:t xml:space="preserve"> pro ženy zásadně mění možnosti</w:t>
      </w:r>
      <w:r>
        <w:rPr>
          <w:rStyle w:val="normaltextrun"/>
          <w:rFonts w:ascii="Calibri" w:hAnsi="Calibri" w:cs="Calibri"/>
          <w:color w:val="000000" w:themeColor="text1"/>
          <w:sz w:val="22"/>
        </w:rPr>
        <w:t xml:space="preserve"> zapojení se do mobility. Rozdíly vidíme také</w:t>
      </w:r>
      <w:r w:rsidR="009B66B5">
        <w:rPr>
          <w:rStyle w:val="normaltextrun"/>
          <w:rFonts w:ascii="Calibri" w:hAnsi="Calibri" w:cs="Calibri"/>
          <w:color w:val="000000" w:themeColor="text1"/>
          <w:sz w:val="22"/>
        </w:rPr>
        <w:t xml:space="preserve"> v </w:t>
      </w:r>
      <w:r>
        <w:rPr>
          <w:rStyle w:val="normaltextrun"/>
          <w:rFonts w:ascii="Calibri" w:hAnsi="Calibri" w:cs="Calibri"/>
          <w:color w:val="000000" w:themeColor="text1"/>
          <w:sz w:val="22"/>
        </w:rPr>
        <w:t>zaměření vědců</w:t>
      </w:r>
      <w:r w:rsidR="009B66B5">
        <w:rPr>
          <w:rStyle w:val="normaltextrun"/>
          <w:rFonts w:ascii="Calibri" w:hAnsi="Calibri" w:cs="Calibri"/>
          <w:color w:val="000000" w:themeColor="text1"/>
          <w:sz w:val="22"/>
        </w:rPr>
        <w:t xml:space="preserve"> a </w:t>
      </w:r>
      <w:r>
        <w:rPr>
          <w:rStyle w:val="normaltextrun"/>
          <w:rFonts w:ascii="Calibri" w:hAnsi="Calibri" w:cs="Calibri"/>
          <w:color w:val="000000" w:themeColor="text1"/>
          <w:sz w:val="22"/>
        </w:rPr>
        <w:t>vědkyň. Muži využívají postdoktorské mobility (zahraničních stáží) především</w:t>
      </w:r>
      <w:r w:rsidR="009B66B5">
        <w:rPr>
          <w:rStyle w:val="normaltextrun"/>
          <w:rFonts w:ascii="Calibri" w:hAnsi="Calibri" w:cs="Calibri"/>
          <w:color w:val="000000" w:themeColor="text1"/>
          <w:sz w:val="22"/>
        </w:rPr>
        <w:t xml:space="preserve"> v </w:t>
      </w:r>
      <w:r>
        <w:rPr>
          <w:rStyle w:val="normaltextrun"/>
          <w:rFonts w:ascii="Calibri" w:hAnsi="Calibri" w:cs="Calibri"/>
          <w:color w:val="000000" w:themeColor="text1"/>
          <w:sz w:val="22"/>
        </w:rPr>
        <w:t>přírodních vědách (</w:t>
      </w:r>
      <w:r w:rsidRPr="005A2524">
        <w:rPr>
          <w:rStyle w:val="normaltextrun"/>
          <w:rFonts w:ascii="Calibri" w:hAnsi="Calibri" w:cs="Calibri"/>
          <w:color w:val="000000" w:themeColor="text1"/>
          <w:sz w:val="22"/>
        </w:rPr>
        <w:t>44,2</w:t>
      </w:r>
      <w:r>
        <w:rPr>
          <w:rStyle w:val="normaltextrun"/>
          <w:rFonts w:ascii="Calibri" w:hAnsi="Calibri" w:cs="Calibri"/>
          <w:color w:val="000000" w:themeColor="text1"/>
          <w:sz w:val="22"/>
        </w:rPr>
        <w:t xml:space="preserve"> %), lékařských vědách (</w:t>
      </w:r>
      <w:r w:rsidRPr="005A2524">
        <w:rPr>
          <w:rStyle w:val="normaltextrun"/>
          <w:rFonts w:ascii="Calibri" w:hAnsi="Calibri" w:cs="Calibri"/>
          <w:color w:val="000000" w:themeColor="text1"/>
          <w:sz w:val="22"/>
        </w:rPr>
        <w:t>37,9</w:t>
      </w:r>
      <w:r>
        <w:rPr>
          <w:rStyle w:val="normaltextrun"/>
          <w:rFonts w:ascii="Calibri" w:hAnsi="Calibri" w:cs="Calibri"/>
          <w:color w:val="000000" w:themeColor="text1"/>
          <w:sz w:val="22"/>
        </w:rPr>
        <w:t xml:space="preserve"> %)</w:t>
      </w:r>
      <w:r w:rsidR="009B66B5">
        <w:rPr>
          <w:rStyle w:val="normaltextrun"/>
          <w:rFonts w:ascii="Calibri" w:hAnsi="Calibri" w:cs="Calibri"/>
          <w:color w:val="000000" w:themeColor="text1"/>
          <w:sz w:val="22"/>
        </w:rPr>
        <w:t xml:space="preserve"> a v </w:t>
      </w:r>
      <w:r>
        <w:rPr>
          <w:rStyle w:val="normaltextrun"/>
          <w:rFonts w:ascii="Calibri" w:hAnsi="Calibri" w:cs="Calibri"/>
          <w:color w:val="000000" w:themeColor="text1"/>
          <w:sz w:val="22"/>
        </w:rPr>
        <w:t>technických vědách (</w:t>
      </w:r>
      <w:r w:rsidRPr="00E8019F">
        <w:rPr>
          <w:rStyle w:val="normaltextrun"/>
          <w:rFonts w:ascii="Calibri" w:hAnsi="Calibri" w:cs="Calibri"/>
          <w:color w:val="000000" w:themeColor="text1"/>
          <w:sz w:val="22"/>
        </w:rPr>
        <w:t>20,9</w:t>
      </w:r>
      <w:r>
        <w:rPr>
          <w:rStyle w:val="normaltextrun"/>
          <w:rFonts w:ascii="Calibri" w:hAnsi="Calibri" w:cs="Calibri"/>
          <w:color w:val="000000" w:themeColor="text1"/>
          <w:sz w:val="22"/>
        </w:rPr>
        <w:t xml:space="preserve"> % mužů oproti </w:t>
      </w:r>
      <w:r w:rsidRPr="00E8019F">
        <w:rPr>
          <w:rStyle w:val="normaltextrun"/>
          <w:rFonts w:ascii="Calibri" w:hAnsi="Calibri" w:cs="Calibri"/>
          <w:color w:val="000000" w:themeColor="text1"/>
          <w:sz w:val="22"/>
        </w:rPr>
        <w:t>4,1</w:t>
      </w:r>
      <w:r>
        <w:rPr>
          <w:rStyle w:val="normaltextrun"/>
          <w:rFonts w:ascii="Calibri" w:hAnsi="Calibri" w:cs="Calibri"/>
          <w:color w:val="000000" w:themeColor="text1"/>
          <w:sz w:val="22"/>
        </w:rPr>
        <w:t xml:space="preserve"> % žen). U žen je pak nejvyšší mobilita</w:t>
      </w:r>
      <w:r w:rsidR="009B66B5">
        <w:rPr>
          <w:rStyle w:val="normaltextrun"/>
          <w:rFonts w:ascii="Calibri" w:hAnsi="Calibri" w:cs="Calibri"/>
          <w:color w:val="000000" w:themeColor="text1"/>
          <w:sz w:val="22"/>
        </w:rPr>
        <w:t xml:space="preserve"> v </w:t>
      </w:r>
      <w:r>
        <w:rPr>
          <w:rStyle w:val="normaltextrun"/>
          <w:rFonts w:ascii="Calibri" w:hAnsi="Calibri" w:cs="Calibri"/>
          <w:color w:val="000000" w:themeColor="text1"/>
          <w:sz w:val="22"/>
        </w:rPr>
        <w:t>oboru přírodních věd (</w:t>
      </w:r>
      <w:r w:rsidRPr="00E8019F">
        <w:rPr>
          <w:rStyle w:val="normaltextrun"/>
          <w:rFonts w:ascii="Calibri" w:hAnsi="Calibri" w:cs="Calibri"/>
          <w:color w:val="000000" w:themeColor="text1"/>
          <w:sz w:val="22"/>
        </w:rPr>
        <w:t>25,0</w:t>
      </w:r>
      <w:r>
        <w:rPr>
          <w:rStyle w:val="normaltextrun"/>
          <w:rFonts w:ascii="Calibri" w:hAnsi="Calibri" w:cs="Calibri"/>
          <w:color w:val="000000" w:themeColor="text1"/>
          <w:sz w:val="22"/>
        </w:rPr>
        <w:t xml:space="preserve"> %), lékařských věd (</w:t>
      </w:r>
      <w:r w:rsidRPr="00E8019F">
        <w:rPr>
          <w:rStyle w:val="normaltextrun"/>
          <w:rFonts w:ascii="Calibri" w:hAnsi="Calibri" w:cs="Calibri"/>
          <w:color w:val="000000" w:themeColor="text1"/>
          <w:sz w:val="22"/>
        </w:rPr>
        <w:t>19,1</w:t>
      </w:r>
      <w:r>
        <w:rPr>
          <w:rStyle w:val="normaltextrun"/>
          <w:rFonts w:ascii="Calibri" w:hAnsi="Calibri" w:cs="Calibri"/>
          <w:color w:val="000000" w:themeColor="text1"/>
          <w:sz w:val="22"/>
        </w:rPr>
        <w:t xml:space="preserve"> %)</w:t>
      </w:r>
      <w:r w:rsidR="009B66B5">
        <w:rPr>
          <w:rStyle w:val="normaltextrun"/>
          <w:rFonts w:ascii="Calibri" w:hAnsi="Calibri" w:cs="Calibri"/>
          <w:color w:val="000000" w:themeColor="text1"/>
          <w:sz w:val="22"/>
        </w:rPr>
        <w:t xml:space="preserve"> a </w:t>
      </w:r>
      <w:r>
        <w:rPr>
          <w:rStyle w:val="normaltextrun"/>
          <w:rFonts w:ascii="Calibri" w:hAnsi="Calibri" w:cs="Calibri"/>
          <w:color w:val="000000" w:themeColor="text1"/>
          <w:sz w:val="22"/>
        </w:rPr>
        <w:t>sociálních věd (</w:t>
      </w:r>
      <w:r w:rsidRPr="00E8019F">
        <w:rPr>
          <w:rStyle w:val="normaltextrun"/>
          <w:rFonts w:ascii="Calibri" w:hAnsi="Calibri" w:cs="Calibri"/>
          <w:color w:val="000000" w:themeColor="text1"/>
          <w:sz w:val="22"/>
        </w:rPr>
        <w:t>16,3</w:t>
      </w:r>
      <w:r>
        <w:rPr>
          <w:rStyle w:val="normaltextrun"/>
          <w:rFonts w:ascii="Calibri" w:hAnsi="Calibri" w:cs="Calibri"/>
          <w:color w:val="000000" w:themeColor="text1"/>
          <w:sz w:val="22"/>
        </w:rPr>
        <w:t xml:space="preserve"> % žen oproti </w:t>
      </w:r>
      <w:r w:rsidRPr="00E8019F">
        <w:rPr>
          <w:rStyle w:val="normaltextrun"/>
          <w:rFonts w:ascii="Calibri" w:hAnsi="Calibri" w:cs="Calibri"/>
          <w:color w:val="000000" w:themeColor="text1"/>
          <w:sz w:val="22"/>
        </w:rPr>
        <w:t>17,2</w:t>
      </w:r>
      <w:r>
        <w:rPr>
          <w:rStyle w:val="normaltextrun"/>
          <w:rFonts w:ascii="Calibri" w:hAnsi="Calibri" w:cs="Calibri"/>
          <w:color w:val="000000" w:themeColor="text1"/>
          <w:sz w:val="22"/>
        </w:rPr>
        <w:t xml:space="preserve"> % mužů). Na těchto výsledcích vidíme, že</w:t>
      </w:r>
      <w:r w:rsidR="009B66B5">
        <w:rPr>
          <w:rStyle w:val="normaltextrun"/>
          <w:rFonts w:ascii="Calibri" w:hAnsi="Calibri" w:cs="Calibri"/>
          <w:color w:val="000000" w:themeColor="text1"/>
          <w:sz w:val="22"/>
        </w:rPr>
        <w:t xml:space="preserve"> v </w:t>
      </w:r>
      <w:r>
        <w:rPr>
          <w:rStyle w:val="normaltextrun"/>
          <w:rFonts w:ascii="Calibri" w:hAnsi="Calibri" w:cs="Calibri"/>
          <w:color w:val="000000" w:themeColor="text1"/>
          <w:sz w:val="22"/>
        </w:rPr>
        <w:t>některých oborech jsou rozdíly</w:t>
      </w:r>
      <w:r w:rsidR="009B66B5">
        <w:rPr>
          <w:rStyle w:val="normaltextrun"/>
          <w:rFonts w:ascii="Calibri" w:hAnsi="Calibri" w:cs="Calibri"/>
          <w:color w:val="000000" w:themeColor="text1"/>
          <w:sz w:val="22"/>
        </w:rPr>
        <w:t xml:space="preserve"> v </w:t>
      </w:r>
      <w:r>
        <w:rPr>
          <w:rStyle w:val="normaltextrun"/>
          <w:rFonts w:ascii="Calibri" w:hAnsi="Calibri" w:cs="Calibri"/>
          <w:color w:val="000000" w:themeColor="text1"/>
          <w:sz w:val="22"/>
        </w:rPr>
        <w:t>mobilitě akademiků</w:t>
      </w:r>
      <w:r w:rsidR="009B66B5">
        <w:rPr>
          <w:rStyle w:val="normaltextrun"/>
          <w:rFonts w:ascii="Calibri" w:hAnsi="Calibri" w:cs="Calibri"/>
          <w:color w:val="000000" w:themeColor="text1"/>
          <w:sz w:val="22"/>
        </w:rPr>
        <w:t xml:space="preserve"> a </w:t>
      </w:r>
      <w:r>
        <w:rPr>
          <w:rStyle w:val="normaltextrun"/>
          <w:rFonts w:ascii="Calibri" w:hAnsi="Calibri" w:cs="Calibri"/>
          <w:color w:val="000000" w:themeColor="text1"/>
          <w:sz w:val="22"/>
        </w:rPr>
        <w:t>akademiček opravdu signifikantní. U mobil</w:t>
      </w:r>
      <w:r w:rsidR="006342E2">
        <w:rPr>
          <w:rStyle w:val="normaltextrun"/>
          <w:rFonts w:ascii="Calibri" w:hAnsi="Calibri" w:cs="Calibri"/>
          <w:color w:val="000000" w:themeColor="text1"/>
          <w:sz w:val="22"/>
        </w:rPr>
        <w:t xml:space="preserve">ity typu hostující/přednášející </w:t>
      </w:r>
      <w:r>
        <w:rPr>
          <w:rStyle w:val="normaltextrun"/>
          <w:rFonts w:ascii="Calibri" w:hAnsi="Calibri" w:cs="Calibri"/>
          <w:color w:val="000000" w:themeColor="text1"/>
          <w:sz w:val="22"/>
        </w:rPr>
        <w:t>akademik/</w:t>
      </w:r>
      <w:r w:rsidR="006342E2">
        <w:rPr>
          <w:rStyle w:val="normaltextrun"/>
          <w:rFonts w:ascii="Calibri" w:hAnsi="Calibri" w:cs="Calibri"/>
          <w:color w:val="000000" w:themeColor="text1"/>
          <w:sz w:val="22"/>
        </w:rPr>
        <w:t>akademi</w:t>
      </w:r>
      <w:r>
        <w:rPr>
          <w:rStyle w:val="normaltextrun"/>
          <w:rFonts w:ascii="Calibri" w:hAnsi="Calibri" w:cs="Calibri"/>
          <w:color w:val="000000" w:themeColor="text1"/>
          <w:sz w:val="22"/>
        </w:rPr>
        <w:t>čka jsou mezi obory</w:t>
      </w:r>
      <w:r w:rsidR="009B66B5">
        <w:rPr>
          <w:rStyle w:val="normaltextrun"/>
          <w:rFonts w:ascii="Calibri" w:hAnsi="Calibri" w:cs="Calibri"/>
          <w:color w:val="000000" w:themeColor="text1"/>
          <w:sz w:val="22"/>
        </w:rPr>
        <w:t xml:space="preserve"> s </w:t>
      </w:r>
      <w:r>
        <w:rPr>
          <w:rStyle w:val="normaltextrun"/>
          <w:rFonts w:ascii="Calibri" w:hAnsi="Calibri" w:cs="Calibri"/>
          <w:color w:val="000000" w:themeColor="text1"/>
          <w:sz w:val="22"/>
        </w:rPr>
        <w:t>největším podílem mobilitních akademiků/</w:t>
      </w:r>
      <w:r w:rsidR="006342E2">
        <w:rPr>
          <w:rStyle w:val="normaltextrun"/>
          <w:rFonts w:ascii="Calibri" w:hAnsi="Calibri" w:cs="Calibri"/>
          <w:color w:val="000000" w:themeColor="text1"/>
          <w:sz w:val="22"/>
        </w:rPr>
        <w:t>akademi</w:t>
      </w:r>
      <w:r>
        <w:rPr>
          <w:rStyle w:val="normaltextrun"/>
          <w:rFonts w:ascii="Calibri" w:hAnsi="Calibri" w:cs="Calibri"/>
          <w:color w:val="000000" w:themeColor="text1"/>
          <w:sz w:val="22"/>
        </w:rPr>
        <w:t>ček sociální vědy (59,9 % mužů</w:t>
      </w:r>
      <w:r w:rsidR="009B66B5">
        <w:rPr>
          <w:rStyle w:val="normaltextrun"/>
          <w:rFonts w:ascii="Calibri" w:hAnsi="Calibri" w:cs="Calibri"/>
          <w:color w:val="000000" w:themeColor="text1"/>
          <w:sz w:val="22"/>
        </w:rPr>
        <w:t xml:space="preserve"> a </w:t>
      </w:r>
      <w:r>
        <w:rPr>
          <w:rStyle w:val="normaltextrun"/>
          <w:rFonts w:ascii="Calibri" w:hAnsi="Calibri" w:cs="Calibri"/>
          <w:color w:val="000000" w:themeColor="text1"/>
          <w:sz w:val="22"/>
        </w:rPr>
        <w:t>53</w:t>
      </w:r>
      <w:r w:rsidRPr="00614D9C">
        <w:rPr>
          <w:rStyle w:val="normaltextrun"/>
          <w:rFonts w:ascii="Calibri" w:hAnsi="Calibri" w:cs="Calibri"/>
          <w:color w:val="000000" w:themeColor="text1"/>
          <w:sz w:val="22"/>
        </w:rPr>
        <w:t>,9</w:t>
      </w:r>
      <w:r>
        <w:rPr>
          <w:rStyle w:val="normaltextrun"/>
          <w:rFonts w:ascii="Calibri" w:hAnsi="Calibri" w:cs="Calibri"/>
          <w:color w:val="000000" w:themeColor="text1"/>
          <w:sz w:val="22"/>
        </w:rPr>
        <w:t xml:space="preserve"> % žen), humanitní vědy (</w:t>
      </w:r>
      <w:r w:rsidRPr="00614D9C">
        <w:rPr>
          <w:rStyle w:val="normaltextrun"/>
          <w:rFonts w:ascii="Calibri" w:hAnsi="Calibri" w:cs="Calibri"/>
          <w:color w:val="000000" w:themeColor="text1"/>
          <w:sz w:val="22"/>
        </w:rPr>
        <w:t>54,0</w:t>
      </w:r>
      <w:r>
        <w:rPr>
          <w:rStyle w:val="normaltextrun"/>
          <w:rFonts w:ascii="Calibri" w:hAnsi="Calibri" w:cs="Calibri"/>
          <w:color w:val="000000" w:themeColor="text1"/>
          <w:sz w:val="22"/>
        </w:rPr>
        <w:t xml:space="preserve"> % mužů</w:t>
      </w:r>
      <w:r w:rsidR="009B66B5">
        <w:rPr>
          <w:rStyle w:val="normaltextrun"/>
          <w:rFonts w:ascii="Calibri" w:hAnsi="Calibri" w:cs="Calibri"/>
          <w:color w:val="000000" w:themeColor="text1"/>
          <w:sz w:val="22"/>
        </w:rPr>
        <w:t xml:space="preserve"> a </w:t>
      </w:r>
      <w:r>
        <w:rPr>
          <w:rStyle w:val="normaltextrun"/>
          <w:rFonts w:ascii="Calibri" w:hAnsi="Calibri" w:cs="Calibri"/>
          <w:color w:val="000000" w:themeColor="text1"/>
          <w:sz w:val="22"/>
        </w:rPr>
        <w:t>53,2</w:t>
      </w:r>
      <w:r w:rsidR="00ED5B4A">
        <w:rPr>
          <w:rStyle w:val="normaltextrun"/>
          <w:rFonts w:ascii="Calibri" w:hAnsi="Calibri" w:cs="Calibri"/>
          <w:color w:val="000000" w:themeColor="text1"/>
          <w:sz w:val="22"/>
        </w:rPr>
        <w:t> </w:t>
      </w:r>
      <w:r>
        <w:rPr>
          <w:rStyle w:val="normaltextrun"/>
          <w:rFonts w:ascii="Calibri" w:hAnsi="Calibri" w:cs="Calibri"/>
          <w:color w:val="000000" w:themeColor="text1"/>
          <w:sz w:val="22"/>
        </w:rPr>
        <w:t>% žen)</w:t>
      </w:r>
      <w:r w:rsidR="009B66B5">
        <w:rPr>
          <w:rStyle w:val="normaltextrun"/>
          <w:rFonts w:ascii="Calibri" w:hAnsi="Calibri" w:cs="Calibri"/>
          <w:color w:val="000000" w:themeColor="text1"/>
          <w:sz w:val="22"/>
        </w:rPr>
        <w:t xml:space="preserve"> a </w:t>
      </w:r>
      <w:r>
        <w:rPr>
          <w:rStyle w:val="normaltextrun"/>
          <w:rFonts w:ascii="Calibri" w:hAnsi="Calibri" w:cs="Calibri"/>
          <w:color w:val="000000" w:themeColor="text1"/>
          <w:sz w:val="22"/>
        </w:rPr>
        <w:t xml:space="preserve">dále u mužů technické </w:t>
      </w:r>
      <w:r>
        <w:rPr>
          <w:rStyle w:val="normaltextrun"/>
          <w:rFonts w:ascii="Calibri" w:hAnsi="Calibri" w:cs="Calibri"/>
          <w:color w:val="000000" w:themeColor="text1"/>
          <w:sz w:val="22"/>
        </w:rPr>
        <w:lastRenderedPageBreak/>
        <w:t>vědy (</w:t>
      </w:r>
      <w:r w:rsidRPr="00614D9C">
        <w:rPr>
          <w:rStyle w:val="normaltextrun"/>
          <w:rFonts w:ascii="Calibri" w:hAnsi="Calibri" w:cs="Calibri"/>
          <w:color w:val="000000" w:themeColor="text1"/>
          <w:sz w:val="22"/>
        </w:rPr>
        <w:t>46,8</w:t>
      </w:r>
      <w:r>
        <w:rPr>
          <w:rStyle w:val="normaltextrun"/>
          <w:rFonts w:ascii="Calibri" w:hAnsi="Calibri" w:cs="Calibri"/>
          <w:color w:val="000000" w:themeColor="text1"/>
          <w:sz w:val="22"/>
        </w:rPr>
        <w:t xml:space="preserve">% mužů oproti </w:t>
      </w:r>
      <w:r w:rsidRPr="00614D9C">
        <w:rPr>
          <w:rStyle w:val="normaltextrun"/>
          <w:rFonts w:ascii="Calibri" w:hAnsi="Calibri" w:cs="Calibri"/>
          <w:color w:val="000000" w:themeColor="text1"/>
          <w:sz w:val="22"/>
        </w:rPr>
        <w:t>19,9</w:t>
      </w:r>
      <w:r>
        <w:rPr>
          <w:rStyle w:val="normaltextrun"/>
          <w:rFonts w:ascii="Calibri" w:hAnsi="Calibri" w:cs="Calibri"/>
          <w:color w:val="000000" w:themeColor="text1"/>
          <w:sz w:val="22"/>
        </w:rPr>
        <w:t xml:space="preserve"> % žen)</w:t>
      </w:r>
      <w:r w:rsidR="009B66B5">
        <w:rPr>
          <w:rStyle w:val="normaltextrun"/>
          <w:rFonts w:ascii="Calibri" w:hAnsi="Calibri" w:cs="Calibri"/>
          <w:color w:val="000000" w:themeColor="text1"/>
          <w:sz w:val="22"/>
        </w:rPr>
        <w:t xml:space="preserve"> a </w:t>
      </w:r>
      <w:r>
        <w:rPr>
          <w:rStyle w:val="normaltextrun"/>
          <w:rFonts w:ascii="Calibri" w:hAnsi="Calibri" w:cs="Calibri"/>
          <w:color w:val="000000" w:themeColor="text1"/>
          <w:sz w:val="22"/>
        </w:rPr>
        <w:t>u žen zemědělské vědy (</w:t>
      </w:r>
      <w:r w:rsidRPr="00614D9C">
        <w:rPr>
          <w:rStyle w:val="normaltextrun"/>
          <w:rFonts w:ascii="Calibri" w:hAnsi="Calibri" w:cs="Calibri"/>
          <w:color w:val="000000" w:themeColor="text1"/>
          <w:sz w:val="22"/>
        </w:rPr>
        <w:t>39,4</w:t>
      </w:r>
      <w:r>
        <w:rPr>
          <w:rStyle w:val="normaltextrun"/>
          <w:rFonts w:ascii="Calibri" w:hAnsi="Calibri" w:cs="Calibri"/>
          <w:color w:val="000000" w:themeColor="text1"/>
          <w:sz w:val="22"/>
        </w:rPr>
        <w:t xml:space="preserve"> % žen oproti </w:t>
      </w:r>
      <w:r w:rsidRPr="00614D9C">
        <w:rPr>
          <w:rStyle w:val="normaltextrun"/>
          <w:rFonts w:ascii="Calibri" w:hAnsi="Calibri" w:cs="Calibri"/>
          <w:color w:val="000000" w:themeColor="text1"/>
          <w:sz w:val="22"/>
        </w:rPr>
        <w:t>38,3</w:t>
      </w:r>
      <w:r>
        <w:rPr>
          <w:rStyle w:val="normaltextrun"/>
          <w:rFonts w:ascii="Calibri" w:hAnsi="Calibri" w:cs="Calibri"/>
          <w:color w:val="000000" w:themeColor="text1"/>
          <w:sz w:val="22"/>
        </w:rPr>
        <w:t xml:space="preserve"> % mužů). I zde tedy najdeme největší rozdíly</w:t>
      </w:r>
      <w:r w:rsidR="009B66B5">
        <w:rPr>
          <w:rStyle w:val="normaltextrun"/>
          <w:rFonts w:ascii="Calibri" w:hAnsi="Calibri" w:cs="Calibri"/>
          <w:color w:val="000000" w:themeColor="text1"/>
          <w:sz w:val="22"/>
        </w:rPr>
        <w:t xml:space="preserve"> v </w:t>
      </w:r>
      <w:r>
        <w:rPr>
          <w:rStyle w:val="normaltextrun"/>
          <w:rFonts w:ascii="Calibri" w:hAnsi="Calibri" w:cs="Calibri"/>
          <w:color w:val="000000" w:themeColor="text1"/>
          <w:sz w:val="22"/>
        </w:rPr>
        <w:t>rámci mobility mezi akademiky</w:t>
      </w:r>
      <w:r w:rsidR="009B66B5">
        <w:rPr>
          <w:rStyle w:val="normaltextrun"/>
          <w:rFonts w:ascii="Calibri" w:hAnsi="Calibri" w:cs="Calibri"/>
          <w:color w:val="000000" w:themeColor="text1"/>
          <w:sz w:val="22"/>
        </w:rPr>
        <w:t xml:space="preserve"> a </w:t>
      </w:r>
      <w:r>
        <w:rPr>
          <w:rStyle w:val="normaltextrun"/>
          <w:rFonts w:ascii="Calibri" w:hAnsi="Calibri" w:cs="Calibri"/>
          <w:color w:val="000000" w:themeColor="text1"/>
          <w:sz w:val="22"/>
        </w:rPr>
        <w:t>akademičkami</w:t>
      </w:r>
      <w:r w:rsidR="009B66B5">
        <w:rPr>
          <w:rStyle w:val="normaltextrun"/>
          <w:rFonts w:ascii="Calibri" w:hAnsi="Calibri" w:cs="Calibri"/>
          <w:color w:val="000000" w:themeColor="text1"/>
          <w:sz w:val="22"/>
        </w:rPr>
        <w:t xml:space="preserve"> v </w:t>
      </w:r>
      <w:r>
        <w:rPr>
          <w:rStyle w:val="normaltextrun"/>
          <w:rFonts w:ascii="Calibri" w:hAnsi="Calibri" w:cs="Calibri"/>
          <w:color w:val="000000" w:themeColor="text1"/>
          <w:sz w:val="22"/>
        </w:rPr>
        <w:t>technických vědách. Šetření též zjišťovalo důvody nemobility. Zatímco muži na prvním místě uvedli pracovní závazky, které jim nedovolují vyjet do zahraničí (u žen byl tento důvod až na čtvrtém místě), ženy na prvním místě uvedly péči</w:t>
      </w:r>
      <w:r w:rsidR="009B66B5">
        <w:rPr>
          <w:rStyle w:val="normaltextrun"/>
          <w:rFonts w:ascii="Calibri" w:hAnsi="Calibri" w:cs="Calibri"/>
          <w:color w:val="000000" w:themeColor="text1"/>
          <w:sz w:val="22"/>
        </w:rPr>
        <w:t xml:space="preserve"> o </w:t>
      </w:r>
      <w:r>
        <w:rPr>
          <w:rStyle w:val="normaltextrun"/>
          <w:rFonts w:ascii="Calibri" w:hAnsi="Calibri" w:cs="Calibri"/>
          <w:color w:val="000000" w:themeColor="text1"/>
          <w:sz w:val="22"/>
        </w:rPr>
        <w:t>děti (u mužů byl tento důvod na pátém místě, přičemž ho uvedlo 18,7 % mužů</w:t>
      </w:r>
      <w:r w:rsidR="009B66B5">
        <w:rPr>
          <w:rStyle w:val="normaltextrun"/>
          <w:rFonts w:ascii="Calibri" w:hAnsi="Calibri" w:cs="Calibri"/>
          <w:color w:val="000000" w:themeColor="text1"/>
          <w:sz w:val="22"/>
        </w:rPr>
        <w:t xml:space="preserve"> a </w:t>
      </w:r>
      <w:r>
        <w:rPr>
          <w:rStyle w:val="normaltextrun"/>
          <w:rFonts w:ascii="Calibri" w:hAnsi="Calibri" w:cs="Calibri"/>
          <w:color w:val="000000" w:themeColor="text1"/>
          <w:sz w:val="22"/>
        </w:rPr>
        <w:t>37,5 % žen). Z důvodu péče</w:t>
      </w:r>
      <w:r w:rsidR="009B66B5">
        <w:rPr>
          <w:rStyle w:val="normaltextrun"/>
          <w:rFonts w:ascii="Calibri" w:hAnsi="Calibri" w:cs="Calibri"/>
          <w:color w:val="000000" w:themeColor="text1"/>
          <w:sz w:val="22"/>
        </w:rPr>
        <w:t xml:space="preserve"> o </w:t>
      </w:r>
      <w:r>
        <w:rPr>
          <w:rStyle w:val="normaltextrun"/>
          <w:rFonts w:ascii="Calibri" w:hAnsi="Calibri" w:cs="Calibri"/>
          <w:color w:val="000000" w:themeColor="text1"/>
          <w:sz w:val="22"/>
        </w:rPr>
        <w:t>dalšího člena rodiny se pak rozhodlo nevyužít mobility 11,2 % žen</w:t>
      </w:r>
      <w:r w:rsidR="009B66B5">
        <w:rPr>
          <w:rStyle w:val="normaltextrun"/>
          <w:rFonts w:ascii="Calibri" w:hAnsi="Calibri" w:cs="Calibri"/>
          <w:color w:val="000000" w:themeColor="text1"/>
          <w:sz w:val="22"/>
        </w:rPr>
        <w:t xml:space="preserve"> a </w:t>
      </w:r>
      <w:r>
        <w:rPr>
          <w:rStyle w:val="normaltextrun"/>
          <w:rFonts w:ascii="Calibri" w:hAnsi="Calibri" w:cs="Calibri"/>
          <w:color w:val="000000" w:themeColor="text1"/>
          <w:sz w:val="22"/>
        </w:rPr>
        <w:t>3,4 % mužů.</w:t>
      </w:r>
    </w:p>
    <w:p w14:paraId="55C2E611" w14:textId="77777777" w:rsidR="00BA25C2" w:rsidRDefault="00BA25C2" w:rsidP="00BA25C2">
      <w:pPr>
        <w:rPr>
          <w:rFonts w:cstheme="minorHAnsi"/>
          <w:color w:val="000000" w:themeColor="text1"/>
        </w:rPr>
      </w:pPr>
      <w:r>
        <w:rPr>
          <w:rStyle w:val="normaltextrun"/>
          <w:rFonts w:cs="Calibri"/>
          <w:color w:val="000000" w:themeColor="text1"/>
        </w:rPr>
        <w:t>Mobilita není komplikovanou otázkou vědkyň pouze</w:t>
      </w:r>
      <w:r w:rsidR="009B66B5">
        <w:rPr>
          <w:rStyle w:val="normaltextrun"/>
          <w:rFonts w:cs="Calibri"/>
          <w:color w:val="000000" w:themeColor="text1"/>
        </w:rPr>
        <w:t xml:space="preserve"> z </w:t>
      </w:r>
      <w:r>
        <w:rPr>
          <w:rStyle w:val="normaltextrun"/>
          <w:rFonts w:cs="Calibri"/>
          <w:color w:val="000000" w:themeColor="text1"/>
        </w:rPr>
        <w:t>důvodu nemožnosti sladit osobní</w:t>
      </w:r>
      <w:r w:rsidR="009B66B5">
        <w:rPr>
          <w:rStyle w:val="normaltextrun"/>
          <w:rFonts w:cs="Calibri"/>
          <w:color w:val="000000" w:themeColor="text1"/>
        </w:rPr>
        <w:t xml:space="preserve"> a </w:t>
      </w:r>
      <w:r>
        <w:rPr>
          <w:rStyle w:val="normaltextrun"/>
          <w:rFonts w:cs="Calibri"/>
          <w:color w:val="000000" w:themeColor="text1"/>
        </w:rPr>
        <w:t>pracovní život. Jedná se zde také</w:t>
      </w:r>
      <w:r w:rsidR="009B66B5">
        <w:rPr>
          <w:rStyle w:val="normaltextrun"/>
          <w:rFonts w:cs="Calibri"/>
          <w:color w:val="000000" w:themeColor="text1"/>
        </w:rPr>
        <w:t xml:space="preserve"> o </w:t>
      </w:r>
      <w:r>
        <w:rPr>
          <w:rStyle w:val="normaltextrun"/>
          <w:rFonts w:cs="Calibri"/>
          <w:color w:val="000000" w:themeColor="text1"/>
        </w:rPr>
        <w:t>sociální zabezpečení</w:t>
      </w:r>
      <w:r w:rsidR="009B66B5">
        <w:rPr>
          <w:rStyle w:val="normaltextrun"/>
          <w:rFonts w:cs="Calibri"/>
          <w:color w:val="000000" w:themeColor="text1"/>
        </w:rPr>
        <w:t xml:space="preserve"> a </w:t>
      </w:r>
      <w:r>
        <w:rPr>
          <w:rStyle w:val="normaltextrun"/>
          <w:rFonts w:cs="Calibri"/>
          <w:color w:val="000000" w:themeColor="text1"/>
        </w:rPr>
        <w:t>nastavení sociálních dávek spojených</w:t>
      </w:r>
      <w:r w:rsidR="009B66B5">
        <w:rPr>
          <w:rStyle w:val="normaltextrun"/>
          <w:rFonts w:cs="Calibri"/>
          <w:color w:val="000000" w:themeColor="text1"/>
        </w:rPr>
        <w:t xml:space="preserve"> s </w:t>
      </w:r>
      <w:r>
        <w:rPr>
          <w:rStyle w:val="normaltextrun"/>
          <w:rFonts w:cs="Calibri"/>
          <w:color w:val="000000" w:themeColor="text1"/>
        </w:rPr>
        <w:t>rodičovstvím, na který má mobilita vliv.. Tato problematika je velmi komplexní, n</w:t>
      </w:r>
      <w:r w:rsidRPr="004B0688">
        <w:rPr>
          <w:rStyle w:val="normaltextrun"/>
          <w:rFonts w:cs="Calibri"/>
          <w:color w:val="000000" w:themeColor="text1"/>
        </w:rPr>
        <w:t>astavení dávek</w:t>
      </w:r>
      <w:r w:rsidR="009B66B5">
        <w:rPr>
          <w:rStyle w:val="normaltextrun"/>
          <w:rFonts w:cs="Calibri"/>
          <w:color w:val="000000" w:themeColor="text1"/>
        </w:rPr>
        <w:t xml:space="preserve"> a </w:t>
      </w:r>
      <w:r w:rsidRPr="004B0688">
        <w:rPr>
          <w:rStyle w:val="normaltextrun"/>
          <w:rFonts w:cs="Calibri"/>
          <w:color w:val="000000" w:themeColor="text1"/>
        </w:rPr>
        <w:t>nároků souvisejících</w:t>
      </w:r>
      <w:r w:rsidR="009B66B5">
        <w:rPr>
          <w:rStyle w:val="normaltextrun"/>
          <w:rFonts w:cs="Calibri"/>
          <w:color w:val="000000" w:themeColor="text1"/>
        </w:rPr>
        <w:t xml:space="preserve"> s </w:t>
      </w:r>
      <w:r w:rsidRPr="004B0688">
        <w:rPr>
          <w:rStyle w:val="normaltextrun"/>
          <w:rFonts w:cs="Calibri"/>
          <w:color w:val="000000" w:themeColor="text1"/>
        </w:rPr>
        <w:t>rodičovstvím se různí podle statusu osoby, charakteru</w:t>
      </w:r>
      <w:r w:rsidR="009B66B5">
        <w:rPr>
          <w:rStyle w:val="normaltextrun"/>
          <w:rFonts w:cs="Calibri"/>
          <w:color w:val="000000" w:themeColor="text1"/>
        </w:rPr>
        <w:t xml:space="preserve"> a </w:t>
      </w:r>
      <w:r w:rsidRPr="004B0688">
        <w:rPr>
          <w:rStyle w:val="normaltextrun"/>
          <w:rFonts w:cs="Calibri"/>
          <w:color w:val="000000" w:themeColor="text1"/>
        </w:rPr>
        <w:t>délky pobytu</w:t>
      </w:r>
      <w:r w:rsidR="009B66B5">
        <w:rPr>
          <w:rStyle w:val="normaltextrun"/>
          <w:rFonts w:cs="Calibri"/>
          <w:color w:val="000000" w:themeColor="text1"/>
        </w:rPr>
        <w:t xml:space="preserve"> i </w:t>
      </w:r>
      <w:r w:rsidRPr="004B0688">
        <w:rPr>
          <w:rStyle w:val="normaltextrun"/>
          <w:rFonts w:cs="Calibri"/>
          <w:color w:val="000000" w:themeColor="text1"/>
        </w:rPr>
        <w:t>místa, kam se vydává. Jde napříkla</w:t>
      </w:r>
      <w:r>
        <w:rPr>
          <w:rStyle w:val="normaltextrun"/>
          <w:rFonts w:cs="Calibri"/>
          <w:color w:val="000000" w:themeColor="text1"/>
        </w:rPr>
        <w:t>d</w:t>
      </w:r>
      <w:r w:rsidR="009B66B5">
        <w:rPr>
          <w:rStyle w:val="normaltextrun"/>
          <w:rFonts w:cs="Calibri"/>
          <w:color w:val="000000" w:themeColor="text1"/>
        </w:rPr>
        <w:t xml:space="preserve"> o </w:t>
      </w:r>
      <w:r>
        <w:rPr>
          <w:rStyle w:val="normaltextrun"/>
          <w:rFonts w:cs="Calibri"/>
          <w:color w:val="000000" w:themeColor="text1"/>
        </w:rPr>
        <w:t>odjíždějící osoby, které</w:t>
      </w:r>
      <w:r w:rsidR="009B66B5">
        <w:rPr>
          <w:rStyle w:val="normaltextrun"/>
          <w:rFonts w:cs="Calibri"/>
          <w:color w:val="000000" w:themeColor="text1"/>
        </w:rPr>
        <w:t xml:space="preserve"> v </w:t>
      </w:r>
      <w:r>
        <w:rPr>
          <w:rStyle w:val="normaltextrun"/>
          <w:rFonts w:cs="Calibri"/>
          <w:color w:val="000000" w:themeColor="text1"/>
        </w:rPr>
        <w:t>ČR</w:t>
      </w:r>
      <w:r w:rsidRPr="004B0688">
        <w:rPr>
          <w:rStyle w:val="normaltextrun"/>
          <w:rFonts w:cs="Calibri"/>
          <w:color w:val="000000" w:themeColor="text1"/>
        </w:rPr>
        <w:t xml:space="preserve"> buď studují, nebo pracují (v případě studujících</w:t>
      </w:r>
      <w:r w:rsidR="009B66B5">
        <w:rPr>
          <w:rStyle w:val="normaltextrun"/>
          <w:rFonts w:cs="Calibri"/>
          <w:color w:val="000000" w:themeColor="text1"/>
        </w:rPr>
        <w:t xml:space="preserve"> a </w:t>
      </w:r>
      <w:r w:rsidRPr="004B0688">
        <w:rPr>
          <w:rStyle w:val="normaltextrun"/>
          <w:rFonts w:cs="Calibri"/>
          <w:color w:val="000000" w:themeColor="text1"/>
        </w:rPr>
        <w:t>doktorandů</w:t>
      </w:r>
      <w:r w:rsidR="009B66B5">
        <w:rPr>
          <w:rStyle w:val="normaltextrun"/>
          <w:rFonts w:cs="Calibri"/>
          <w:color w:val="000000" w:themeColor="text1"/>
        </w:rPr>
        <w:t xml:space="preserve"> a </w:t>
      </w:r>
      <w:r w:rsidRPr="004B0688">
        <w:rPr>
          <w:rStyle w:val="normaltextrun"/>
          <w:rFonts w:cs="Calibri"/>
          <w:color w:val="000000" w:themeColor="text1"/>
        </w:rPr>
        <w:t>doktoran</w:t>
      </w:r>
      <w:r w:rsidR="006342E2">
        <w:rPr>
          <w:rStyle w:val="normaltextrun"/>
          <w:rFonts w:cs="Calibri"/>
          <w:color w:val="000000" w:themeColor="text1"/>
        </w:rPr>
        <w:t>dek pobírají stipendium)</w:t>
      </w:r>
      <w:r w:rsidR="009B66B5">
        <w:rPr>
          <w:rStyle w:val="normaltextrun"/>
          <w:rFonts w:cs="Calibri"/>
          <w:color w:val="000000" w:themeColor="text1"/>
        </w:rPr>
        <w:t xml:space="preserve"> a </w:t>
      </w:r>
      <w:r w:rsidR="006342E2">
        <w:rPr>
          <w:rStyle w:val="normaltextrun"/>
          <w:rFonts w:cs="Calibri"/>
          <w:color w:val="000000" w:themeColor="text1"/>
        </w:rPr>
        <w:t>které</w:t>
      </w:r>
      <w:r w:rsidRPr="004B0688">
        <w:rPr>
          <w:rStyle w:val="normaltextrun"/>
          <w:rFonts w:cs="Calibri"/>
          <w:color w:val="000000" w:themeColor="text1"/>
        </w:rPr>
        <w:t xml:space="preserve"> odjíždějí do zahraniční (do EU či do třetí země) na různě dlouhou dobu (krátkodobé či dlouhodobé zahraniční stáže či pracovní výjezdy)</w:t>
      </w:r>
      <w:r w:rsidR="009B66B5">
        <w:rPr>
          <w:rStyle w:val="normaltextrun"/>
          <w:rFonts w:cs="Calibri"/>
          <w:color w:val="000000" w:themeColor="text1"/>
        </w:rPr>
        <w:t xml:space="preserve"> s </w:t>
      </w:r>
      <w:r w:rsidRPr="004B0688">
        <w:rPr>
          <w:rStyle w:val="normaltextrun"/>
          <w:rFonts w:cs="Calibri"/>
          <w:color w:val="000000" w:themeColor="text1"/>
        </w:rPr>
        <w:t>pracovní smlouvou či bez pracovní</w:t>
      </w:r>
      <w:r>
        <w:rPr>
          <w:rStyle w:val="normaltextrun"/>
          <w:rFonts w:cs="Calibri"/>
          <w:color w:val="000000" w:themeColor="text1"/>
        </w:rPr>
        <w:t xml:space="preserve"> smlouvy (vyslání)</w:t>
      </w:r>
      <w:r w:rsidR="009B66B5">
        <w:rPr>
          <w:rStyle w:val="normaltextrun"/>
          <w:rFonts w:cs="Calibri"/>
          <w:color w:val="000000" w:themeColor="text1"/>
        </w:rPr>
        <w:t xml:space="preserve"> v </w:t>
      </w:r>
      <w:r>
        <w:rPr>
          <w:rStyle w:val="normaltextrun"/>
          <w:rFonts w:cs="Calibri"/>
          <w:color w:val="000000" w:themeColor="text1"/>
        </w:rPr>
        <w:t>cílové zemi</w:t>
      </w:r>
      <w:r w:rsidRPr="004B0688">
        <w:rPr>
          <w:rStyle w:val="normaltextrun"/>
          <w:rFonts w:cs="Calibri"/>
          <w:color w:val="000000" w:themeColor="text1"/>
        </w:rPr>
        <w:t>. Pravidla pro vyplácení rodičovského příspěvku jsou složitá</w:t>
      </w:r>
      <w:r w:rsidR="009B66B5">
        <w:rPr>
          <w:rStyle w:val="normaltextrun"/>
          <w:rFonts w:cs="Calibri"/>
          <w:color w:val="000000" w:themeColor="text1"/>
        </w:rPr>
        <w:t xml:space="preserve"> a </w:t>
      </w:r>
      <w:r w:rsidRPr="004B0688">
        <w:rPr>
          <w:rStyle w:val="normaltextrun"/>
          <w:rFonts w:cs="Calibri"/>
          <w:color w:val="000000" w:themeColor="text1"/>
        </w:rPr>
        <w:t>je těžké je nejen vyhledat</w:t>
      </w:r>
      <w:r w:rsidR="006342E2">
        <w:rPr>
          <w:rStyle w:val="normaltextrun"/>
          <w:rFonts w:cs="Calibri"/>
          <w:color w:val="000000" w:themeColor="text1"/>
        </w:rPr>
        <w:t>,</w:t>
      </w:r>
      <w:r w:rsidRPr="004B0688">
        <w:rPr>
          <w:rStyle w:val="normaltextrun"/>
          <w:rFonts w:cs="Calibri"/>
          <w:color w:val="000000" w:themeColor="text1"/>
        </w:rPr>
        <w:t xml:space="preserve"> ale také se</w:t>
      </w:r>
      <w:r w:rsidR="009B66B5">
        <w:rPr>
          <w:rStyle w:val="normaltextrun"/>
          <w:rFonts w:cs="Calibri"/>
          <w:color w:val="000000" w:themeColor="text1"/>
        </w:rPr>
        <w:t xml:space="preserve"> v </w:t>
      </w:r>
      <w:r w:rsidRPr="004B0688">
        <w:rPr>
          <w:rStyle w:val="normaltextrun"/>
          <w:rFonts w:cs="Calibri"/>
          <w:color w:val="000000" w:themeColor="text1"/>
        </w:rPr>
        <w:t>nich vyznat.</w:t>
      </w:r>
      <w:r>
        <w:rPr>
          <w:rStyle w:val="normaltextrun"/>
          <w:rFonts w:cs="Calibri"/>
          <w:color w:val="000000" w:themeColor="text1"/>
        </w:rPr>
        <w:t xml:space="preserve"> </w:t>
      </w:r>
      <w:bookmarkStart w:id="16" w:name="_Hlk100130456"/>
      <w:r w:rsidRPr="004B0688">
        <w:rPr>
          <w:rFonts w:cstheme="minorHAnsi"/>
          <w:color w:val="000000" w:themeColor="text1"/>
        </w:rPr>
        <w:t>V </w:t>
      </w:r>
      <w:r w:rsidR="00B32567">
        <w:rPr>
          <w:rFonts w:cstheme="minorHAnsi"/>
          <w:color w:val="000000" w:themeColor="text1"/>
          <w:highlight w:val="white"/>
        </w:rPr>
        <w:t>ČR</w:t>
      </w:r>
      <w:r w:rsidRPr="004B0688">
        <w:rPr>
          <w:rFonts w:cstheme="minorHAnsi"/>
          <w:color w:val="000000" w:themeColor="text1"/>
          <w:highlight w:val="white"/>
        </w:rPr>
        <w:t xml:space="preserve"> se této problematice, příchozím vědcům</w:t>
      </w:r>
      <w:r w:rsidR="009B66B5">
        <w:rPr>
          <w:rFonts w:cstheme="minorHAnsi"/>
          <w:color w:val="000000" w:themeColor="text1"/>
          <w:highlight w:val="white"/>
        </w:rPr>
        <w:t xml:space="preserve"> a </w:t>
      </w:r>
      <w:r w:rsidRPr="004B0688">
        <w:rPr>
          <w:rFonts w:cstheme="minorHAnsi"/>
          <w:color w:val="000000" w:themeColor="text1"/>
          <w:highlight w:val="white"/>
        </w:rPr>
        <w:t xml:space="preserve">vědkyním či obecněji vědecké mobilitě věnují například </w:t>
      </w:r>
      <w:r w:rsidRPr="004B0688">
        <w:rPr>
          <w:rFonts w:cstheme="minorHAnsi"/>
          <w:color w:val="000000" w:themeColor="text1"/>
        </w:rPr>
        <w:t xml:space="preserve">EURAXESS Česká republika </w:t>
      </w:r>
      <w:r w:rsidRPr="004B0688">
        <w:rPr>
          <w:rStyle w:val="Znakapoznpodarou"/>
          <w:rFonts w:cstheme="minorHAnsi"/>
          <w:color w:val="000000" w:themeColor="text1"/>
          <w:highlight w:val="white"/>
        </w:rPr>
        <w:footnoteReference w:id="11"/>
      </w:r>
      <w:r w:rsidRPr="004B0688">
        <w:rPr>
          <w:rFonts w:cstheme="minorHAnsi"/>
          <w:color w:val="000000" w:themeColor="text1"/>
          <w:highlight w:val="white"/>
        </w:rPr>
        <w:t xml:space="preserve"> či </w:t>
      </w:r>
      <w:r w:rsidR="00B32567">
        <w:rPr>
          <w:rFonts w:cstheme="minorHAnsi"/>
          <w:color w:val="000000" w:themeColor="text1"/>
          <w:highlight w:val="white"/>
        </w:rPr>
        <w:t>Vysoká škola chemicko-technologická</w:t>
      </w:r>
      <w:r w:rsidR="009B66B5">
        <w:rPr>
          <w:rFonts w:cstheme="minorHAnsi"/>
          <w:color w:val="000000" w:themeColor="text1"/>
          <w:highlight w:val="white"/>
        </w:rPr>
        <w:t xml:space="preserve"> v </w:t>
      </w:r>
      <w:r w:rsidR="00B32567">
        <w:rPr>
          <w:rFonts w:cstheme="minorHAnsi"/>
          <w:color w:val="000000" w:themeColor="text1"/>
          <w:highlight w:val="white"/>
        </w:rPr>
        <w:t>Praze</w:t>
      </w:r>
      <w:r w:rsidRPr="004B0688">
        <w:rPr>
          <w:rFonts w:cstheme="minorHAnsi"/>
          <w:color w:val="000000" w:themeColor="text1"/>
          <w:highlight w:val="white"/>
        </w:rPr>
        <w:t>,</w:t>
      </w:r>
      <w:r w:rsidRPr="004B0688">
        <w:rPr>
          <w:rStyle w:val="Znakapoznpodarou"/>
          <w:rFonts w:cstheme="minorHAnsi"/>
          <w:color w:val="000000" w:themeColor="text1"/>
          <w:highlight w:val="white"/>
        </w:rPr>
        <w:footnoteReference w:id="12"/>
      </w:r>
      <w:bookmarkEnd w:id="16"/>
      <w:r w:rsidRPr="004B0688">
        <w:rPr>
          <w:rFonts w:cstheme="minorHAnsi"/>
          <w:color w:val="000000" w:themeColor="text1"/>
          <w:highlight w:val="white"/>
        </w:rPr>
        <w:t xml:space="preserve"> řada institucí pak má vlastní </w:t>
      </w:r>
      <w:r w:rsidR="006342E2">
        <w:rPr>
          <w:rFonts w:cstheme="minorHAnsi"/>
          <w:color w:val="000000" w:themeColor="text1"/>
          <w:highlight w:val="white"/>
        </w:rPr>
        <w:t>„w</w:t>
      </w:r>
      <w:r>
        <w:rPr>
          <w:rFonts w:cstheme="minorHAnsi"/>
          <w:color w:val="000000" w:themeColor="text1"/>
          <w:highlight w:val="white"/>
        </w:rPr>
        <w:t>elcome centra</w:t>
      </w:r>
      <w:r w:rsidR="006342E2">
        <w:rPr>
          <w:rFonts w:cstheme="minorHAnsi"/>
          <w:color w:val="000000" w:themeColor="text1"/>
          <w:highlight w:val="white"/>
        </w:rPr>
        <w:t>“</w:t>
      </w:r>
      <w:r>
        <w:rPr>
          <w:rFonts w:cstheme="minorHAnsi"/>
          <w:color w:val="000000" w:themeColor="text1"/>
          <w:highlight w:val="white"/>
        </w:rPr>
        <w:t>, vědci</w:t>
      </w:r>
      <w:r w:rsidR="009B66B5">
        <w:rPr>
          <w:rFonts w:cstheme="minorHAnsi"/>
          <w:color w:val="000000" w:themeColor="text1"/>
          <w:highlight w:val="white"/>
        </w:rPr>
        <w:t xml:space="preserve"> a </w:t>
      </w:r>
      <w:r>
        <w:rPr>
          <w:rFonts w:cstheme="minorHAnsi"/>
          <w:color w:val="000000" w:themeColor="text1"/>
          <w:highlight w:val="white"/>
        </w:rPr>
        <w:t>vědkyně al</w:t>
      </w:r>
      <w:r w:rsidR="006342E2">
        <w:rPr>
          <w:rFonts w:cstheme="minorHAnsi"/>
          <w:color w:val="000000" w:themeColor="text1"/>
          <w:highlight w:val="white"/>
        </w:rPr>
        <w:t>e často</w:t>
      </w:r>
      <w:r w:rsidR="009B66B5">
        <w:rPr>
          <w:rFonts w:cstheme="minorHAnsi"/>
          <w:color w:val="000000" w:themeColor="text1"/>
          <w:highlight w:val="white"/>
        </w:rPr>
        <w:t xml:space="preserve"> o </w:t>
      </w:r>
      <w:r w:rsidR="006342E2">
        <w:rPr>
          <w:rFonts w:cstheme="minorHAnsi"/>
          <w:color w:val="000000" w:themeColor="text1"/>
          <w:highlight w:val="white"/>
        </w:rPr>
        <w:t>těchto možnostech nevědí</w:t>
      </w:r>
      <w:r>
        <w:rPr>
          <w:rFonts w:cstheme="minorHAnsi"/>
          <w:color w:val="000000" w:themeColor="text1"/>
          <w:highlight w:val="white"/>
        </w:rPr>
        <w:t>.</w:t>
      </w:r>
      <w:r w:rsidRPr="004B0688">
        <w:rPr>
          <w:rFonts w:cstheme="minorHAnsi"/>
          <w:color w:val="000000" w:themeColor="text1"/>
          <w:highlight w:val="white"/>
        </w:rPr>
        <w:t xml:space="preserve"> </w:t>
      </w:r>
      <w:bookmarkStart w:id="17" w:name="_Hlk100925073"/>
      <w:r>
        <w:rPr>
          <w:rFonts w:cstheme="minorHAnsi"/>
          <w:color w:val="000000" w:themeColor="text1"/>
        </w:rPr>
        <w:t>Řešení sociálních</w:t>
      </w:r>
      <w:r w:rsidR="009B66B5">
        <w:rPr>
          <w:rFonts w:cstheme="minorHAnsi"/>
          <w:color w:val="000000" w:themeColor="text1"/>
        </w:rPr>
        <w:t xml:space="preserve"> a </w:t>
      </w:r>
      <w:r>
        <w:rPr>
          <w:rFonts w:cstheme="minorHAnsi"/>
          <w:color w:val="000000" w:themeColor="text1"/>
        </w:rPr>
        <w:t>daňových záležitostí migrujících osob je velmi náročná práce</w:t>
      </w:r>
      <w:r w:rsidRPr="004B0688">
        <w:rPr>
          <w:rFonts w:cstheme="minorHAnsi"/>
          <w:color w:val="000000" w:themeColor="text1"/>
        </w:rPr>
        <w:t xml:space="preserve"> nejen časově, ale také co do znalosti příslušných zákonů</w:t>
      </w:r>
      <w:r w:rsidR="009B66B5">
        <w:rPr>
          <w:rFonts w:cstheme="minorHAnsi"/>
          <w:color w:val="000000" w:themeColor="text1"/>
        </w:rPr>
        <w:t xml:space="preserve"> a </w:t>
      </w:r>
      <w:r w:rsidRPr="004B0688">
        <w:rPr>
          <w:rFonts w:cstheme="minorHAnsi"/>
          <w:color w:val="000000" w:themeColor="text1"/>
        </w:rPr>
        <w:t>principů</w:t>
      </w:r>
      <w:r>
        <w:rPr>
          <w:rFonts w:cstheme="minorHAnsi"/>
          <w:color w:val="000000" w:themeColor="text1"/>
        </w:rPr>
        <w:t xml:space="preserve">. </w:t>
      </w:r>
      <w:r w:rsidRPr="004B0688">
        <w:rPr>
          <w:rFonts w:cstheme="minorHAnsi"/>
          <w:color w:val="000000" w:themeColor="text1"/>
        </w:rPr>
        <w:t>Praxe ukazuje, že</w:t>
      </w:r>
      <w:r w:rsidR="009B66B5">
        <w:rPr>
          <w:rFonts w:cstheme="minorHAnsi"/>
          <w:color w:val="000000" w:themeColor="text1"/>
        </w:rPr>
        <w:t xml:space="preserve"> i </w:t>
      </w:r>
      <w:r w:rsidRPr="004B0688">
        <w:rPr>
          <w:rFonts w:cstheme="minorHAnsi"/>
          <w:color w:val="000000" w:themeColor="text1"/>
        </w:rPr>
        <w:t xml:space="preserve">na zahraničních přijímajících institucích chybí specialisté na agendu mezinárodního práva. </w:t>
      </w:r>
      <w:bookmarkEnd w:id="17"/>
      <w:r w:rsidRPr="004B0688">
        <w:rPr>
          <w:rFonts w:cstheme="minorHAnsi"/>
          <w:color w:val="000000" w:themeColor="text1"/>
        </w:rPr>
        <w:t xml:space="preserve">Mezinárodním zaměstnáváním se zabývají nadnárodní poradenské firmy, jejichž služby jsou ale </w:t>
      </w:r>
      <w:r w:rsidR="00B32567">
        <w:rPr>
          <w:rFonts w:cstheme="minorHAnsi"/>
          <w:color w:val="000000" w:themeColor="text1"/>
        </w:rPr>
        <w:t>finančně nákladné</w:t>
      </w:r>
      <w:r w:rsidR="009B66B5">
        <w:rPr>
          <w:rFonts w:cstheme="minorHAnsi"/>
          <w:color w:val="000000" w:themeColor="text1"/>
        </w:rPr>
        <w:t xml:space="preserve"> a </w:t>
      </w:r>
      <w:r w:rsidRPr="004B0688">
        <w:rPr>
          <w:rFonts w:cstheme="minorHAnsi"/>
          <w:color w:val="000000" w:themeColor="text1"/>
        </w:rPr>
        <w:t>pro začínající vědkyně</w:t>
      </w:r>
      <w:r w:rsidR="009B66B5">
        <w:rPr>
          <w:rFonts w:cstheme="minorHAnsi"/>
          <w:color w:val="000000" w:themeColor="text1"/>
        </w:rPr>
        <w:t xml:space="preserve"> a </w:t>
      </w:r>
      <w:r w:rsidRPr="004B0688">
        <w:rPr>
          <w:rFonts w:cstheme="minorHAnsi"/>
          <w:color w:val="000000" w:themeColor="text1"/>
        </w:rPr>
        <w:t>vědce nedostupné.</w:t>
      </w:r>
      <w:r w:rsidRPr="004B0688">
        <w:rPr>
          <w:rStyle w:val="Znakapoznpodarou"/>
          <w:rFonts w:cstheme="minorHAnsi"/>
          <w:color w:val="000000" w:themeColor="text1"/>
        </w:rPr>
        <w:footnoteReference w:id="13"/>
      </w:r>
    </w:p>
    <w:p w14:paraId="5A3656D4" w14:textId="77777777" w:rsidR="00BA25C2" w:rsidRPr="005515AB" w:rsidRDefault="00BA25C2" w:rsidP="005515AB">
      <w:pPr>
        <w:pStyle w:val="Nadpis3"/>
      </w:pPr>
      <w:bookmarkStart w:id="18" w:name="_Toc114572314"/>
      <w:r w:rsidRPr="005515AB">
        <w:t>Síťování</w:t>
      </w:r>
      <w:bookmarkEnd w:id="18"/>
    </w:p>
    <w:p w14:paraId="71ADF654" w14:textId="77777777" w:rsidR="00BA25C2" w:rsidRPr="005E1F6D" w:rsidRDefault="00BA25C2" w:rsidP="00BA25C2">
      <w:pPr>
        <w:pStyle w:val="paragraph"/>
        <w:spacing w:before="0" w:beforeAutospacing="0" w:after="0" w:afterAutospacing="0"/>
        <w:jc w:val="both"/>
        <w:textAlignment w:val="baseline"/>
        <w:rPr>
          <w:rStyle w:val="normaltextrun"/>
          <w:rFonts w:ascii="Calibri" w:hAnsi="Calibri" w:cs="Calibri"/>
          <w:bCs/>
          <w:color w:val="000000" w:themeColor="text1"/>
          <w:sz w:val="22"/>
        </w:rPr>
      </w:pPr>
      <w:r>
        <w:rPr>
          <w:rStyle w:val="normaltextrun"/>
          <w:rFonts w:ascii="Calibri" w:hAnsi="Calibri" w:cs="Calibri"/>
          <w:color w:val="000000" w:themeColor="text1"/>
          <w:sz w:val="22"/>
        </w:rPr>
        <w:t>Vlastní síť kontaktů, především zahraničních, je pro vědce/</w:t>
      </w:r>
      <w:r w:rsidR="006342E2">
        <w:rPr>
          <w:rStyle w:val="normaltextrun"/>
          <w:rFonts w:ascii="Calibri" w:hAnsi="Calibri" w:cs="Calibri"/>
          <w:color w:val="000000" w:themeColor="text1"/>
          <w:sz w:val="22"/>
        </w:rPr>
        <w:t>věd</w:t>
      </w:r>
      <w:r>
        <w:rPr>
          <w:rStyle w:val="normaltextrun"/>
          <w:rFonts w:ascii="Calibri" w:hAnsi="Calibri" w:cs="Calibri"/>
          <w:color w:val="000000" w:themeColor="text1"/>
          <w:sz w:val="22"/>
        </w:rPr>
        <w:t xml:space="preserve">kyně velice důležitým nástrojem pro kvalitní výsledky ve </w:t>
      </w:r>
      <w:r w:rsidR="00D1688B">
        <w:rPr>
          <w:rStyle w:val="normaltextrun"/>
          <w:rFonts w:ascii="Calibri" w:hAnsi="Calibri" w:cs="Calibri"/>
          <w:color w:val="000000" w:themeColor="text1"/>
          <w:sz w:val="22"/>
        </w:rPr>
        <w:t>VaVaI</w:t>
      </w:r>
      <w:r w:rsidR="009B66B5">
        <w:rPr>
          <w:rStyle w:val="normaltextrun"/>
          <w:rFonts w:ascii="Calibri" w:hAnsi="Calibri" w:cs="Calibri"/>
          <w:color w:val="000000" w:themeColor="text1"/>
          <w:sz w:val="22"/>
        </w:rPr>
        <w:t xml:space="preserve"> a </w:t>
      </w:r>
      <w:r>
        <w:rPr>
          <w:rStyle w:val="normaltextrun"/>
          <w:rFonts w:ascii="Calibri" w:hAnsi="Calibri" w:cs="Calibri"/>
          <w:color w:val="000000" w:themeColor="text1"/>
          <w:sz w:val="22"/>
        </w:rPr>
        <w:t>je zároveň také výhodou</w:t>
      </w:r>
      <w:r w:rsidR="009B66B5">
        <w:rPr>
          <w:rStyle w:val="normaltextrun"/>
          <w:rFonts w:ascii="Calibri" w:hAnsi="Calibri" w:cs="Calibri"/>
          <w:color w:val="000000" w:themeColor="text1"/>
          <w:sz w:val="22"/>
        </w:rPr>
        <w:t xml:space="preserve"> v </w:t>
      </w:r>
      <w:r>
        <w:rPr>
          <w:rStyle w:val="normaltextrun"/>
          <w:rFonts w:ascii="Calibri" w:hAnsi="Calibri" w:cs="Calibri"/>
          <w:color w:val="000000" w:themeColor="text1"/>
          <w:sz w:val="22"/>
        </w:rPr>
        <w:t xml:space="preserve">případě např. právě zahraničních stáží či hledání mezinárodních zdrojů pro financování </w:t>
      </w:r>
      <w:r w:rsidR="00D1688B">
        <w:rPr>
          <w:rStyle w:val="normaltextrun"/>
          <w:rFonts w:ascii="Calibri" w:hAnsi="Calibri" w:cs="Calibri"/>
          <w:color w:val="000000" w:themeColor="text1"/>
          <w:sz w:val="22"/>
        </w:rPr>
        <w:t>VaVaI</w:t>
      </w:r>
      <w:r>
        <w:rPr>
          <w:rStyle w:val="normaltextrun"/>
          <w:rFonts w:ascii="Calibri" w:hAnsi="Calibri" w:cs="Calibri"/>
          <w:color w:val="000000" w:themeColor="text1"/>
          <w:sz w:val="22"/>
        </w:rPr>
        <w:t>.</w:t>
      </w:r>
      <w:r>
        <w:rPr>
          <w:rStyle w:val="Znakapoznpodarou"/>
          <w:rFonts w:ascii="Calibri" w:hAnsi="Calibri" w:cs="Calibri"/>
          <w:bCs/>
          <w:color w:val="000000" w:themeColor="text1"/>
          <w:sz w:val="22"/>
          <w:szCs w:val="22"/>
        </w:rPr>
        <w:footnoteReference w:id="14"/>
      </w:r>
      <w:r>
        <w:rPr>
          <w:rStyle w:val="normaltextrun"/>
          <w:rFonts w:ascii="Calibri" w:hAnsi="Calibri" w:cs="Calibri"/>
          <w:color w:val="000000" w:themeColor="text1"/>
          <w:sz w:val="22"/>
        </w:rPr>
        <w:t xml:space="preserve"> V rámci kontaktů je možné si předávat nejnovější informace</w:t>
      </w:r>
      <w:r w:rsidR="009B66B5">
        <w:rPr>
          <w:rStyle w:val="normaltextrun"/>
          <w:rFonts w:ascii="Calibri" w:hAnsi="Calibri" w:cs="Calibri"/>
          <w:color w:val="000000" w:themeColor="text1"/>
          <w:sz w:val="22"/>
        </w:rPr>
        <w:t xml:space="preserve"> v </w:t>
      </w:r>
      <w:r>
        <w:rPr>
          <w:rStyle w:val="normaltextrun"/>
          <w:rFonts w:ascii="Calibri" w:hAnsi="Calibri" w:cs="Calibri"/>
          <w:color w:val="000000" w:themeColor="text1"/>
          <w:sz w:val="22"/>
        </w:rPr>
        <w:t>oboru, ale také informace</w:t>
      </w:r>
      <w:r w:rsidR="009B66B5">
        <w:rPr>
          <w:rStyle w:val="normaltextrun"/>
          <w:rFonts w:ascii="Calibri" w:hAnsi="Calibri" w:cs="Calibri"/>
          <w:color w:val="000000" w:themeColor="text1"/>
          <w:sz w:val="22"/>
        </w:rPr>
        <w:t xml:space="preserve"> o </w:t>
      </w:r>
      <w:r>
        <w:rPr>
          <w:rStyle w:val="normaltextrun"/>
          <w:rFonts w:ascii="Calibri" w:hAnsi="Calibri" w:cs="Calibri"/>
          <w:color w:val="000000" w:themeColor="text1"/>
          <w:sz w:val="22"/>
        </w:rPr>
        <w:t>možných příležitostech, případně je možné navázat spolupráce (u za</w:t>
      </w:r>
      <w:r w:rsidR="006342E2">
        <w:rPr>
          <w:rStyle w:val="normaltextrun"/>
          <w:rFonts w:ascii="Calibri" w:hAnsi="Calibri" w:cs="Calibri"/>
          <w:color w:val="000000" w:themeColor="text1"/>
          <w:sz w:val="22"/>
        </w:rPr>
        <w:t>čínajících</w:t>
      </w:r>
      <w:r w:rsidR="009B66B5">
        <w:rPr>
          <w:rStyle w:val="normaltextrun"/>
          <w:rFonts w:ascii="Calibri" w:hAnsi="Calibri" w:cs="Calibri"/>
          <w:color w:val="000000" w:themeColor="text1"/>
          <w:sz w:val="22"/>
        </w:rPr>
        <w:t xml:space="preserve"> a </w:t>
      </w:r>
      <w:r w:rsidR="006342E2">
        <w:rPr>
          <w:rStyle w:val="normaltextrun"/>
          <w:rFonts w:ascii="Calibri" w:hAnsi="Calibri" w:cs="Calibri"/>
          <w:color w:val="000000" w:themeColor="text1"/>
          <w:sz w:val="22"/>
        </w:rPr>
        <w:t>mladších vědců či věd</w:t>
      </w:r>
      <w:r>
        <w:rPr>
          <w:rStyle w:val="normaltextrun"/>
          <w:rFonts w:ascii="Calibri" w:hAnsi="Calibri" w:cs="Calibri"/>
          <w:color w:val="000000" w:themeColor="text1"/>
          <w:sz w:val="22"/>
        </w:rPr>
        <w:t>kyň to mohou být spolupráce se seniorními, zkušenějšími kolegy</w:t>
      </w:r>
      <w:r w:rsidR="009B66B5">
        <w:rPr>
          <w:rStyle w:val="normaltextrun"/>
          <w:rFonts w:ascii="Calibri" w:hAnsi="Calibri" w:cs="Calibri"/>
          <w:color w:val="000000" w:themeColor="text1"/>
          <w:sz w:val="22"/>
        </w:rPr>
        <w:t xml:space="preserve"> a </w:t>
      </w:r>
      <w:r>
        <w:rPr>
          <w:rStyle w:val="normaltextrun"/>
          <w:rFonts w:ascii="Calibri" w:hAnsi="Calibri" w:cs="Calibri"/>
          <w:color w:val="000000" w:themeColor="text1"/>
          <w:sz w:val="22"/>
        </w:rPr>
        <w:t>kolegyněmi). Nedostatečná síť kontaktů pak může být jedním</w:t>
      </w:r>
      <w:r w:rsidR="009B66B5">
        <w:rPr>
          <w:rStyle w:val="normaltextrun"/>
          <w:rFonts w:ascii="Calibri" w:hAnsi="Calibri" w:cs="Calibri"/>
          <w:color w:val="000000" w:themeColor="text1"/>
          <w:sz w:val="22"/>
        </w:rPr>
        <w:t xml:space="preserve"> z </w:t>
      </w:r>
      <w:r>
        <w:rPr>
          <w:rStyle w:val="normaltextrun"/>
          <w:rFonts w:ascii="Calibri" w:hAnsi="Calibri" w:cs="Calibri"/>
          <w:color w:val="000000" w:themeColor="text1"/>
          <w:sz w:val="22"/>
        </w:rPr>
        <w:t>důvodů, proč se vědci/</w:t>
      </w:r>
      <w:r w:rsidR="006342E2">
        <w:rPr>
          <w:rStyle w:val="normaltextrun"/>
          <w:rFonts w:ascii="Calibri" w:hAnsi="Calibri" w:cs="Calibri"/>
          <w:color w:val="000000" w:themeColor="text1"/>
          <w:sz w:val="22"/>
        </w:rPr>
        <w:t>věd</w:t>
      </w:r>
      <w:r>
        <w:rPr>
          <w:rStyle w:val="normaltextrun"/>
          <w:rFonts w:ascii="Calibri" w:hAnsi="Calibri" w:cs="Calibri"/>
          <w:color w:val="000000" w:themeColor="text1"/>
          <w:sz w:val="22"/>
        </w:rPr>
        <w:t xml:space="preserve">kyně neúčastní mobility či se </w:t>
      </w:r>
      <w:r>
        <w:rPr>
          <w:rStyle w:val="normaltextrun"/>
          <w:rFonts w:ascii="Calibri" w:hAnsi="Calibri" w:cs="Calibri"/>
          <w:color w:val="000000" w:themeColor="text1"/>
          <w:sz w:val="22"/>
        </w:rPr>
        <w:lastRenderedPageBreak/>
        <w:t>nemohou zapojit do mezinárodní spolupráce. Nedostatek příležitostí, kam se řadí také nedostatek kontaktů, uvedlo jako důvod nemobility 33,8 % procent mužů</w:t>
      </w:r>
      <w:r w:rsidR="009B66B5">
        <w:rPr>
          <w:rStyle w:val="normaltextrun"/>
          <w:rFonts w:ascii="Calibri" w:hAnsi="Calibri" w:cs="Calibri"/>
          <w:color w:val="000000" w:themeColor="text1"/>
          <w:sz w:val="22"/>
        </w:rPr>
        <w:t xml:space="preserve"> a </w:t>
      </w:r>
      <w:r>
        <w:rPr>
          <w:rStyle w:val="normaltextrun"/>
          <w:rFonts w:ascii="Calibri" w:hAnsi="Calibri" w:cs="Calibri"/>
          <w:color w:val="000000" w:themeColor="text1"/>
          <w:sz w:val="22"/>
        </w:rPr>
        <w:t>36,7 % žen.</w:t>
      </w:r>
      <w:r>
        <w:rPr>
          <w:rStyle w:val="Znakapoznpodarou"/>
          <w:rFonts w:ascii="Calibri" w:hAnsi="Calibri" w:cs="Calibri"/>
          <w:bCs/>
          <w:color w:val="000000" w:themeColor="text1"/>
          <w:sz w:val="22"/>
          <w:szCs w:val="22"/>
        </w:rPr>
        <w:footnoteReference w:id="15"/>
      </w:r>
      <w:r>
        <w:rPr>
          <w:rStyle w:val="normaltextrun"/>
          <w:rFonts w:ascii="Calibri" w:hAnsi="Calibri" w:cs="Calibri"/>
          <w:color w:val="000000" w:themeColor="text1"/>
          <w:sz w:val="22"/>
        </w:rPr>
        <w:t xml:space="preserve"> Problém udržet si síť kontaktů pak mají především vědkyně</w:t>
      </w:r>
      <w:r w:rsidR="009B66B5">
        <w:rPr>
          <w:rStyle w:val="normaltextrun"/>
          <w:rFonts w:ascii="Calibri" w:hAnsi="Calibri" w:cs="Calibri"/>
          <w:color w:val="000000" w:themeColor="text1"/>
          <w:sz w:val="22"/>
        </w:rPr>
        <w:t xml:space="preserve"> s </w:t>
      </w:r>
      <w:r>
        <w:rPr>
          <w:rStyle w:val="normaltextrun"/>
          <w:rFonts w:ascii="Calibri" w:hAnsi="Calibri" w:cs="Calibri"/>
          <w:color w:val="000000" w:themeColor="text1"/>
          <w:sz w:val="22"/>
        </w:rPr>
        <w:t>dětmi, které</w:t>
      </w:r>
      <w:r w:rsidR="009B66B5">
        <w:rPr>
          <w:rStyle w:val="normaltextrun"/>
          <w:rFonts w:ascii="Calibri" w:hAnsi="Calibri" w:cs="Calibri"/>
          <w:color w:val="000000" w:themeColor="text1"/>
          <w:sz w:val="22"/>
        </w:rPr>
        <w:t xml:space="preserve"> v </w:t>
      </w:r>
      <w:r>
        <w:rPr>
          <w:rStyle w:val="normaltextrun"/>
          <w:rFonts w:ascii="Calibri" w:hAnsi="Calibri" w:cs="Calibri"/>
          <w:color w:val="000000" w:themeColor="text1"/>
          <w:sz w:val="22"/>
        </w:rPr>
        <w:t>rámci kariérní přes</w:t>
      </w:r>
      <w:r w:rsidR="006342E2">
        <w:rPr>
          <w:rStyle w:val="normaltextrun"/>
          <w:rFonts w:ascii="Calibri" w:hAnsi="Calibri" w:cs="Calibri"/>
          <w:color w:val="000000" w:themeColor="text1"/>
          <w:sz w:val="22"/>
        </w:rPr>
        <w:t>távky</w:t>
      </w:r>
      <w:r w:rsidR="009B66B5">
        <w:rPr>
          <w:rStyle w:val="normaltextrun"/>
          <w:rFonts w:ascii="Calibri" w:hAnsi="Calibri" w:cs="Calibri"/>
          <w:color w:val="000000" w:themeColor="text1"/>
          <w:sz w:val="22"/>
        </w:rPr>
        <w:t xml:space="preserve"> z </w:t>
      </w:r>
      <w:r w:rsidR="006342E2">
        <w:rPr>
          <w:rStyle w:val="normaltextrun"/>
          <w:rFonts w:ascii="Calibri" w:hAnsi="Calibri" w:cs="Calibri"/>
          <w:color w:val="000000" w:themeColor="text1"/>
          <w:sz w:val="22"/>
        </w:rPr>
        <w:t>důvodu mateřství nemohly</w:t>
      </w:r>
      <w:r>
        <w:rPr>
          <w:rStyle w:val="normaltextrun"/>
          <w:rFonts w:ascii="Calibri" w:hAnsi="Calibri" w:cs="Calibri"/>
          <w:color w:val="000000" w:themeColor="text1"/>
          <w:sz w:val="22"/>
        </w:rPr>
        <w:t xml:space="preserve"> svou síť rozšiřovat</w:t>
      </w:r>
      <w:r w:rsidR="009B66B5">
        <w:rPr>
          <w:rStyle w:val="normaltextrun"/>
          <w:rFonts w:ascii="Calibri" w:hAnsi="Calibri" w:cs="Calibri"/>
          <w:color w:val="000000" w:themeColor="text1"/>
          <w:sz w:val="22"/>
        </w:rPr>
        <w:t xml:space="preserve"> a </w:t>
      </w:r>
      <w:r>
        <w:rPr>
          <w:rStyle w:val="normaltextrun"/>
          <w:rFonts w:ascii="Calibri" w:hAnsi="Calibri" w:cs="Calibri"/>
          <w:color w:val="000000" w:themeColor="text1"/>
          <w:sz w:val="22"/>
        </w:rPr>
        <w:t>často ani udržovat.</w:t>
      </w:r>
      <w:r>
        <w:rPr>
          <w:rStyle w:val="Znakapoznpodarou"/>
          <w:rFonts w:ascii="Calibri" w:hAnsi="Calibri" w:cs="Calibri"/>
          <w:bCs/>
          <w:color w:val="000000" w:themeColor="text1"/>
          <w:sz w:val="22"/>
          <w:szCs w:val="22"/>
        </w:rPr>
        <w:footnoteReference w:id="16"/>
      </w:r>
      <w:r>
        <w:rPr>
          <w:rStyle w:val="normaltextrun"/>
          <w:rFonts w:ascii="Calibri" w:hAnsi="Calibri" w:cs="Calibri"/>
          <w:color w:val="000000" w:themeColor="text1"/>
          <w:sz w:val="22"/>
        </w:rPr>
        <w:t xml:space="preserve"> </w:t>
      </w:r>
    </w:p>
    <w:p w14:paraId="1E2C97E2" w14:textId="77777777" w:rsidR="00BA25C2" w:rsidRPr="005515AB" w:rsidRDefault="00BA25C2" w:rsidP="005515AB">
      <w:pPr>
        <w:pStyle w:val="Nadpis3"/>
      </w:pPr>
      <w:bookmarkStart w:id="19" w:name="_Toc114572315"/>
      <w:r w:rsidRPr="005515AB">
        <w:t>Kariérní přestávka</w:t>
      </w:r>
      <w:bookmarkEnd w:id="19"/>
    </w:p>
    <w:p w14:paraId="2FCB7C17" w14:textId="77777777" w:rsidR="00BA25C2" w:rsidRDefault="00BA25C2" w:rsidP="00BA25C2">
      <w:pPr>
        <w:pStyle w:val="paragraph"/>
        <w:spacing w:before="0" w:beforeAutospacing="0" w:after="0" w:afterAutospacing="0"/>
        <w:jc w:val="both"/>
        <w:textAlignment w:val="baseline"/>
        <w:rPr>
          <w:rStyle w:val="normaltextrun"/>
          <w:rFonts w:ascii="Calibri" w:hAnsi="Calibri" w:cs="Calibri"/>
          <w:bCs/>
          <w:color w:val="000000" w:themeColor="text1"/>
          <w:sz w:val="22"/>
        </w:rPr>
      </w:pPr>
      <w:r w:rsidRPr="00EA280C">
        <w:rPr>
          <w:rStyle w:val="normaltextrun"/>
          <w:rFonts w:ascii="Calibri" w:hAnsi="Calibri" w:cs="Calibri"/>
          <w:color w:val="000000" w:themeColor="text1"/>
          <w:sz w:val="22"/>
        </w:rPr>
        <w:t>Kariérní přestávka</w:t>
      </w:r>
      <w:r w:rsidR="009B66B5">
        <w:rPr>
          <w:rStyle w:val="normaltextrun"/>
          <w:rFonts w:ascii="Calibri" w:hAnsi="Calibri" w:cs="Calibri"/>
          <w:color w:val="000000" w:themeColor="text1"/>
          <w:sz w:val="22"/>
        </w:rPr>
        <w:t xml:space="preserve"> v </w:t>
      </w:r>
      <w:r w:rsidRPr="00EA280C">
        <w:rPr>
          <w:rStyle w:val="normaltextrun"/>
          <w:rFonts w:ascii="Calibri" w:hAnsi="Calibri" w:cs="Calibri"/>
          <w:color w:val="000000" w:themeColor="text1"/>
          <w:sz w:val="22"/>
        </w:rPr>
        <w:t>důsledku péče</w:t>
      </w:r>
      <w:r w:rsidR="009B66B5">
        <w:rPr>
          <w:rStyle w:val="normaltextrun"/>
          <w:rFonts w:ascii="Calibri" w:hAnsi="Calibri" w:cs="Calibri"/>
          <w:color w:val="000000" w:themeColor="text1"/>
          <w:sz w:val="22"/>
        </w:rPr>
        <w:t xml:space="preserve"> o </w:t>
      </w:r>
      <w:r w:rsidRPr="00EA280C">
        <w:rPr>
          <w:rStyle w:val="normaltextrun"/>
          <w:rFonts w:ascii="Calibri" w:hAnsi="Calibri" w:cs="Calibri"/>
          <w:color w:val="000000" w:themeColor="text1"/>
          <w:sz w:val="22"/>
        </w:rPr>
        <w:t>dítě (nebo jiného člena rodiny/domácnosti) vytváří</w:t>
      </w:r>
      <w:r w:rsidR="009B66B5">
        <w:rPr>
          <w:rStyle w:val="normaltextrun"/>
          <w:rFonts w:ascii="Calibri" w:hAnsi="Calibri" w:cs="Calibri"/>
          <w:color w:val="000000" w:themeColor="text1"/>
          <w:sz w:val="22"/>
        </w:rPr>
        <w:t xml:space="preserve"> v </w:t>
      </w:r>
      <w:r w:rsidRPr="00EA280C">
        <w:rPr>
          <w:rStyle w:val="normaltextrun"/>
          <w:rFonts w:ascii="Calibri" w:hAnsi="Calibri" w:cs="Calibri"/>
          <w:color w:val="000000" w:themeColor="text1"/>
          <w:sz w:val="22"/>
        </w:rPr>
        <w:t>současném vědeckém prostředí zásadní překážku pro kariérní rozvoj či pro pokračování kariéry</w:t>
      </w:r>
      <w:r>
        <w:rPr>
          <w:rStyle w:val="normaltextrun"/>
          <w:rFonts w:ascii="Calibri" w:hAnsi="Calibri" w:cs="Calibri"/>
          <w:color w:val="000000" w:themeColor="text1"/>
          <w:sz w:val="22"/>
        </w:rPr>
        <w:t>.</w:t>
      </w:r>
      <w:r>
        <w:rPr>
          <w:rStyle w:val="Znakapoznpodarou"/>
          <w:rFonts w:ascii="Calibri" w:hAnsi="Calibri" w:cs="Calibri"/>
          <w:bCs/>
          <w:color w:val="000000" w:themeColor="text1"/>
          <w:sz w:val="22"/>
          <w:szCs w:val="22"/>
        </w:rPr>
        <w:footnoteReference w:id="17"/>
      </w:r>
      <w:r w:rsidRPr="00EA280C">
        <w:t xml:space="preserve"> </w:t>
      </w:r>
      <w:r w:rsidRPr="00EA280C">
        <w:rPr>
          <w:rStyle w:val="normaltextrun"/>
          <w:rFonts w:ascii="Calibri" w:hAnsi="Calibri" w:cs="Calibri"/>
          <w:color w:val="000000" w:themeColor="text1"/>
          <w:sz w:val="22"/>
        </w:rPr>
        <w:t xml:space="preserve">Přestávka zpravidla vede např. ke snížení či </w:t>
      </w:r>
      <w:r>
        <w:rPr>
          <w:rStyle w:val="normaltextrun"/>
          <w:rFonts w:ascii="Calibri" w:hAnsi="Calibri" w:cs="Calibri"/>
          <w:color w:val="000000" w:themeColor="text1"/>
          <w:sz w:val="22"/>
        </w:rPr>
        <w:t>pozastavení publikační činnosti či</w:t>
      </w:r>
      <w:r w:rsidRPr="00EA280C">
        <w:rPr>
          <w:rStyle w:val="normaltextrun"/>
          <w:rFonts w:ascii="Calibri" w:hAnsi="Calibri" w:cs="Calibri"/>
          <w:color w:val="000000" w:themeColor="text1"/>
          <w:sz w:val="22"/>
        </w:rPr>
        <w:t xml:space="preserve"> ne</w:t>
      </w:r>
      <w:r>
        <w:rPr>
          <w:rStyle w:val="normaltextrun"/>
          <w:rFonts w:ascii="Calibri" w:hAnsi="Calibri" w:cs="Calibri"/>
          <w:color w:val="000000" w:themeColor="text1"/>
          <w:sz w:val="22"/>
        </w:rPr>
        <w:t xml:space="preserve">možnosti zapojit se do mobility. Oba tyto důsledky mohou mít vliv na rozhodnutí nezapojit se do </w:t>
      </w:r>
      <w:r w:rsidR="00D1688B">
        <w:rPr>
          <w:rStyle w:val="normaltextrun"/>
          <w:rFonts w:ascii="Calibri" w:hAnsi="Calibri" w:cs="Calibri"/>
          <w:color w:val="000000" w:themeColor="text1"/>
          <w:sz w:val="22"/>
        </w:rPr>
        <w:t>RP</w:t>
      </w:r>
      <w:r>
        <w:rPr>
          <w:rStyle w:val="normaltextrun"/>
          <w:rFonts w:ascii="Calibri" w:hAnsi="Calibri" w:cs="Calibri"/>
          <w:color w:val="000000" w:themeColor="text1"/>
          <w:sz w:val="22"/>
        </w:rPr>
        <w:t xml:space="preserve">. V případě kariérní přestávky je pro vědkyni důležité mít možnost </w:t>
      </w:r>
      <w:r w:rsidRPr="006B3FBD">
        <w:rPr>
          <w:rStyle w:val="normaltextrun"/>
          <w:rFonts w:ascii="Calibri" w:hAnsi="Calibri" w:cs="Calibri"/>
          <w:color w:val="000000" w:themeColor="text1"/>
          <w:sz w:val="22"/>
        </w:rPr>
        <w:t>přerušit řešení grant</w:t>
      </w:r>
      <w:r>
        <w:rPr>
          <w:rStyle w:val="normaltextrun"/>
          <w:rFonts w:ascii="Calibri" w:hAnsi="Calibri" w:cs="Calibri"/>
          <w:color w:val="000000" w:themeColor="text1"/>
          <w:sz w:val="22"/>
        </w:rPr>
        <w:t>u</w:t>
      </w:r>
      <w:r w:rsidR="009B66B5">
        <w:rPr>
          <w:rStyle w:val="normaltextrun"/>
          <w:rFonts w:ascii="Calibri" w:hAnsi="Calibri" w:cs="Calibri"/>
          <w:color w:val="000000" w:themeColor="text1"/>
          <w:sz w:val="22"/>
        </w:rPr>
        <w:t xml:space="preserve"> z </w:t>
      </w:r>
      <w:r w:rsidRPr="006B3FBD">
        <w:rPr>
          <w:rStyle w:val="normaltextrun"/>
          <w:rFonts w:ascii="Calibri" w:hAnsi="Calibri" w:cs="Calibri"/>
          <w:color w:val="000000" w:themeColor="text1"/>
          <w:sz w:val="22"/>
        </w:rPr>
        <w:t>důvodu rodičovství (resp. mateřské</w:t>
      </w:r>
      <w:r w:rsidR="009B66B5">
        <w:rPr>
          <w:rStyle w:val="normaltextrun"/>
          <w:rFonts w:ascii="Calibri" w:hAnsi="Calibri" w:cs="Calibri"/>
          <w:color w:val="000000" w:themeColor="text1"/>
          <w:sz w:val="22"/>
        </w:rPr>
        <w:t xml:space="preserve"> a </w:t>
      </w:r>
      <w:r w:rsidRPr="006B3FBD">
        <w:rPr>
          <w:rStyle w:val="normaltextrun"/>
          <w:rFonts w:ascii="Calibri" w:hAnsi="Calibri" w:cs="Calibri"/>
          <w:color w:val="000000" w:themeColor="text1"/>
          <w:sz w:val="22"/>
        </w:rPr>
        <w:t>rod</w:t>
      </w:r>
      <w:r w:rsidR="00BF5498">
        <w:rPr>
          <w:rStyle w:val="normaltextrun"/>
          <w:rFonts w:ascii="Calibri" w:hAnsi="Calibri" w:cs="Calibri"/>
          <w:color w:val="000000" w:themeColor="text1"/>
          <w:sz w:val="22"/>
        </w:rPr>
        <w:t xml:space="preserve">ičovské dovolené) nebo dočasně </w:t>
      </w:r>
      <w:r w:rsidR="00BF5498" w:rsidRPr="00BF5498">
        <w:rPr>
          <w:rStyle w:val="normaltextrun"/>
          <w:rFonts w:ascii="Calibri" w:hAnsi="Calibri" w:cs="Calibri"/>
          <w:color w:val="000000" w:themeColor="text1"/>
          <w:sz w:val="22"/>
        </w:rPr>
        <w:t>předat</w:t>
      </w:r>
      <w:r w:rsidRPr="00BF5498">
        <w:rPr>
          <w:rStyle w:val="normaltextrun"/>
          <w:rFonts w:ascii="Calibri" w:hAnsi="Calibri" w:cs="Calibri"/>
          <w:color w:val="000000" w:themeColor="text1"/>
          <w:sz w:val="22"/>
        </w:rPr>
        <w:t xml:space="preserve"> ř</w:t>
      </w:r>
      <w:r w:rsidR="00BF5498" w:rsidRPr="00BF5498">
        <w:rPr>
          <w:rStyle w:val="normaltextrun"/>
          <w:rFonts w:ascii="Calibri" w:hAnsi="Calibri" w:cs="Calibri"/>
          <w:color w:val="000000" w:themeColor="text1"/>
          <w:sz w:val="22"/>
        </w:rPr>
        <w:t>ešen</w:t>
      </w:r>
      <w:r w:rsidRPr="00BF5498">
        <w:rPr>
          <w:rStyle w:val="normaltextrun"/>
          <w:rFonts w:ascii="Calibri" w:hAnsi="Calibri" w:cs="Calibri"/>
          <w:color w:val="000000" w:themeColor="text1"/>
          <w:sz w:val="22"/>
        </w:rPr>
        <w:t>í</w:t>
      </w:r>
      <w:r>
        <w:rPr>
          <w:rStyle w:val="Znakapoznpodarou"/>
          <w:rFonts w:ascii="Calibri" w:hAnsi="Calibri" w:cs="Calibri"/>
          <w:bCs/>
          <w:color w:val="000000" w:themeColor="text1"/>
          <w:sz w:val="22"/>
          <w:szCs w:val="22"/>
        </w:rPr>
        <w:footnoteReference w:id="18"/>
      </w:r>
      <w:r>
        <w:rPr>
          <w:rStyle w:val="normaltextrun"/>
          <w:rFonts w:ascii="Calibri" w:hAnsi="Calibri" w:cs="Calibri"/>
          <w:color w:val="000000" w:themeColor="text1"/>
          <w:sz w:val="22"/>
        </w:rPr>
        <w:t>,</w:t>
      </w:r>
      <w:r w:rsidRPr="006B3FBD">
        <w:rPr>
          <w:rStyle w:val="normaltextrun"/>
          <w:rFonts w:ascii="Calibri" w:hAnsi="Calibri" w:cs="Calibri"/>
          <w:color w:val="000000" w:themeColor="text1"/>
          <w:sz w:val="22"/>
        </w:rPr>
        <w:t xml:space="preserve"> které je</w:t>
      </w:r>
      <w:r>
        <w:rPr>
          <w:rStyle w:val="normaltextrun"/>
          <w:rFonts w:ascii="Calibri" w:hAnsi="Calibri" w:cs="Calibri"/>
          <w:color w:val="000000" w:themeColor="text1"/>
          <w:sz w:val="22"/>
        </w:rPr>
        <w:t xml:space="preserve"> již relativně běžné také</w:t>
      </w:r>
      <w:r w:rsidR="009B66B5">
        <w:rPr>
          <w:rStyle w:val="normaltextrun"/>
          <w:rFonts w:ascii="Calibri" w:hAnsi="Calibri" w:cs="Calibri"/>
          <w:color w:val="000000" w:themeColor="text1"/>
          <w:sz w:val="22"/>
        </w:rPr>
        <w:t xml:space="preserve"> v </w:t>
      </w:r>
      <w:r>
        <w:rPr>
          <w:rStyle w:val="normaltextrun"/>
          <w:rFonts w:ascii="Calibri" w:hAnsi="Calibri" w:cs="Calibri"/>
          <w:color w:val="000000" w:themeColor="text1"/>
          <w:sz w:val="22"/>
        </w:rPr>
        <w:t>ČR. V zahraničí jsou jako forma podpory</w:t>
      </w:r>
      <w:r w:rsidR="009B66B5">
        <w:rPr>
          <w:rStyle w:val="normaltextrun"/>
          <w:rFonts w:ascii="Calibri" w:hAnsi="Calibri" w:cs="Calibri"/>
          <w:color w:val="000000" w:themeColor="text1"/>
          <w:sz w:val="22"/>
        </w:rPr>
        <w:t xml:space="preserve"> v </w:t>
      </w:r>
      <w:r>
        <w:rPr>
          <w:rStyle w:val="normaltextrun"/>
          <w:rFonts w:ascii="Calibri" w:hAnsi="Calibri" w:cs="Calibri"/>
          <w:color w:val="000000" w:themeColor="text1"/>
          <w:sz w:val="22"/>
        </w:rPr>
        <w:t xml:space="preserve">této situaci </w:t>
      </w:r>
      <w:r w:rsidRPr="006B3FBD">
        <w:rPr>
          <w:rStyle w:val="normaltextrun"/>
          <w:rFonts w:ascii="Calibri" w:hAnsi="Calibri" w:cs="Calibri"/>
          <w:color w:val="000000" w:themeColor="text1"/>
          <w:sz w:val="22"/>
        </w:rPr>
        <w:t>zaváděny programy podporující finančně péč</w:t>
      </w:r>
      <w:r>
        <w:rPr>
          <w:rStyle w:val="normaltextrun"/>
          <w:rFonts w:ascii="Calibri" w:hAnsi="Calibri" w:cs="Calibri"/>
          <w:color w:val="000000" w:themeColor="text1"/>
          <w:sz w:val="22"/>
        </w:rPr>
        <w:t>i</w:t>
      </w:r>
      <w:r w:rsidR="009B66B5">
        <w:rPr>
          <w:rStyle w:val="normaltextrun"/>
          <w:rFonts w:ascii="Calibri" w:hAnsi="Calibri" w:cs="Calibri"/>
          <w:color w:val="000000" w:themeColor="text1"/>
          <w:sz w:val="22"/>
        </w:rPr>
        <w:t xml:space="preserve"> o </w:t>
      </w:r>
      <w:r>
        <w:rPr>
          <w:rStyle w:val="normaltextrun"/>
          <w:rFonts w:ascii="Calibri" w:hAnsi="Calibri" w:cs="Calibri"/>
          <w:color w:val="000000" w:themeColor="text1"/>
          <w:sz w:val="22"/>
        </w:rPr>
        <w:t>děti</w:t>
      </w:r>
      <w:r w:rsidR="009B66B5">
        <w:rPr>
          <w:rStyle w:val="normaltextrun"/>
          <w:rFonts w:ascii="Calibri" w:hAnsi="Calibri" w:cs="Calibri"/>
          <w:color w:val="000000" w:themeColor="text1"/>
          <w:sz w:val="22"/>
        </w:rPr>
        <w:t xml:space="preserve"> a </w:t>
      </w:r>
      <w:r>
        <w:rPr>
          <w:rStyle w:val="normaltextrun"/>
          <w:rFonts w:ascii="Calibri" w:hAnsi="Calibri" w:cs="Calibri"/>
          <w:color w:val="000000" w:themeColor="text1"/>
          <w:sz w:val="22"/>
        </w:rPr>
        <w:t>domácnost výzkumnic</w:t>
      </w:r>
      <w:r>
        <w:rPr>
          <w:rStyle w:val="Znakapoznpodarou"/>
          <w:rFonts w:ascii="Calibri" w:hAnsi="Calibri" w:cs="Calibri"/>
          <w:bCs/>
          <w:color w:val="000000" w:themeColor="text1"/>
          <w:sz w:val="22"/>
          <w:szCs w:val="22"/>
        </w:rPr>
        <w:footnoteReference w:id="19"/>
      </w:r>
      <w:r>
        <w:rPr>
          <w:rStyle w:val="normaltextrun"/>
          <w:rFonts w:ascii="Calibri" w:hAnsi="Calibri" w:cs="Calibri"/>
          <w:color w:val="000000" w:themeColor="text1"/>
          <w:sz w:val="22"/>
        </w:rPr>
        <w:t>,</w:t>
      </w:r>
      <w:r w:rsidRPr="006B3FBD">
        <w:rPr>
          <w:rStyle w:val="normaltextrun"/>
          <w:rFonts w:ascii="Calibri" w:hAnsi="Calibri" w:cs="Calibri"/>
          <w:color w:val="000000" w:themeColor="text1"/>
          <w:sz w:val="22"/>
        </w:rPr>
        <w:t xml:space="preserve"> zaměstnávání osob, které převezmou část úkolů spojených</w:t>
      </w:r>
      <w:r w:rsidR="009B66B5">
        <w:rPr>
          <w:rStyle w:val="normaltextrun"/>
          <w:rFonts w:ascii="Calibri" w:hAnsi="Calibri" w:cs="Calibri"/>
          <w:color w:val="000000" w:themeColor="text1"/>
          <w:sz w:val="22"/>
        </w:rPr>
        <w:t xml:space="preserve"> s </w:t>
      </w:r>
      <w:r w:rsidRPr="006B3FBD">
        <w:rPr>
          <w:rStyle w:val="normaltextrun"/>
          <w:rFonts w:ascii="Calibri" w:hAnsi="Calibri" w:cs="Calibri"/>
          <w:color w:val="000000" w:themeColor="text1"/>
          <w:sz w:val="22"/>
        </w:rPr>
        <w:t>výzkumným projektem</w:t>
      </w:r>
      <w:r>
        <w:rPr>
          <w:rStyle w:val="Znakapoznpodarou"/>
          <w:rFonts w:ascii="Calibri" w:hAnsi="Calibri" w:cs="Calibri"/>
          <w:bCs/>
          <w:color w:val="000000" w:themeColor="text1"/>
          <w:sz w:val="22"/>
          <w:szCs w:val="22"/>
        </w:rPr>
        <w:footnoteReference w:id="20"/>
      </w:r>
      <w:r w:rsidRPr="006B3FBD">
        <w:rPr>
          <w:rStyle w:val="normaltextrun"/>
          <w:rFonts w:ascii="Calibri" w:hAnsi="Calibri" w:cs="Calibri"/>
          <w:color w:val="000000" w:themeColor="text1"/>
          <w:sz w:val="22"/>
        </w:rPr>
        <w:t>, nebo poskytováním dotací institucím, které zaměstnají vědkyně, jejichž výzkumná dráha byla odsunuta či přerušena vlivem rodinných povinností (péčí</w:t>
      </w:r>
      <w:r w:rsidR="009B66B5">
        <w:rPr>
          <w:rStyle w:val="normaltextrun"/>
          <w:rFonts w:ascii="Calibri" w:hAnsi="Calibri" w:cs="Calibri"/>
          <w:color w:val="000000" w:themeColor="text1"/>
          <w:sz w:val="22"/>
        </w:rPr>
        <w:t xml:space="preserve"> o </w:t>
      </w:r>
      <w:r w:rsidRPr="006B3FBD">
        <w:rPr>
          <w:rStyle w:val="normaltextrun"/>
          <w:rFonts w:ascii="Calibri" w:hAnsi="Calibri" w:cs="Calibri"/>
          <w:color w:val="000000" w:themeColor="text1"/>
          <w:sz w:val="22"/>
        </w:rPr>
        <w:t>děti)</w:t>
      </w:r>
      <w:r>
        <w:rPr>
          <w:rStyle w:val="Znakapoznpodarou"/>
          <w:rFonts w:ascii="Calibri" w:hAnsi="Calibri" w:cs="Calibri"/>
          <w:bCs/>
          <w:color w:val="000000" w:themeColor="text1"/>
          <w:sz w:val="22"/>
          <w:szCs w:val="22"/>
        </w:rPr>
        <w:footnoteReference w:id="21"/>
      </w:r>
      <w:r w:rsidRPr="006B3FBD">
        <w:rPr>
          <w:rStyle w:val="normaltextrun"/>
          <w:rFonts w:ascii="Calibri" w:hAnsi="Calibri" w:cs="Calibri"/>
          <w:color w:val="000000" w:themeColor="text1"/>
          <w:sz w:val="22"/>
        </w:rPr>
        <w:t>.</w:t>
      </w:r>
      <w:r>
        <w:rPr>
          <w:rStyle w:val="normaltextrun"/>
          <w:rFonts w:ascii="Calibri" w:hAnsi="Calibri" w:cs="Calibri"/>
          <w:color w:val="000000" w:themeColor="text1"/>
          <w:sz w:val="22"/>
        </w:rPr>
        <w:t xml:space="preserve"> </w:t>
      </w:r>
    </w:p>
    <w:p w14:paraId="7D9442AB" w14:textId="77777777" w:rsidR="00BA25C2" w:rsidRPr="005515AB" w:rsidRDefault="00BA25C2" w:rsidP="005515AB">
      <w:pPr>
        <w:pStyle w:val="Nadpis3"/>
      </w:pPr>
      <w:bookmarkStart w:id="20" w:name="_Toc114572316"/>
      <w:r w:rsidRPr="005515AB">
        <w:t>Work-life balance</w:t>
      </w:r>
      <w:bookmarkEnd w:id="20"/>
    </w:p>
    <w:p w14:paraId="3BCE94A1" w14:textId="77777777" w:rsidR="00BA25C2" w:rsidRDefault="00BA25C2" w:rsidP="00BA25C2">
      <w:pPr>
        <w:pStyle w:val="paragraph"/>
        <w:spacing w:before="0" w:beforeAutospacing="0" w:after="0" w:afterAutospacing="0"/>
        <w:jc w:val="both"/>
        <w:textAlignment w:val="baseline"/>
        <w:rPr>
          <w:rStyle w:val="normaltextrun"/>
          <w:rFonts w:ascii="Calibri" w:hAnsi="Calibri" w:cs="Calibri"/>
          <w:sz w:val="22"/>
        </w:rPr>
      </w:pPr>
      <w:r>
        <w:rPr>
          <w:rStyle w:val="normaltextrun"/>
          <w:rFonts w:ascii="Calibri" w:hAnsi="Calibri" w:cs="Calibri"/>
          <w:sz w:val="22"/>
        </w:rPr>
        <w:t>Work-life balance, tedy slaďování pracovního</w:t>
      </w:r>
      <w:r w:rsidR="009B66B5">
        <w:rPr>
          <w:rStyle w:val="normaltextrun"/>
          <w:rFonts w:ascii="Calibri" w:hAnsi="Calibri" w:cs="Calibri"/>
          <w:sz w:val="22"/>
        </w:rPr>
        <w:t xml:space="preserve"> a </w:t>
      </w:r>
      <w:r>
        <w:rPr>
          <w:rStyle w:val="normaltextrun"/>
          <w:rFonts w:ascii="Calibri" w:hAnsi="Calibri" w:cs="Calibri"/>
          <w:sz w:val="22"/>
        </w:rPr>
        <w:t>osobního života, je jedním</w:t>
      </w:r>
      <w:r w:rsidR="009B66B5">
        <w:rPr>
          <w:rStyle w:val="normaltextrun"/>
          <w:rFonts w:ascii="Calibri" w:hAnsi="Calibri" w:cs="Calibri"/>
          <w:sz w:val="22"/>
        </w:rPr>
        <w:t xml:space="preserve"> z </w:t>
      </w:r>
      <w:r>
        <w:rPr>
          <w:rStyle w:val="normaltextrun"/>
          <w:rFonts w:ascii="Calibri" w:hAnsi="Calibri" w:cs="Calibri"/>
          <w:sz w:val="22"/>
        </w:rPr>
        <w:t>důvodů, který může mít vliv na rozdíly</w:t>
      </w:r>
      <w:r w:rsidR="009B66B5">
        <w:rPr>
          <w:rStyle w:val="normaltextrun"/>
          <w:rFonts w:ascii="Calibri" w:hAnsi="Calibri" w:cs="Calibri"/>
          <w:sz w:val="22"/>
        </w:rPr>
        <w:t xml:space="preserve"> v </w:t>
      </w:r>
      <w:r>
        <w:rPr>
          <w:rStyle w:val="normaltextrun"/>
          <w:rFonts w:ascii="Calibri" w:hAnsi="Calibri" w:cs="Calibri"/>
          <w:sz w:val="22"/>
        </w:rPr>
        <w:t>podílu účasti vědců</w:t>
      </w:r>
      <w:r w:rsidR="009B66B5">
        <w:rPr>
          <w:rStyle w:val="normaltextrun"/>
          <w:rFonts w:ascii="Calibri" w:hAnsi="Calibri" w:cs="Calibri"/>
          <w:sz w:val="22"/>
        </w:rPr>
        <w:t xml:space="preserve"> a </w:t>
      </w:r>
      <w:r>
        <w:rPr>
          <w:rStyle w:val="normaltextrun"/>
          <w:rFonts w:ascii="Calibri" w:hAnsi="Calibri" w:cs="Calibri"/>
          <w:sz w:val="22"/>
        </w:rPr>
        <w:t>vědkyň</w:t>
      </w:r>
      <w:r w:rsidR="009B66B5">
        <w:rPr>
          <w:rStyle w:val="normaltextrun"/>
          <w:rFonts w:ascii="Calibri" w:hAnsi="Calibri" w:cs="Calibri"/>
          <w:sz w:val="22"/>
        </w:rPr>
        <w:t xml:space="preserve"> v </w:t>
      </w:r>
      <w:r w:rsidR="00D1688B">
        <w:rPr>
          <w:rStyle w:val="normaltextrun"/>
          <w:rFonts w:ascii="Calibri" w:hAnsi="Calibri" w:cs="Calibri"/>
          <w:sz w:val="22"/>
        </w:rPr>
        <w:t>RP</w:t>
      </w:r>
      <w:r>
        <w:rPr>
          <w:rStyle w:val="normaltextrun"/>
          <w:rFonts w:ascii="Calibri" w:hAnsi="Calibri" w:cs="Calibri"/>
          <w:sz w:val="22"/>
        </w:rPr>
        <w:t>. Především mladé vědkyně na počátku své vědecké dráhy řeší vedle pracovních povinností ještě starost</w:t>
      </w:r>
      <w:r w:rsidR="009B66B5">
        <w:rPr>
          <w:rStyle w:val="normaltextrun"/>
          <w:rFonts w:ascii="Calibri" w:hAnsi="Calibri" w:cs="Calibri"/>
          <w:sz w:val="22"/>
        </w:rPr>
        <w:t xml:space="preserve"> o </w:t>
      </w:r>
      <w:r>
        <w:rPr>
          <w:rStyle w:val="normaltextrun"/>
          <w:rFonts w:ascii="Calibri" w:hAnsi="Calibri" w:cs="Calibri"/>
          <w:sz w:val="22"/>
        </w:rPr>
        <w:t>domácnost, péči</w:t>
      </w:r>
      <w:r w:rsidR="009B66B5">
        <w:rPr>
          <w:rStyle w:val="normaltextrun"/>
          <w:rFonts w:ascii="Calibri" w:hAnsi="Calibri" w:cs="Calibri"/>
          <w:sz w:val="22"/>
        </w:rPr>
        <w:t xml:space="preserve"> o </w:t>
      </w:r>
      <w:r>
        <w:rPr>
          <w:rStyle w:val="normaltextrun"/>
          <w:rFonts w:ascii="Calibri" w:hAnsi="Calibri" w:cs="Calibri"/>
          <w:sz w:val="22"/>
        </w:rPr>
        <w:t>dítě nebo</w:t>
      </w:r>
      <w:r w:rsidR="009B66B5">
        <w:rPr>
          <w:rStyle w:val="normaltextrun"/>
          <w:rFonts w:ascii="Calibri" w:hAnsi="Calibri" w:cs="Calibri"/>
          <w:sz w:val="22"/>
        </w:rPr>
        <w:t xml:space="preserve"> o </w:t>
      </w:r>
      <w:r>
        <w:rPr>
          <w:rStyle w:val="normaltextrun"/>
          <w:rFonts w:ascii="Calibri" w:hAnsi="Calibri" w:cs="Calibri"/>
          <w:sz w:val="22"/>
        </w:rPr>
        <w:t xml:space="preserve">dalšího člena domácnosti. </w:t>
      </w:r>
      <w:r>
        <w:rPr>
          <w:rStyle w:val="normaltextrun"/>
          <w:rFonts w:ascii="Calibri" w:hAnsi="Calibri" w:cs="Calibri"/>
          <w:color w:val="000000" w:themeColor="text1"/>
          <w:sz w:val="22"/>
        </w:rPr>
        <w:t>Dalším rozhodujícím faktorem bývá také plánování rodiny, které</w:t>
      </w:r>
      <w:r w:rsidR="009B66B5">
        <w:rPr>
          <w:rStyle w:val="normaltextrun"/>
          <w:rFonts w:ascii="Calibri" w:hAnsi="Calibri" w:cs="Calibri"/>
          <w:color w:val="000000" w:themeColor="text1"/>
          <w:sz w:val="22"/>
        </w:rPr>
        <w:t xml:space="preserve"> s </w:t>
      </w:r>
      <w:r>
        <w:rPr>
          <w:rStyle w:val="normaltextrun"/>
          <w:rFonts w:ascii="Calibri" w:hAnsi="Calibri" w:cs="Calibri"/>
          <w:color w:val="000000" w:themeColor="text1"/>
          <w:sz w:val="22"/>
        </w:rPr>
        <w:t>sebou přináší</w:t>
      </w:r>
      <w:r w:rsidRPr="006B3FBD">
        <w:rPr>
          <w:rStyle w:val="normaltextrun"/>
          <w:rFonts w:ascii="Calibri" w:hAnsi="Calibri" w:cs="Calibri"/>
          <w:color w:val="000000" w:themeColor="text1"/>
          <w:sz w:val="22"/>
        </w:rPr>
        <w:t xml:space="preserve"> složitější situaci</w:t>
      </w:r>
      <w:r w:rsidR="009B66B5">
        <w:rPr>
          <w:rStyle w:val="normaltextrun"/>
          <w:rFonts w:ascii="Calibri" w:hAnsi="Calibri" w:cs="Calibri"/>
          <w:color w:val="000000" w:themeColor="text1"/>
          <w:sz w:val="22"/>
        </w:rPr>
        <w:t xml:space="preserve"> v </w:t>
      </w:r>
      <w:r w:rsidRPr="006B3FBD">
        <w:rPr>
          <w:rStyle w:val="normaltextrun"/>
          <w:rFonts w:ascii="Calibri" w:hAnsi="Calibri" w:cs="Calibri"/>
          <w:color w:val="000000" w:themeColor="text1"/>
          <w:sz w:val="22"/>
        </w:rPr>
        <w:t>případě</w:t>
      </w:r>
      <w:r>
        <w:rPr>
          <w:rStyle w:val="normaltextrun"/>
          <w:rFonts w:ascii="Calibri" w:hAnsi="Calibri" w:cs="Calibri"/>
          <w:color w:val="000000" w:themeColor="text1"/>
          <w:sz w:val="22"/>
        </w:rPr>
        <w:t xml:space="preserve"> účasti</w:t>
      </w:r>
      <w:r w:rsidR="009B66B5">
        <w:rPr>
          <w:rStyle w:val="normaltextrun"/>
          <w:rFonts w:ascii="Calibri" w:hAnsi="Calibri" w:cs="Calibri"/>
          <w:color w:val="000000" w:themeColor="text1"/>
          <w:sz w:val="22"/>
        </w:rPr>
        <w:t xml:space="preserve"> v </w:t>
      </w:r>
      <w:r>
        <w:rPr>
          <w:rStyle w:val="normaltextrun"/>
          <w:rFonts w:ascii="Calibri" w:hAnsi="Calibri" w:cs="Calibri"/>
          <w:color w:val="000000" w:themeColor="text1"/>
          <w:sz w:val="22"/>
        </w:rPr>
        <w:t xml:space="preserve">dlouhodobých </w:t>
      </w:r>
      <w:r w:rsidR="00D1688B">
        <w:rPr>
          <w:rStyle w:val="normaltextrun"/>
          <w:rFonts w:ascii="Calibri" w:hAnsi="Calibri" w:cs="Calibri"/>
          <w:color w:val="000000" w:themeColor="text1"/>
          <w:sz w:val="22"/>
        </w:rPr>
        <w:t>projektech RP</w:t>
      </w:r>
      <w:r>
        <w:rPr>
          <w:rStyle w:val="normaltextrun"/>
          <w:rFonts w:ascii="Calibri" w:hAnsi="Calibri" w:cs="Calibri"/>
          <w:color w:val="000000" w:themeColor="text1"/>
          <w:sz w:val="22"/>
        </w:rPr>
        <w:t xml:space="preserve"> nebo</w:t>
      </w:r>
      <w:r w:rsidRPr="006B3FBD">
        <w:rPr>
          <w:rStyle w:val="normaltextrun"/>
          <w:rFonts w:ascii="Calibri" w:hAnsi="Calibri" w:cs="Calibri"/>
          <w:color w:val="000000" w:themeColor="text1"/>
          <w:sz w:val="22"/>
        </w:rPr>
        <w:t xml:space="preserve"> dlouhodobých mobilit navázaných na grantové soutěže.</w:t>
      </w:r>
      <w:r>
        <w:rPr>
          <w:rStyle w:val="normaltextrun"/>
          <w:rFonts w:ascii="Calibri" w:hAnsi="Calibri" w:cs="Calibri"/>
          <w:color w:val="000000" w:themeColor="text1"/>
          <w:sz w:val="22"/>
        </w:rPr>
        <w:t xml:space="preserve"> Nejde pouze</w:t>
      </w:r>
      <w:r w:rsidR="009B66B5">
        <w:rPr>
          <w:rStyle w:val="normaltextrun"/>
          <w:rFonts w:ascii="Calibri" w:hAnsi="Calibri" w:cs="Calibri"/>
          <w:color w:val="000000" w:themeColor="text1"/>
          <w:sz w:val="22"/>
        </w:rPr>
        <w:t xml:space="preserve"> o </w:t>
      </w:r>
      <w:r>
        <w:rPr>
          <w:rStyle w:val="normaltextrun"/>
          <w:rFonts w:ascii="Calibri" w:hAnsi="Calibri" w:cs="Calibri"/>
          <w:color w:val="000000" w:themeColor="text1"/>
          <w:sz w:val="22"/>
        </w:rPr>
        <w:t>dlouhodobé výjezdy, ale také krátkodobé vycestování do zahraničí, např. na konferenci. Vědkyně</w:t>
      </w:r>
      <w:r w:rsidR="009B66B5">
        <w:rPr>
          <w:rStyle w:val="normaltextrun"/>
          <w:rFonts w:ascii="Calibri" w:hAnsi="Calibri" w:cs="Calibri"/>
          <w:color w:val="000000" w:themeColor="text1"/>
          <w:sz w:val="22"/>
        </w:rPr>
        <w:t xml:space="preserve"> a </w:t>
      </w:r>
      <w:r>
        <w:rPr>
          <w:rStyle w:val="normaltextrun"/>
          <w:rFonts w:ascii="Calibri" w:hAnsi="Calibri" w:cs="Calibri"/>
          <w:color w:val="000000" w:themeColor="text1"/>
          <w:sz w:val="22"/>
        </w:rPr>
        <w:t>vědci by</w:t>
      </w:r>
      <w:r w:rsidR="009B66B5">
        <w:rPr>
          <w:rStyle w:val="normaltextrun"/>
          <w:rFonts w:ascii="Calibri" w:hAnsi="Calibri" w:cs="Calibri"/>
          <w:color w:val="000000" w:themeColor="text1"/>
          <w:sz w:val="22"/>
        </w:rPr>
        <w:t xml:space="preserve"> v </w:t>
      </w:r>
      <w:r>
        <w:rPr>
          <w:rStyle w:val="normaltextrun"/>
          <w:rFonts w:ascii="Calibri" w:hAnsi="Calibri" w:cs="Calibri"/>
          <w:color w:val="000000" w:themeColor="text1"/>
          <w:sz w:val="22"/>
        </w:rPr>
        <w:t>takovém případě využily služby hlídání dětí</w:t>
      </w:r>
      <w:r w:rsidR="009B66B5">
        <w:rPr>
          <w:rStyle w:val="normaltextrun"/>
          <w:rFonts w:ascii="Calibri" w:hAnsi="Calibri" w:cs="Calibri"/>
          <w:color w:val="000000" w:themeColor="text1"/>
          <w:sz w:val="22"/>
        </w:rPr>
        <w:t xml:space="preserve"> v </w:t>
      </w:r>
      <w:r>
        <w:rPr>
          <w:rStyle w:val="normaltextrun"/>
          <w:rFonts w:ascii="Calibri" w:hAnsi="Calibri" w:cs="Calibri"/>
          <w:color w:val="000000" w:themeColor="text1"/>
          <w:sz w:val="22"/>
        </w:rPr>
        <w:t>době konference či krátkodobého zahraničního výjezdu hrazeného zaměstnavatelem.</w:t>
      </w:r>
      <w:r>
        <w:rPr>
          <w:rStyle w:val="Znakapoznpodarou"/>
          <w:rFonts w:ascii="Calibri" w:hAnsi="Calibri" w:cs="Calibri"/>
          <w:bCs/>
          <w:color w:val="000000" w:themeColor="text1"/>
          <w:sz w:val="22"/>
          <w:szCs w:val="22"/>
        </w:rPr>
        <w:footnoteReference w:id="22"/>
      </w:r>
      <w:r>
        <w:rPr>
          <w:rStyle w:val="normaltextrun"/>
          <w:rFonts w:ascii="Calibri" w:hAnsi="Calibri" w:cs="Calibri"/>
          <w:color w:val="000000" w:themeColor="text1"/>
          <w:sz w:val="22"/>
        </w:rPr>
        <w:t xml:space="preserve"> Ženy vědkyně se také setkávají</w:t>
      </w:r>
      <w:r w:rsidR="009B66B5">
        <w:rPr>
          <w:rStyle w:val="normaltextrun"/>
          <w:rFonts w:ascii="Calibri" w:hAnsi="Calibri" w:cs="Calibri"/>
          <w:color w:val="000000" w:themeColor="text1"/>
          <w:sz w:val="22"/>
        </w:rPr>
        <w:t xml:space="preserve"> s </w:t>
      </w:r>
      <w:r>
        <w:rPr>
          <w:rStyle w:val="normaltextrun"/>
          <w:rFonts w:ascii="Calibri" w:hAnsi="Calibri" w:cs="Calibri"/>
          <w:color w:val="000000" w:themeColor="text1"/>
          <w:sz w:val="22"/>
        </w:rPr>
        <w:t>růz</w:t>
      </w:r>
      <w:r>
        <w:rPr>
          <w:rStyle w:val="normaltextrun"/>
          <w:rFonts w:ascii="Calibri" w:hAnsi="Calibri" w:cs="Calibri"/>
          <w:color w:val="000000" w:themeColor="text1"/>
          <w:sz w:val="22"/>
        </w:rPr>
        <w:lastRenderedPageBreak/>
        <w:t>nými stereotypy související</w:t>
      </w:r>
      <w:r w:rsidR="009B66B5">
        <w:rPr>
          <w:rStyle w:val="normaltextrun"/>
          <w:rFonts w:ascii="Calibri" w:hAnsi="Calibri" w:cs="Calibri"/>
          <w:color w:val="000000" w:themeColor="text1"/>
          <w:sz w:val="22"/>
        </w:rPr>
        <w:t xml:space="preserve"> s </w:t>
      </w:r>
      <w:r>
        <w:rPr>
          <w:rStyle w:val="normaltextrun"/>
          <w:rFonts w:ascii="Calibri" w:hAnsi="Calibri" w:cs="Calibri"/>
          <w:color w:val="000000" w:themeColor="text1"/>
          <w:sz w:val="22"/>
        </w:rPr>
        <w:t>kariérou. 21,5 % žen do 30 let se setkalo</w:t>
      </w:r>
      <w:r w:rsidR="009B66B5">
        <w:rPr>
          <w:rStyle w:val="normaltextrun"/>
          <w:rFonts w:ascii="Calibri" w:hAnsi="Calibri" w:cs="Calibri"/>
          <w:color w:val="000000" w:themeColor="text1"/>
          <w:sz w:val="22"/>
        </w:rPr>
        <w:t xml:space="preserve"> s </w:t>
      </w:r>
      <w:r>
        <w:rPr>
          <w:rStyle w:val="normaltextrun"/>
          <w:rFonts w:ascii="Calibri" w:hAnsi="Calibri" w:cs="Calibri"/>
          <w:color w:val="000000" w:themeColor="text1"/>
          <w:sz w:val="22"/>
        </w:rPr>
        <w:t>názorem, že by</w:t>
      </w:r>
      <w:r w:rsidR="009B66B5">
        <w:rPr>
          <w:rStyle w:val="normaltextrun"/>
          <w:rFonts w:ascii="Calibri" w:hAnsi="Calibri" w:cs="Calibri"/>
          <w:color w:val="000000" w:themeColor="text1"/>
          <w:sz w:val="22"/>
        </w:rPr>
        <w:t xml:space="preserve"> v </w:t>
      </w:r>
      <w:r>
        <w:rPr>
          <w:rStyle w:val="normaltextrun"/>
          <w:rFonts w:ascii="Calibri" w:hAnsi="Calibri" w:cs="Calibri"/>
          <w:color w:val="000000" w:themeColor="text1"/>
          <w:sz w:val="22"/>
        </w:rPr>
        <w:t>případě narození dětí museli opustit zaměstnání, 20 % žen</w:t>
      </w:r>
      <w:r w:rsidR="009B66B5">
        <w:rPr>
          <w:rStyle w:val="normaltextrun"/>
          <w:rFonts w:ascii="Calibri" w:hAnsi="Calibri" w:cs="Calibri"/>
          <w:color w:val="000000" w:themeColor="text1"/>
          <w:sz w:val="22"/>
        </w:rPr>
        <w:t xml:space="preserve"> a </w:t>
      </w:r>
      <w:r>
        <w:rPr>
          <w:rStyle w:val="normaltextrun"/>
          <w:rFonts w:ascii="Calibri" w:hAnsi="Calibri" w:cs="Calibri"/>
          <w:color w:val="000000" w:themeColor="text1"/>
          <w:sz w:val="22"/>
        </w:rPr>
        <w:t>11,6 % mužů se pak setkalo</w:t>
      </w:r>
      <w:r w:rsidR="009B66B5">
        <w:rPr>
          <w:rStyle w:val="normaltextrun"/>
          <w:rFonts w:ascii="Calibri" w:hAnsi="Calibri" w:cs="Calibri"/>
          <w:color w:val="000000" w:themeColor="text1"/>
          <w:sz w:val="22"/>
        </w:rPr>
        <w:t xml:space="preserve"> s </w:t>
      </w:r>
      <w:r>
        <w:rPr>
          <w:rStyle w:val="normaltextrun"/>
          <w:rFonts w:ascii="Calibri" w:hAnsi="Calibri" w:cs="Calibri"/>
          <w:color w:val="000000" w:themeColor="text1"/>
          <w:sz w:val="22"/>
        </w:rPr>
        <w:t>názorem, že by nebylo vhodné zůstávat doma</w:t>
      </w:r>
      <w:r w:rsidR="009B66B5">
        <w:rPr>
          <w:rStyle w:val="normaltextrun"/>
          <w:rFonts w:ascii="Calibri" w:hAnsi="Calibri" w:cs="Calibri"/>
          <w:color w:val="000000" w:themeColor="text1"/>
          <w:sz w:val="22"/>
        </w:rPr>
        <w:t xml:space="preserve"> s </w:t>
      </w:r>
      <w:r>
        <w:rPr>
          <w:rStyle w:val="normaltextrun"/>
          <w:rFonts w:ascii="Calibri" w:hAnsi="Calibri" w:cs="Calibri"/>
          <w:color w:val="000000" w:themeColor="text1"/>
          <w:sz w:val="22"/>
        </w:rPr>
        <w:t>nemocnými dětmi.</w:t>
      </w:r>
      <w:r>
        <w:rPr>
          <w:rStyle w:val="Znakapoznpodarou"/>
          <w:rFonts w:ascii="Calibri" w:hAnsi="Calibri" w:cs="Calibri"/>
          <w:bCs/>
          <w:color w:val="000000" w:themeColor="text1"/>
          <w:sz w:val="22"/>
          <w:szCs w:val="22"/>
        </w:rPr>
        <w:footnoteReference w:id="23"/>
      </w:r>
      <w:r>
        <w:rPr>
          <w:rStyle w:val="normaltextrun"/>
          <w:rFonts w:ascii="Calibri" w:hAnsi="Calibri" w:cs="Calibri"/>
          <w:color w:val="000000" w:themeColor="text1"/>
          <w:sz w:val="22"/>
        </w:rPr>
        <w:t xml:space="preserve"> </w:t>
      </w:r>
    </w:p>
    <w:p w14:paraId="73CEB1D9" w14:textId="77777777" w:rsidR="00BA25C2" w:rsidRPr="005515AB" w:rsidRDefault="00BA25C2" w:rsidP="005515AB">
      <w:pPr>
        <w:pStyle w:val="Nadpis3"/>
      </w:pPr>
      <w:bookmarkStart w:id="21" w:name="_Toc114572317"/>
      <w:r w:rsidRPr="005515AB">
        <w:t>Jazyková vybavenost</w:t>
      </w:r>
      <w:bookmarkEnd w:id="21"/>
    </w:p>
    <w:p w14:paraId="5B89D15C" w14:textId="77777777" w:rsidR="00BA25C2" w:rsidRDefault="00CF7EE2" w:rsidP="00BA25C2">
      <w:pPr>
        <w:pStyle w:val="paragraph"/>
        <w:spacing w:before="0" w:beforeAutospacing="0" w:after="0" w:afterAutospacing="0"/>
        <w:jc w:val="both"/>
        <w:textAlignment w:val="baseline"/>
        <w:rPr>
          <w:rStyle w:val="normaltextrun"/>
          <w:rFonts w:ascii="Calibri" w:hAnsi="Calibri" w:cs="Calibri"/>
          <w:sz w:val="22"/>
        </w:rPr>
      </w:pPr>
      <w:r>
        <w:rPr>
          <w:rStyle w:val="normaltextrun"/>
          <w:rFonts w:ascii="Calibri" w:hAnsi="Calibri" w:cs="Calibri"/>
          <w:sz w:val="22"/>
        </w:rPr>
        <w:t>Aby se vědec či věd</w:t>
      </w:r>
      <w:r w:rsidR="00BA25C2">
        <w:rPr>
          <w:rStyle w:val="normaltextrun"/>
          <w:rFonts w:ascii="Calibri" w:hAnsi="Calibri" w:cs="Calibri"/>
          <w:sz w:val="22"/>
        </w:rPr>
        <w:t>kyně mohl</w:t>
      </w:r>
      <w:r>
        <w:rPr>
          <w:rStyle w:val="normaltextrun"/>
          <w:rFonts w:ascii="Calibri" w:hAnsi="Calibri" w:cs="Calibri"/>
          <w:sz w:val="22"/>
        </w:rPr>
        <w:t>i</w:t>
      </w:r>
      <w:r w:rsidR="00BA25C2">
        <w:rPr>
          <w:rStyle w:val="normaltextrun"/>
          <w:rFonts w:ascii="Calibri" w:hAnsi="Calibri" w:cs="Calibri"/>
          <w:sz w:val="22"/>
        </w:rPr>
        <w:t xml:space="preserve"> zapojit do mezinárodního projektu/týmu, podat přihlášku</w:t>
      </w:r>
      <w:r w:rsidR="009B66B5">
        <w:rPr>
          <w:rStyle w:val="normaltextrun"/>
          <w:rFonts w:ascii="Calibri" w:hAnsi="Calibri" w:cs="Calibri"/>
          <w:sz w:val="22"/>
        </w:rPr>
        <w:t xml:space="preserve"> v </w:t>
      </w:r>
      <w:r w:rsidR="00BA25C2">
        <w:rPr>
          <w:rStyle w:val="normaltextrun"/>
          <w:rFonts w:ascii="Calibri" w:hAnsi="Calibri" w:cs="Calibri"/>
          <w:sz w:val="22"/>
        </w:rPr>
        <w:t>cizím jazyce či vyjet do zahraničí</w:t>
      </w:r>
      <w:r w:rsidR="009B66B5">
        <w:rPr>
          <w:rStyle w:val="normaltextrun"/>
          <w:rFonts w:ascii="Calibri" w:hAnsi="Calibri" w:cs="Calibri"/>
          <w:sz w:val="22"/>
        </w:rPr>
        <w:t xml:space="preserve"> v </w:t>
      </w:r>
      <w:r w:rsidR="00BA25C2">
        <w:rPr>
          <w:rStyle w:val="normaltextrun"/>
          <w:rFonts w:ascii="Calibri" w:hAnsi="Calibri" w:cs="Calibri"/>
          <w:sz w:val="22"/>
        </w:rPr>
        <w:t>rámci mobility, potřebují mít dostatečnou úroveň cizího jazyka. Nejedná se ovšem pouze</w:t>
      </w:r>
      <w:r w:rsidR="009B66B5">
        <w:rPr>
          <w:rStyle w:val="normaltextrun"/>
          <w:rFonts w:ascii="Calibri" w:hAnsi="Calibri" w:cs="Calibri"/>
          <w:sz w:val="22"/>
        </w:rPr>
        <w:t xml:space="preserve"> o </w:t>
      </w:r>
      <w:r w:rsidR="00BA25C2">
        <w:rPr>
          <w:rStyle w:val="normaltextrun"/>
          <w:rFonts w:ascii="Calibri" w:hAnsi="Calibri" w:cs="Calibri"/>
          <w:sz w:val="22"/>
        </w:rPr>
        <w:t>mobilitu, mezi hlavními prioritami (nejen) Horizont</w:t>
      </w:r>
      <w:r w:rsidR="00D1688B">
        <w:rPr>
          <w:rStyle w:val="normaltextrun"/>
          <w:rFonts w:ascii="Calibri" w:hAnsi="Calibri" w:cs="Calibri"/>
          <w:sz w:val="22"/>
        </w:rPr>
        <w:t>u</w:t>
      </w:r>
      <w:r w:rsidR="00BA25C2">
        <w:rPr>
          <w:rStyle w:val="normaltextrun"/>
          <w:rFonts w:ascii="Calibri" w:hAnsi="Calibri" w:cs="Calibri"/>
          <w:sz w:val="22"/>
        </w:rPr>
        <w:t xml:space="preserve"> Evropa jsou internacionalizace</w:t>
      </w:r>
      <w:r w:rsidR="009B66B5">
        <w:rPr>
          <w:rStyle w:val="normaltextrun"/>
          <w:rFonts w:ascii="Calibri" w:hAnsi="Calibri" w:cs="Calibri"/>
          <w:sz w:val="22"/>
        </w:rPr>
        <w:t xml:space="preserve"> a </w:t>
      </w:r>
      <w:r w:rsidR="00BA25C2">
        <w:rPr>
          <w:rStyle w:val="normaltextrun"/>
          <w:rFonts w:ascii="Calibri" w:hAnsi="Calibri" w:cs="Calibri"/>
          <w:sz w:val="22"/>
        </w:rPr>
        <w:t>zahraniční spolupráce</w:t>
      </w:r>
      <w:r w:rsidR="00BA25C2">
        <w:rPr>
          <w:rStyle w:val="Znakapoznpodarou"/>
          <w:rFonts w:ascii="Calibri" w:hAnsi="Calibri" w:cs="Calibri"/>
          <w:sz w:val="22"/>
          <w:szCs w:val="22"/>
        </w:rPr>
        <w:footnoteReference w:id="24"/>
      </w:r>
      <w:r w:rsidR="00BA25C2">
        <w:rPr>
          <w:rStyle w:val="normaltextrun"/>
          <w:rFonts w:ascii="Calibri" w:hAnsi="Calibri" w:cs="Calibri"/>
          <w:sz w:val="22"/>
        </w:rPr>
        <w:t>, kde je také nutná dostatečná jazyková vybavenost. I zde najdeme rozdíly mezi vědci</w:t>
      </w:r>
      <w:r w:rsidR="009B66B5">
        <w:rPr>
          <w:rStyle w:val="normaltextrun"/>
          <w:rFonts w:ascii="Calibri" w:hAnsi="Calibri" w:cs="Calibri"/>
          <w:sz w:val="22"/>
        </w:rPr>
        <w:t xml:space="preserve"> a </w:t>
      </w:r>
      <w:r w:rsidR="00BA25C2">
        <w:rPr>
          <w:rStyle w:val="normaltextrun"/>
          <w:rFonts w:ascii="Calibri" w:hAnsi="Calibri" w:cs="Calibri"/>
          <w:sz w:val="22"/>
        </w:rPr>
        <w:t>vědkyněmi. V dotazníkovém šetření Akademici</w:t>
      </w:r>
      <w:r w:rsidR="009B66B5">
        <w:rPr>
          <w:rStyle w:val="normaltextrun"/>
          <w:rFonts w:ascii="Calibri" w:hAnsi="Calibri" w:cs="Calibri"/>
          <w:sz w:val="22"/>
        </w:rPr>
        <w:t xml:space="preserve"> a </w:t>
      </w:r>
      <w:r w:rsidR="00BA25C2">
        <w:rPr>
          <w:rStyle w:val="normaltextrun"/>
          <w:rFonts w:ascii="Calibri" w:hAnsi="Calibri" w:cs="Calibri"/>
          <w:sz w:val="22"/>
        </w:rPr>
        <w:t>Akademičky 2018 uvedlo nedostatečnou znalost cizího jazyka 14,2 % mužů</w:t>
      </w:r>
      <w:r w:rsidR="009B66B5">
        <w:rPr>
          <w:rStyle w:val="normaltextrun"/>
          <w:rFonts w:ascii="Calibri" w:hAnsi="Calibri" w:cs="Calibri"/>
          <w:sz w:val="22"/>
        </w:rPr>
        <w:t xml:space="preserve"> a </w:t>
      </w:r>
      <w:r w:rsidR="00BA25C2">
        <w:rPr>
          <w:rStyle w:val="normaltextrun"/>
          <w:rFonts w:ascii="Calibri" w:hAnsi="Calibri" w:cs="Calibri"/>
          <w:sz w:val="22"/>
        </w:rPr>
        <w:t>19 % žen. Tento aspekt je ovšem spojen také</w:t>
      </w:r>
      <w:r w:rsidR="009B66B5">
        <w:rPr>
          <w:rStyle w:val="normaltextrun"/>
          <w:rFonts w:ascii="Calibri" w:hAnsi="Calibri" w:cs="Calibri"/>
          <w:sz w:val="22"/>
        </w:rPr>
        <w:t xml:space="preserve"> s </w:t>
      </w:r>
      <w:r w:rsidR="00BA25C2">
        <w:rPr>
          <w:rStyle w:val="normaltextrun"/>
          <w:rFonts w:ascii="Calibri" w:hAnsi="Calibri" w:cs="Calibri"/>
          <w:sz w:val="22"/>
        </w:rPr>
        <w:t>věkovým faktorem, některé vědkyně považují tento problém za generační problém</w:t>
      </w:r>
      <w:r w:rsidR="009B66B5">
        <w:rPr>
          <w:rStyle w:val="normaltextrun"/>
          <w:rFonts w:ascii="Calibri" w:hAnsi="Calibri" w:cs="Calibri"/>
          <w:sz w:val="22"/>
        </w:rPr>
        <w:t xml:space="preserve"> a </w:t>
      </w:r>
      <w:r w:rsidR="00BA25C2">
        <w:rPr>
          <w:rStyle w:val="normaltextrun"/>
          <w:rFonts w:ascii="Calibri" w:hAnsi="Calibri" w:cs="Calibri"/>
          <w:sz w:val="22"/>
        </w:rPr>
        <w:t>myslí si, že se týká spíše seniorních vědců</w:t>
      </w:r>
      <w:r w:rsidR="009B66B5">
        <w:rPr>
          <w:rStyle w:val="normaltextrun"/>
          <w:rFonts w:ascii="Calibri" w:hAnsi="Calibri" w:cs="Calibri"/>
          <w:sz w:val="22"/>
        </w:rPr>
        <w:t xml:space="preserve"> a </w:t>
      </w:r>
      <w:r>
        <w:rPr>
          <w:rStyle w:val="normaltextrun"/>
          <w:rFonts w:ascii="Calibri" w:hAnsi="Calibri" w:cs="Calibri"/>
          <w:sz w:val="22"/>
        </w:rPr>
        <w:t>věd</w:t>
      </w:r>
      <w:r w:rsidR="00BA25C2">
        <w:rPr>
          <w:rStyle w:val="normaltextrun"/>
          <w:rFonts w:ascii="Calibri" w:hAnsi="Calibri" w:cs="Calibri"/>
          <w:sz w:val="22"/>
        </w:rPr>
        <w:t>kyň.</w:t>
      </w:r>
      <w:r w:rsidR="00BA25C2">
        <w:rPr>
          <w:rStyle w:val="Znakapoznpodarou"/>
          <w:rFonts w:ascii="Calibri" w:hAnsi="Calibri" w:cs="Calibri"/>
          <w:sz w:val="22"/>
          <w:szCs w:val="22"/>
        </w:rPr>
        <w:footnoteReference w:id="25"/>
      </w:r>
    </w:p>
    <w:p w14:paraId="143E5FBC" w14:textId="77777777" w:rsidR="00D03746" w:rsidRDefault="00D03746" w:rsidP="005515AB">
      <w:pPr>
        <w:pStyle w:val="Nadpis2"/>
      </w:pPr>
      <w:bookmarkStart w:id="22" w:name="_Toc114572318"/>
      <w:r>
        <w:t>Závěr</w:t>
      </w:r>
      <w:bookmarkEnd w:id="22"/>
    </w:p>
    <w:p w14:paraId="37EB7535" w14:textId="77777777" w:rsidR="005022B4" w:rsidRPr="00DF7764" w:rsidRDefault="004D6E48" w:rsidP="00DF7764">
      <w:pPr>
        <w:spacing w:after="0" w:line="257" w:lineRule="auto"/>
        <w:rPr>
          <w:rFonts w:asciiTheme="minorHAnsi" w:eastAsia="Cambria" w:hAnsiTheme="minorHAnsi" w:cstheme="minorHAnsi"/>
        </w:rPr>
      </w:pPr>
      <w:r>
        <w:t>Z</w:t>
      </w:r>
      <w:r w:rsidRPr="00DF7764">
        <w:rPr>
          <w:rFonts w:asciiTheme="minorHAnsi" w:eastAsia="Cambria" w:hAnsiTheme="minorHAnsi" w:cstheme="minorHAnsi"/>
        </w:rPr>
        <w:t xml:space="preserve">e zpracovaných </w:t>
      </w:r>
      <w:r w:rsidR="005022B4" w:rsidRPr="00DF7764">
        <w:rPr>
          <w:rFonts w:asciiTheme="minorHAnsi" w:eastAsia="Cambria" w:hAnsiTheme="minorHAnsi" w:cstheme="minorHAnsi"/>
        </w:rPr>
        <w:t xml:space="preserve">analýz </w:t>
      </w:r>
      <w:r w:rsidRPr="00DF7764">
        <w:rPr>
          <w:rFonts w:asciiTheme="minorHAnsi" w:eastAsia="Cambria" w:hAnsiTheme="minorHAnsi" w:cstheme="minorHAnsi"/>
        </w:rPr>
        <w:t>vyplývá</w:t>
      </w:r>
      <w:r w:rsidR="005022B4" w:rsidRPr="00DF7764">
        <w:rPr>
          <w:rFonts w:asciiTheme="minorHAnsi" w:eastAsia="Cambria" w:hAnsiTheme="minorHAnsi" w:cstheme="minorHAnsi"/>
        </w:rPr>
        <w:t xml:space="preserve">, </w:t>
      </w:r>
      <w:r w:rsidRPr="00DF7764">
        <w:rPr>
          <w:rFonts w:asciiTheme="minorHAnsi" w:eastAsia="Cambria" w:hAnsiTheme="minorHAnsi" w:cstheme="minorHAnsi"/>
        </w:rPr>
        <w:t>že</w:t>
      </w:r>
      <w:r w:rsidR="009B66B5">
        <w:rPr>
          <w:rFonts w:asciiTheme="minorHAnsi" w:eastAsia="Cambria" w:hAnsiTheme="minorHAnsi" w:cstheme="minorHAnsi"/>
        </w:rPr>
        <w:t xml:space="preserve"> i </w:t>
      </w:r>
      <w:r w:rsidR="00652B1C" w:rsidRPr="00DF7764">
        <w:rPr>
          <w:rFonts w:asciiTheme="minorHAnsi" w:eastAsia="Cambria" w:hAnsiTheme="minorHAnsi" w:cstheme="minorHAnsi"/>
        </w:rPr>
        <w:t xml:space="preserve">přes patrné pozitivní trendy </w:t>
      </w:r>
      <w:r w:rsidRPr="00DF7764">
        <w:rPr>
          <w:rFonts w:asciiTheme="minorHAnsi" w:eastAsia="Cambria" w:hAnsiTheme="minorHAnsi" w:cstheme="minorHAnsi"/>
        </w:rPr>
        <w:t>účast ČR</w:t>
      </w:r>
      <w:r w:rsidR="009B66B5">
        <w:rPr>
          <w:rFonts w:asciiTheme="minorHAnsi" w:eastAsia="Cambria" w:hAnsiTheme="minorHAnsi" w:cstheme="minorHAnsi"/>
        </w:rPr>
        <w:t xml:space="preserve"> v </w:t>
      </w:r>
      <w:r w:rsidR="00D1688B">
        <w:rPr>
          <w:rFonts w:asciiTheme="minorHAnsi" w:eastAsia="Cambria" w:hAnsiTheme="minorHAnsi" w:cstheme="minorHAnsi"/>
        </w:rPr>
        <w:t>RP</w:t>
      </w:r>
      <w:r w:rsidRPr="00DF7764">
        <w:rPr>
          <w:rFonts w:asciiTheme="minorHAnsi" w:eastAsia="Cambria" w:hAnsiTheme="minorHAnsi" w:cstheme="minorHAnsi"/>
        </w:rPr>
        <w:t xml:space="preserve"> stále neodpovídá velikost</w:t>
      </w:r>
      <w:r w:rsidR="003B4A96">
        <w:rPr>
          <w:rFonts w:asciiTheme="minorHAnsi" w:eastAsia="Cambria" w:hAnsiTheme="minorHAnsi" w:cstheme="minorHAnsi"/>
        </w:rPr>
        <w:t>i</w:t>
      </w:r>
      <w:r w:rsidRPr="00DF7764">
        <w:rPr>
          <w:rFonts w:asciiTheme="minorHAnsi" w:eastAsia="Cambria" w:hAnsiTheme="minorHAnsi" w:cstheme="minorHAnsi"/>
        </w:rPr>
        <w:t xml:space="preserve"> systému</w:t>
      </w:r>
      <w:r w:rsidR="00D1688B">
        <w:rPr>
          <w:rFonts w:asciiTheme="minorHAnsi" w:eastAsia="Cambria" w:hAnsiTheme="minorHAnsi" w:cstheme="minorHAnsi"/>
        </w:rPr>
        <w:t xml:space="preserve"> VaVaI</w:t>
      </w:r>
      <w:r w:rsidRPr="00DF7764">
        <w:rPr>
          <w:rFonts w:asciiTheme="minorHAnsi" w:eastAsia="Cambria" w:hAnsiTheme="minorHAnsi" w:cstheme="minorHAnsi"/>
        </w:rPr>
        <w:t xml:space="preserve">. </w:t>
      </w:r>
      <w:r w:rsidR="00652B1C" w:rsidRPr="00DF7764">
        <w:rPr>
          <w:rFonts w:asciiTheme="minorHAnsi" w:eastAsia="Cambria" w:hAnsiTheme="minorHAnsi" w:cstheme="minorHAnsi"/>
        </w:rPr>
        <w:t>Ke zlepšení dochází zejména</w:t>
      </w:r>
      <w:r w:rsidR="009B66B5">
        <w:rPr>
          <w:rFonts w:asciiTheme="minorHAnsi" w:eastAsia="Cambria" w:hAnsiTheme="minorHAnsi" w:cstheme="minorHAnsi"/>
        </w:rPr>
        <w:t xml:space="preserve"> v </w:t>
      </w:r>
      <w:r w:rsidR="00652B1C" w:rsidRPr="00DF7764">
        <w:rPr>
          <w:rFonts w:asciiTheme="minorHAnsi" w:eastAsia="Cambria" w:hAnsiTheme="minorHAnsi" w:cstheme="minorHAnsi"/>
        </w:rPr>
        <w:t>případě ERC grantů, jejich</w:t>
      </w:r>
      <w:r w:rsidR="00886614">
        <w:rPr>
          <w:rFonts w:asciiTheme="minorHAnsi" w:eastAsia="Cambria" w:hAnsiTheme="minorHAnsi" w:cstheme="minorHAnsi"/>
        </w:rPr>
        <w:t>ž</w:t>
      </w:r>
      <w:r w:rsidR="00652B1C" w:rsidRPr="00DF7764">
        <w:rPr>
          <w:rFonts w:asciiTheme="minorHAnsi" w:eastAsia="Cambria" w:hAnsiTheme="minorHAnsi" w:cstheme="minorHAnsi"/>
        </w:rPr>
        <w:t xml:space="preserve"> počet se oproti minulým </w:t>
      </w:r>
      <w:r w:rsidR="00BF22D3">
        <w:rPr>
          <w:rFonts w:asciiTheme="minorHAnsi" w:eastAsia="Cambria" w:hAnsiTheme="minorHAnsi" w:cstheme="minorHAnsi"/>
        </w:rPr>
        <w:t xml:space="preserve">obdobím </w:t>
      </w:r>
      <w:r w:rsidR="00652B1C" w:rsidRPr="00DF7764">
        <w:rPr>
          <w:rFonts w:asciiTheme="minorHAnsi" w:eastAsia="Cambria" w:hAnsiTheme="minorHAnsi" w:cstheme="minorHAnsi"/>
        </w:rPr>
        <w:t>zvýšil. Z analýz také vyplývá</w:t>
      </w:r>
      <w:r w:rsidR="003C6FB8">
        <w:rPr>
          <w:rFonts w:asciiTheme="minorHAnsi" w:eastAsia="Cambria" w:hAnsiTheme="minorHAnsi" w:cstheme="minorHAnsi"/>
        </w:rPr>
        <w:t>,</w:t>
      </w:r>
      <w:r w:rsidR="00652B1C" w:rsidRPr="00DF7764">
        <w:rPr>
          <w:rFonts w:asciiTheme="minorHAnsi" w:eastAsia="Cambria" w:hAnsiTheme="minorHAnsi" w:cstheme="minorHAnsi"/>
        </w:rPr>
        <w:t xml:space="preserve"> že některé české týmy úspěšně</w:t>
      </w:r>
      <w:r w:rsidR="009B66B5">
        <w:rPr>
          <w:rFonts w:asciiTheme="minorHAnsi" w:eastAsia="Cambria" w:hAnsiTheme="minorHAnsi" w:cstheme="minorHAnsi"/>
        </w:rPr>
        <w:t xml:space="preserve"> a </w:t>
      </w:r>
      <w:r w:rsidR="00652B1C" w:rsidRPr="00DF7764">
        <w:rPr>
          <w:rFonts w:asciiTheme="minorHAnsi" w:eastAsia="Cambria" w:hAnsiTheme="minorHAnsi" w:cstheme="minorHAnsi"/>
        </w:rPr>
        <w:t>opakovaně využ</w:t>
      </w:r>
      <w:r w:rsidR="00D1688B">
        <w:rPr>
          <w:rFonts w:asciiTheme="minorHAnsi" w:eastAsia="Cambria" w:hAnsiTheme="minorHAnsi" w:cstheme="minorHAnsi"/>
        </w:rPr>
        <w:t>ily</w:t>
      </w:r>
      <w:r w:rsidR="00652B1C" w:rsidRPr="00DF7764">
        <w:rPr>
          <w:rFonts w:asciiTheme="minorHAnsi" w:eastAsia="Cambria" w:hAnsiTheme="minorHAnsi" w:cstheme="minorHAnsi"/>
        </w:rPr>
        <w:t xml:space="preserve"> příležitost spolupracovat</w:t>
      </w:r>
      <w:r w:rsidR="009B66B5">
        <w:rPr>
          <w:rFonts w:asciiTheme="minorHAnsi" w:eastAsia="Cambria" w:hAnsiTheme="minorHAnsi" w:cstheme="minorHAnsi"/>
        </w:rPr>
        <w:t xml:space="preserve"> v </w:t>
      </w:r>
      <w:r w:rsidR="00652B1C" w:rsidRPr="00DF7764">
        <w:rPr>
          <w:rFonts w:asciiTheme="minorHAnsi" w:eastAsia="Cambria" w:hAnsiTheme="minorHAnsi" w:cstheme="minorHAnsi"/>
        </w:rPr>
        <w:t>projektech 7. RP</w:t>
      </w:r>
      <w:r w:rsidR="009B66B5">
        <w:rPr>
          <w:rFonts w:asciiTheme="minorHAnsi" w:eastAsia="Cambria" w:hAnsiTheme="minorHAnsi" w:cstheme="minorHAnsi"/>
        </w:rPr>
        <w:t xml:space="preserve"> a </w:t>
      </w:r>
      <w:r w:rsidR="00652B1C" w:rsidRPr="00DF7764">
        <w:rPr>
          <w:rFonts w:asciiTheme="minorHAnsi" w:eastAsia="Cambria" w:hAnsiTheme="minorHAnsi" w:cstheme="minorHAnsi"/>
        </w:rPr>
        <w:t>H</w:t>
      </w:r>
      <w:r w:rsidR="00D1688B">
        <w:rPr>
          <w:rFonts w:asciiTheme="minorHAnsi" w:eastAsia="Cambria" w:hAnsiTheme="minorHAnsi" w:cstheme="minorHAnsi"/>
        </w:rPr>
        <w:t xml:space="preserve">orizontu </w:t>
      </w:r>
      <w:r w:rsidR="00652B1C" w:rsidRPr="00DF7764">
        <w:rPr>
          <w:rFonts w:asciiTheme="minorHAnsi" w:eastAsia="Cambria" w:hAnsiTheme="minorHAnsi" w:cstheme="minorHAnsi"/>
        </w:rPr>
        <w:t>2020</w:t>
      </w:r>
      <w:r w:rsidR="009B66B5">
        <w:rPr>
          <w:rFonts w:asciiTheme="minorHAnsi" w:eastAsia="Cambria" w:hAnsiTheme="minorHAnsi" w:cstheme="minorHAnsi"/>
        </w:rPr>
        <w:t xml:space="preserve"> s </w:t>
      </w:r>
      <w:r w:rsidR="00652B1C" w:rsidRPr="00DF7764">
        <w:rPr>
          <w:rFonts w:asciiTheme="minorHAnsi" w:eastAsia="Cambria" w:hAnsiTheme="minorHAnsi" w:cstheme="minorHAnsi"/>
        </w:rPr>
        <w:t>týmy</w:t>
      </w:r>
      <w:r w:rsidR="009B66B5">
        <w:rPr>
          <w:rFonts w:asciiTheme="minorHAnsi" w:eastAsia="Cambria" w:hAnsiTheme="minorHAnsi" w:cstheme="minorHAnsi"/>
        </w:rPr>
        <w:t xml:space="preserve"> z </w:t>
      </w:r>
      <w:r w:rsidR="00652B1C" w:rsidRPr="00DF7764">
        <w:rPr>
          <w:rFonts w:asciiTheme="minorHAnsi" w:eastAsia="Cambria" w:hAnsiTheme="minorHAnsi" w:cstheme="minorHAnsi"/>
        </w:rPr>
        <w:t>nejvýznamnějších evropských institucí, což vypovídá</w:t>
      </w:r>
      <w:r w:rsidR="009B66B5">
        <w:rPr>
          <w:rFonts w:asciiTheme="minorHAnsi" w:eastAsia="Cambria" w:hAnsiTheme="minorHAnsi" w:cstheme="minorHAnsi"/>
        </w:rPr>
        <w:t xml:space="preserve"> o </w:t>
      </w:r>
      <w:r w:rsidR="00652B1C" w:rsidRPr="00DF7764">
        <w:rPr>
          <w:rFonts w:asciiTheme="minorHAnsi" w:eastAsia="Cambria" w:hAnsiTheme="minorHAnsi" w:cstheme="minorHAnsi"/>
        </w:rPr>
        <w:t>jejich kvalitě</w:t>
      </w:r>
      <w:r w:rsidR="009B66B5">
        <w:rPr>
          <w:rFonts w:asciiTheme="minorHAnsi" w:eastAsia="Cambria" w:hAnsiTheme="minorHAnsi" w:cstheme="minorHAnsi"/>
        </w:rPr>
        <w:t xml:space="preserve"> v </w:t>
      </w:r>
      <w:r w:rsidR="00652B1C" w:rsidRPr="00DF7764">
        <w:rPr>
          <w:rFonts w:asciiTheme="minorHAnsi" w:eastAsia="Cambria" w:hAnsiTheme="minorHAnsi" w:cstheme="minorHAnsi"/>
        </w:rPr>
        <w:t>mezinárodním srovnání.</w:t>
      </w:r>
    </w:p>
    <w:p w14:paraId="5EFC37C9" w14:textId="77777777" w:rsidR="001755F9" w:rsidRDefault="001755F9" w:rsidP="00C85F8F">
      <w:pPr>
        <w:spacing w:after="0" w:line="257" w:lineRule="auto"/>
        <w:rPr>
          <w:rFonts w:asciiTheme="minorHAnsi" w:eastAsia="Cambria" w:hAnsiTheme="minorHAnsi" w:cstheme="minorHAnsi"/>
        </w:rPr>
      </w:pPr>
      <w:r w:rsidRPr="00DF7764">
        <w:rPr>
          <w:rFonts w:asciiTheme="minorHAnsi" w:eastAsia="Cambria" w:hAnsiTheme="minorHAnsi" w:cstheme="minorHAnsi"/>
        </w:rPr>
        <w:t xml:space="preserve">Analýzy také prokázaly, že </w:t>
      </w:r>
      <w:r w:rsidR="00D1688B">
        <w:rPr>
          <w:rFonts w:asciiTheme="minorHAnsi" w:eastAsia="Cambria" w:hAnsiTheme="minorHAnsi" w:cstheme="minorHAnsi"/>
        </w:rPr>
        <w:t>RP</w:t>
      </w:r>
      <w:r w:rsidRPr="00DF7764">
        <w:rPr>
          <w:rFonts w:asciiTheme="minorHAnsi" w:eastAsia="Cambria" w:hAnsiTheme="minorHAnsi" w:cstheme="minorHAnsi"/>
        </w:rPr>
        <w:t xml:space="preserve"> založené na mezinárodní spolupráci výzkumných týmů vedou u českých výzkumníků</w:t>
      </w:r>
      <w:r w:rsidR="009B66B5">
        <w:rPr>
          <w:rFonts w:asciiTheme="minorHAnsi" w:eastAsia="Cambria" w:hAnsiTheme="minorHAnsi" w:cstheme="minorHAnsi"/>
        </w:rPr>
        <w:t xml:space="preserve"> k </w:t>
      </w:r>
      <w:r w:rsidRPr="00DF7764">
        <w:rPr>
          <w:rFonts w:asciiTheme="minorHAnsi" w:eastAsia="Cambria" w:hAnsiTheme="minorHAnsi" w:cstheme="minorHAnsi"/>
        </w:rPr>
        <w:t>vyšší kvalitě jejich publikačních výstupů, která se projevuje ve větší citovanosti výsledných publikací. Rovněž se ukazuje, že</w:t>
      </w:r>
      <w:r w:rsidR="009B66B5">
        <w:rPr>
          <w:rFonts w:asciiTheme="minorHAnsi" w:eastAsia="Cambria" w:hAnsiTheme="minorHAnsi" w:cstheme="minorHAnsi"/>
        </w:rPr>
        <w:t xml:space="preserve"> v </w:t>
      </w:r>
      <w:r w:rsidRPr="00DF7764">
        <w:rPr>
          <w:rFonts w:asciiTheme="minorHAnsi" w:eastAsia="Cambria" w:hAnsiTheme="minorHAnsi" w:cstheme="minorHAnsi"/>
        </w:rPr>
        <w:t>některých oborech je vysoký počet citací publikačních výstupů přímo podmíněn účastí</w:t>
      </w:r>
      <w:r w:rsidR="009B66B5">
        <w:rPr>
          <w:rFonts w:asciiTheme="minorHAnsi" w:eastAsia="Cambria" w:hAnsiTheme="minorHAnsi" w:cstheme="minorHAnsi"/>
        </w:rPr>
        <w:t xml:space="preserve"> v </w:t>
      </w:r>
      <w:r w:rsidRPr="00DF7764">
        <w:rPr>
          <w:rFonts w:asciiTheme="minorHAnsi" w:eastAsia="Cambria" w:hAnsiTheme="minorHAnsi" w:cstheme="minorHAnsi"/>
        </w:rPr>
        <w:t xml:space="preserve">RP. I </w:t>
      </w:r>
      <w:r w:rsidR="00A91DC0">
        <w:rPr>
          <w:rFonts w:asciiTheme="minorHAnsi" w:eastAsia="Cambria" w:hAnsiTheme="minorHAnsi" w:cstheme="minorHAnsi"/>
        </w:rPr>
        <w:t>když</w:t>
      </w:r>
      <w:r w:rsidR="009B66B5">
        <w:rPr>
          <w:rFonts w:asciiTheme="minorHAnsi" w:eastAsia="Cambria" w:hAnsiTheme="minorHAnsi" w:cstheme="minorHAnsi"/>
        </w:rPr>
        <w:t xml:space="preserve"> v </w:t>
      </w:r>
      <w:r w:rsidRPr="00DF7764">
        <w:rPr>
          <w:rFonts w:asciiTheme="minorHAnsi" w:eastAsia="Cambria" w:hAnsiTheme="minorHAnsi" w:cstheme="minorHAnsi"/>
        </w:rPr>
        <w:t>ČR zatím vzniká</w:t>
      </w:r>
      <w:r w:rsidR="009B66B5">
        <w:rPr>
          <w:rFonts w:asciiTheme="minorHAnsi" w:eastAsia="Cambria" w:hAnsiTheme="minorHAnsi" w:cstheme="minorHAnsi"/>
        </w:rPr>
        <w:t xml:space="preserve"> v </w:t>
      </w:r>
      <w:r w:rsidRPr="00DF7764">
        <w:rPr>
          <w:rFonts w:asciiTheme="minorHAnsi" w:eastAsia="Cambria" w:hAnsiTheme="minorHAnsi" w:cstheme="minorHAnsi"/>
        </w:rPr>
        <w:t>RP relativně málo publikací (so</w:t>
      </w:r>
      <w:r w:rsidR="005022B4" w:rsidRPr="00DF7764">
        <w:rPr>
          <w:rFonts w:asciiTheme="minorHAnsi" w:eastAsia="Cambria" w:hAnsiTheme="minorHAnsi" w:cstheme="minorHAnsi"/>
        </w:rPr>
        <w:t>uvislosti</w:t>
      </w:r>
      <w:r w:rsidR="009B66B5">
        <w:rPr>
          <w:rFonts w:asciiTheme="minorHAnsi" w:eastAsia="Cambria" w:hAnsiTheme="minorHAnsi" w:cstheme="minorHAnsi"/>
        </w:rPr>
        <w:t xml:space="preserve"> s </w:t>
      </w:r>
      <w:r w:rsidR="005022B4" w:rsidRPr="00DF7764">
        <w:rPr>
          <w:rFonts w:asciiTheme="minorHAnsi" w:eastAsia="Cambria" w:hAnsiTheme="minorHAnsi" w:cstheme="minorHAnsi"/>
        </w:rPr>
        <w:t>nižší účastí českých týmů</w:t>
      </w:r>
      <w:r w:rsidR="009B66B5">
        <w:rPr>
          <w:rFonts w:asciiTheme="minorHAnsi" w:eastAsia="Cambria" w:hAnsiTheme="minorHAnsi" w:cstheme="minorHAnsi"/>
        </w:rPr>
        <w:t xml:space="preserve"> v </w:t>
      </w:r>
      <w:r w:rsidR="005022B4" w:rsidRPr="00DF7764">
        <w:rPr>
          <w:rFonts w:asciiTheme="minorHAnsi" w:eastAsia="Cambria" w:hAnsiTheme="minorHAnsi" w:cstheme="minorHAnsi"/>
        </w:rPr>
        <w:t>RP)</w:t>
      </w:r>
      <w:r w:rsidRPr="00DF7764">
        <w:rPr>
          <w:rFonts w:asciiTheme="minorHAnsi" w:eastAsia="Cambria" w:hAnsiTheme="minorHAnsi" w:cstheme="minorHAnsi"/>
        </w:rPr>
        <w:t xml:space="preserve">, </w:t>
      </w:r>
      <w:r w:rsidR="005022B4" w:rsidRPr="00DF7764">
        <w:rPr>
          <w:rFonts w:asciiTheme="minorHAnsi" w:eastAsia="Cambria" w:hAnsiTheme="minorHAnsi" w:cstheme="minorHAnsi"/>
        </w:rPr>
        <w:t>patří</w:t>
      </w:r>
      <w:r w:rsidRPr="00DF7764">
        <w:rPr>
          <w:rFonts w:asciiTheme="minorHAnsi" w:eastAsia="Cambria" w:hAnsiTheme="minorHAnsi" w:cstheme="minorHAnsi"/>
        </w:rPr>
        <w:t xml:space="preserve"> </w:t>
      </w:r>
      <w:r w:rsidR="005022B4" w:rsidRPr="00DF7764">
        <w:rPr>
          <w:rFonts w:asciiTheme="minorHAnsi" w:eastAsia="Cambria" w:hAnsiTheme="minorHAnsi" w:cstheme="minorHAnsi"/>
        </w:rPr>
        <w:t>t</w:t>
      </w:r>
      <w:r w:rsidRPr="00DF7764">
        <w:rPr>
          <w:rFonts w:asciiTheme="minorHAnsi" w:eastAsia="Cambria" w:hAnsiTheme="minorHAnsi" w:cstheme="minorHAnsi"/>
        </w:rPr>
        <w:t xml:space="preserve">yto publikace podle bibliometrických </w:t>
      </w:r>
      <w:r w:rsidR="009317F7">
        <w:rPr>
          <w:rFonts w:asciiTheme="minorHAnsi" w:eastAsia="Cambria" w:hAnsiTheme="minorHAnsi" w:cstheme="minorHAnsi"/>
        </w:rPr>
        <w:t xml:space="preserve">ukazatelů </w:t>
      </w:r>
      <w:r w:rsidR="005022B4" w:rsidRPr="00DF7764">
        <w:rPr>
          <w:rFonts w:asciiTheme="minorHAnsi" w:eastAsia="Cambria" w:hAnsiTheme="minorHAnsi" w:cstheme="minorHAnsi"/>
        </w:rPr>
        <w:t>mezi nejkvalitnější</w:t>
      </w:r>
      <w:r w:rsidR="009B66B5">
        <w:rPr>
          <w:rFonts w:asciiTheme="minorHAnsi" w:eastAsia="Cambria" w:hAnsiTheme="minorHAnsi" w:cstheme="minorHAnsi"/>
        </w:rPr>
        <w:t xml:space="preserve"> v </w:t>
      </w:r>
      <w:r w:rsidR="005022B4" w:rsidRPr="00DF7764">
        <w:rPr>
          <w:rFonts w:asciiTheme="minorHAnsi" w:eastAsia="Cambria" w:hAnsiTheme="minorHAnsi" w:cstheme="minorHAnsi"/>
        </w:rPr>
        <w:t>publikačním výstupu</w:t>
      </w:r>
      <w:r w:rsidR="009B66B5">
        <w:rPr>
          <w:rFonts w:asciiTheme="minorHAnsi" w:eastAsia="Cambria" w:hAnsiTheme="minorHAnsi" w:cstheme="minorHAnsi"/>
        </w:rPr>
        <w:t xml:space="preserve"> z </w:t>
      </w:r>
      <w:r w:rsidR="00CF1456">
        <w:rPr>
          <w:rFonts w:asciiTheme="minorHAnsi" w:eastAsia="Cambria" w:hAnsiTheme="minorHAnsi" w:cstheme="minorHAnsi"/>
        </w:rPr>
        <w:t>ČR</w:t>
      </w:r>
      <w:r w:rsidR="005022B4" w:rsidRPr="00DF7764">
        <w:rPr>
          <w:rFonts w:asciiTheme="minorHAnsi" w:eastAsia="Cambria" w:hAnsiTheme="minorHAnsi" w:cstheme="minorHAnsi"/>
        </w:rPr>
        <w:t>.</w:t>
      </w:r>
    </w:p>
    <w:p w14:paraId="0CF50971" w14:textId="77777777" w:rsidR="00022596" w:rsidRPr="0028523C" w:rsidRDefault="004E41E3" w:rsidP="00952897">
      <w:pPr>
        <w:spacing w:after="160" w:line="259" w:lineRule="auto"/>
        <w:rPr>
          <w:rFonts w:asciiTheme="minorHAnsi" w:eastAsia="Cambria" w:hAnsiTheme="minorHAnsi" w:cstheme="minorHAnsi"/>
          <w:color w:val="000000" w:themeColor="text1"/>
        </w:rPr>
      </w:pPr>
      <w:r>
        <w:rPr>
          <w:rFonts w:asciiTheme="minorHAnsi" w:eastAsia="Cambria" w:hAnsiTheme="minorHAnsi" w:cstheme="minorHAnsi"/>
        </w:rPr>
        <w:t>Do budoucna je proto zapotřebí usilovat</w:t>
      </w:r>
      <w:r w:rsidR="009B66B5">
        <w:rPr>
          <w:rFonts w:asciiTheme="minorHAnsi" w:eastAsia="Cambria" w:hAnsiTheme="minorHAnsi" w:cstheme="minorHAnsi"/>
        </w:rPr>
        <w:t xml:space="preserve"> o </w:t>
      </w:r>
      <w:r>
        <w:rPr>
          <w:rFonts w:asciiTheme="minorHAnsi" w:eastAsia="Cambria" w:hAnsiTheme="minorHAnsi" w:cstheme="minorHAnsi"/>
        </w:rPr>
        <w:t>další p</w:t>
      </w:r>
      <w:r w:rsidR="00C85F8F">
        <w:rPr>
          <w:rFonts w:asciiTheme="minorHAnsi" w:eastAsia="Cambria" w:hAnsiTheme="minorHAnsi" w:cstheme="minorHAnsi"/>
        </w:rPr>
        <w:t xml:space="preserve">osílení </w:t>
      </w:r>
      <w:r>
        <w:rPr>
          <w:rFonts w:asciiTheme="minorHAnsi" w:eastAsia="Cambria" w:hAnsiTheme="minorHAnsi" w:cstheme="minorHAnsi"/>
        </w:rPr>
        <w:t>účasti ČR</w:t>
      </w:r>
      <w:r w:rsidR="009B66B5">
        <w:rPr>
          <w:rFonts w:asciiTheme="minorHAnsi" w:eastAsia="Cambria" w:hAnsiTheme="minorHAnsi" w:cstheme="minorHAnsi"/>
        </w:rPr>
        <w:t xml:space="preserve"> v </w:t>
      </w:r>
      <w:r w:rsidR="00D1688B">
        <w:rPr>
          <w:rFonts w:asciiTheme="minorHAnsi" w:eastAsia="Cambria" w:hAnsiTheme="minorHAnsi" w:cstheme="minorHAnsi"/>
        </w:rPr>
        <w:t>RP</w:t>
      </w:r>
      <w:r w:rsidR="009B66B5">
        <w:rPr>
          <w:rFonts w:asciiTheme="minorHAnsi" w:eastAsia="Cambria" w:hAnsiTheme="minorHAnsi" w:cstheme="minorHAnsi"/>
        </w:rPr>
        <w:t xml:space="preserve"> a </w:t>
      </w:r>
      <w:r w:rsidR="00C85F8F">
        <w:rPr>
          <w:rFonts w:asciiTheme="minorHAnsi" w:eastAsia="Cambria" w:hAnsiTheme="minorHAnsi" w:cstheme="minorHAnsi"/>
        </w:rPr>
        <w:t>dalších mezinárodních aktivit</w:t>
      </w:r>
      <w:r>
        <w:rPr>
          <w:rFonts w:asciiTheme="minorHAnsi" w:eastAsia="Cambria" w:hAnsiTheme="minorHAnsi" w:cstheme="minorHAnsi"/>
        </w:rPr>
        <w:t>ách</w:t>
      </w:r>
      <w:r w:rsidR="00D1688B">
        <w:rPr>
          <w:rFonts w:asciiTheme="minorHAnsi" w:eastAsia="Cambria" w:hAnsiTheme="minorHAnsi" w:cstheme="minorHAnsi"/>
        </w:rPr>
        <w:t xml:space="preserve"> VaVaI</w:t>
      </w:r>
      <w:r>
        <w:rPr>
          <w:rFonts w:asciiTheme="minorHAnsi" w:eastAsia="Cambria" w:hAnsiTheme="minorHAnsi" w:cstheme="minorHAnsi"/>
        </w:rPr>
        <w:t xml:space="preserve">, což může </w:t>
      </w:r>
      <w:r w:rsidR="00C85F8F">
        <w:rPr>
          <w:rFonts w:asciiTheme="minorHAnsi" w:eastAsia="Cambria" w:hAnsiTheme="minorHAnsi" w:cstheme="minorHAnsi"/>
        </w:rPr>
        <w:t>významn</w:t>
      </w:r>
      <w:r>
        <w:rPr>
          <w:rFonts w:asciiTheme="minorHAnsi" w:eastAsia="Cambria" w:hAnsiTheme="minorHAnsi" w:cstheme="minorHAnsi"/>
        </w:rPr>
        <w:t>ě</w:t>
      </w:r>
      <w:r w:rsidR="00C85F8F">
        <w:rPr>
          <w:rFonts w:asciiTheme="minorHAnsi" w:eastAsia="Cambria" w:hAnsiTheme="minorHAnsi" w:cstheme="minorHAnsi"/>
        </w:rPr>
        <w:t xml:space="preserve"> </w:t>
      </w:r>
      <w:r>
        <w:rPr>
          <w:rFonts w:asciiTheme="minorHAnsi" w:eastAsia="Cambria" w:hAnsiTheme="minorHAnsi" w:cstheme="minorHAnsi"/>
        </w:rPr>
        <w:t>přispět</w:t>
      </w:r>
      <w:r w:rsidR="009B66B5">
        <w:rPr>
          <w:rFonts w:asciiTheme="minorHAnsi" w:eastAsia="Cambria" w:hAnsiTheme="minorHAnsi" w:cstheme="minorHAnsi"/>
        </w:rPr>
        <w:t xml:space="preserve"> k </w:t>
      </w:r>
      <w:r>
        <w:rPr>
          <w:rFonts w:asciiTheme="minorHAnsi" w:eastAsia="Cambria" w:hAnsiTheme="minorHAnsi" w:cstheme="minorHAnsi"/>
        </w:rPr>
        <w:t>prestiži výzkumných pracovišť</w:t>
      </w:r>
      <w:r w:rsidR="009B66B5">
        <w:rPr>
          <w:rFonts w:asciiTheme="minorHAnsi" w:eastAsia="Cambria" w:hAnsiTheme="minorHAnsi" w:cstheme="minorHAnsi"/>
        </w:rPr>
        <w:t xml:space="preserve"> a </w:t>
      </w:r>
      <w:r>
        <w:rPr>
          <w:rFonts w:asciiTheme="minorHAnsi" w:eastAsia="Cambria" w:hAnsiTheme="minorHAnsi" w:cstheme="minorHAnsi"/>
        </w:rPr>
        <w:t xml:space="preserve">zvýšit kvalitu </w:t>
      </w:r>
      <w:r w:rsidR="00C85F8F">
        <w:rPr>
          <w:rFonts w:asciiTheme="minorHAnsi" w:eastAsia="Cambria" w:hAnsiTheme="minorHAnsi" w:cstheme="minorHAnsi"/>
        </w:rPr>
        <w:t xml:space="preserve">českého </w:t>
      </w:r>
      <w:r w:rsidR="00D1688B">
        <w:rPr>
          <w:rFonts w:asciiTheme="minorHAnsi" w:eastAsia="Cambria" w:hAnsiTheme="minorHAnsi" w:cstheme="minorHAnsi"/>
        </w:rPr>
        <w:t>VaVaI</w:t>
      </w:r>
      <w:r w:rsidR="00C85F8F">
        <w:rPr>
          <w:rFonts w:asciiTheme="minorHAnsi" w:eastAsia="Cambria" w:hAnsiTheme="minorHAnsi" w:cstheme="minorHAnsi"/>
        </w:rPr>
        <w:t xml:space="preserve">. V následujících kapitolách jsou proto posouzeny </w:t>
      </w:r>
      <w:r w:rsidR="00AD584C">
        <w:rPr>
          <w:rFonts w:asciiTheme="minorHAnsi" w:eastAsia="Cambria" w:hAnsiTheme="minorHAnsi" w:cstheme="minorHAnsi"/>
        </w:rPr>
        <w:t>možnosti</w:t>
      </w:r>
      <w:r w:rsidR="00A91DC0">
        <w:rPr>
          <w:rFonts w:asciiTheme="minorHAnsi" w:eastAsia="Cambria" w:hAnsiTheme="minorHAnsi" w:cstheme="minorHAnsi"/>
        </w:rPr>
        <w:t>,</w:t>
      </w:r>
      <w:r w:rsidR="00AD584C">
        <w:rPr>
          <w:rFonts w:asciiTheme="minorHAnsi" w:eastAsia="Cambria" w:hAnsiTheme="minorHAnsi" w:cstheme="minorHAnsi"/>
        </w:rPr>
        <w:t xml:space="preserve"> jak zlepšit zapojení </w:t>
      </w:r>
      <w:r w:rsidR="00D1688B">
        <w:rPr>
          <w:rFonts w:asciiTheme="minorHAnsi" w:eastAsia="Cambria" w:hAnsiTheme="minorHAnsi" w:cstheme="minorHAnsi"/>
        </w:rPr>
        <w:t xml:space="preserve">výzkumných organizací </w:t>
      </w:r>
      <w:r w:rsidR="00AD584C">
        <w:rPr>
          <w:rFonts w:asciiTheme="minorHAnsi" w:eastAsia="Cambria" w:hAnsiTheme="minorHAnsi" w:cstheme="minorHAnsi"/>
        </w:rPr>
        <w:t xml:space="preserve">do mezinárodního </w:t>
      </w:r>
      <w:r w:rsidR="00D1688B">
        <w:rPr>
          <w:rFonts w:asciiTheme="minorHAnsi" w:eastAsia="Cambria" w:hAnsiTheme="minorHAnsi" w:cstheme="minorHAnsi"/>
        </w:rPr>
        <w:t xml:space="preserve">VaVaI </w:t>
      </w:r>
      <w:r w:rsidR="00AD584C">
        <w:rPr>
          <w:rFonts w:asciiTheme="minorHAnsi" w:eastAsia="Cambria" w:hAnsiTheme="minorHAnsi" w:cstheme="minorHAnsi"/>
        </w:rPr>
        <w:t>na národní</w:t>
      </w:r>
      <w:r w:rsidR="009B66B5">
        <w:rPr>
          <w:rFonts w:asciiTheme="minorHAnsi" w:eastAsia="Cambria" w:hAnsiTheme="minorHAnsi" w:cstheme="minorHAnsi"/>
        </w:rPr>
        <w:t xml:space="preserve"> i </w:t>
      </w:r>
      <w:r w:rsidR="00AD584C">
        <w:rPr>
          <w:rFonts w:asciiTheme="minorHAnsi" w:eastAsia="Cambria" w:hAnsiTheme="minorHAnsi" w:cstheme="minorHAnsi"/>
        </w:rPr>
        <w:t>institucionální úrovni</w:t>
      </w:r>
      <w:r w:rsidR="00A91DC0">
        <w:rPr>
          <w:rFonts w:asciiTheme="minorHAnsi" w:eastAsia="Cambria" w:hAnsiTheme="minorHAnsi" w:cstheme="minorHAnsi"/>
        </w:rPr>
        <w:t>,</w:t>
      </w:r>
      <w:r w:rsidR="009B66B5">
        <w:rPr>
          <w:rFonts w:asciiTheme="minorHAnsi" w:eastAsia="Cambria" w:hAnsiTheme="minorHAnsi" w:cstheme="minorHAnsi"/>
        </w:rPr>
        <w:t xml:space="preserve"> a </w:t>
      </w:r>
      <w:r w:rsidR="00AD584C">
        <w:rPr>
          <w:rFonts w:asciiTheme="minorHAnsi" w:eastAsia="Cambria" w:hAnsiTheme="minorHAnsi" w:cstheme="minorHAnsi"/>
        </w:rPr>
        <w:t>konkrétní nástroje</w:t>
      </w:r>
      <w:r w:rsidR="009B66B5">
        <w:rPr>
          <w:rFonts w:asciiTheme="minorHAnsi" w:eastAsia="Cambria" w:hAnsiTheme="minorHAnsi" w:cstheme="minorHAnsi"/>
        </w:rPr>
        <w:t xml:space="preserve"> a </w:t>
      </w:r>
      <w:r w:rsidR="00AD584C">
        <w:rPr>
          <w:rFonts w:asciiTheme="minorHAnsi" w:eastAsia="Cambria" w:hAnsiTheme="minorHAnsi" w:cstheme="minorHAnsi"/>
        </w:rPr>
        <w:t>aktivity, které posílení účasti výzkumných týmů</w:t>
      </w:r>
      <w:r w:rsidR="009B66B5">
        <w:rPr>
          <w:rFonts w:asciiTheme="minorHAnsi" w:eastAsia="Cambria" w:hAnsiTheme="minorHAnsi" w:cstheme="minorHAnsi"/>
        </w:rPr>
        <w:t xml:space="preserve"> v </w:t>
      </w:r>
      <w:r w:rsidR="00AD584C">
        <w:rPr>
          <w:rFonts w:asciiTheme="minorHAnsi" w:eastAsia="Cambria" w:hAnsiTheme="minorHAnsi" w:cstheme="minorHAnsi"/>
        </w:rPr>
        <w:t>mezinárodních projektech mohou přispět.</w:t>
      </w:r>
      <w:r w:rsidR="00442D1C">
        <w:rPr>
          <w:rFonts w:asciiTheme="minorHAnsi" w:eastAsia="Cambria" w:hAnsiTheme="minorHAnsi" w:cstheme="minorHAnsi"/>
        </w:rPr>
        <w:t xml:space="preserve"> </w:t>
      </w:r>
      <w:r w:rsidR="00DA1FCD">
        <w:rPr>
          <w:rFonts w:asciiTheme="minorHAnsi" w:eastAsia="Cambria" w:hAnsiTheme="minorHAnsi" w:cstheme="minorHAnsi"/>
        </w:rPr>
        <w:t>Pozornost je zapotřebí věnovat</w:t>
      </w:r>
      <w:r w:rsidR="009B66B5">
        <w:rPr>
          <w:rFonts w:asciiTheme="minorHAnsi" w:eastAsia="Cambria" w:hAnsiTheme="minorHAnsi" w:cstheme="minorHAnsi"/>
        </w:rPr>
        <w:t xml:space="preserve"> i </w:t>
      </w:r>
      <w:r w:rsidR="00DA1FCD">
        <w:rPr>
          <w:rFonts w:asciiTheme="minorHAnsi" w:eastAsia="Cambria" w:hAnsiTheme="minorHAnsi" w:cstheme="minorHAnsi"/>
        </w:rPr>
        <w:t xml:space="preserve">genderovým aspektům, </w:t>
      </w:r>
      <w:r w:rsidR="00022596">
        <w:rPr>
          <w:rFonts w:asciiTheme="minorHAnsi" w:eastAsia="Cambria" w:hAnsiTheme="minorHAnsi" w:cstheme="minorHAnsi"/>
        </w:rPr>
        <w:t xml:space="preserve">neboť účast </w:t>
      </w:r>
      <w:r w:rsidR="00952897">
        <w:rPr>
          <w:rFonts w:asciiTheme="minorHAnsi" w:eastAsia="Cambria" w:hAnsiTheme="minorHAnsi" w:cstheme="minorHAnsi"/>
        </w:rPr>
        <w:t>žen</w:t>
      </w:r>
      <w:r w:rsidR="009B66B5">
        <w:rPr>
          <w:rFonts w:asciiTheme="minorHAnsi" w:eastAsia="Cambria" w:hAnsiTheme="minorHAnsi" w:cstheme="minorHAnsi"/>
        </w:rPr>
        <w:t xml:space="preserve"> v </w:t>
      </w:r>
      <w:r w:rsidR="0082259E">
        <w:rPr>
          <w:rFonts w:asciiTheme="minorHAnsi" w:eastAsia="Cambria" w:hAnsiTheme="minorHAnsi" w:cstheme="minorHAnsi"/>
        </w:rPr>
        <w:t>RP</w:t>
      </w:r>
      <w:r w:rsidR="00022596">
        <w:rPr>
          <w:rFonts w:asciiTheme="minorHAnsi" w:eastAsia="Cambria" w:hAnsiTheme="minorHAnsi" w:cstheme="minorHAnsi"/>
        </w:rPr>
        <w:t xml:space="preserve"> </w:t>
      </w:r>
      <w:r w:rsidR="00952897">
        <w:rPr>
          <w:rFonts w:asciiTheme="minorHAnsi" w:eastAsia="Cambria" w:hAnsiTheme="minorHAnsi" w:cstheme="minorHAnsi"/>
        </w:rPr>
        <w:t xml:space="preserve">může být </w:t>
      </w:r>
      <w:r w:rsidR="00DA1FCD">
        <w:rPr>
          <w:rFonts w:asciiTheme="minorHAnsi" w:eastAsia="Cambria" w:hAnsiTheme="minorHAnsi" w:cstheme="minorHAnsi"/>
        </w:rPr>
        <w:t xml:space="preserve">negativně </w:t>
      </w:r>
      <w:r w:rsidR="00952897">
        <w:rPr>
          <w:rFonts w:asciiTheme="minorHAnsi" w:eastAsia="Cambria" w:hAnsiTheme="minorHAnsi" w:cstheme="minorHAnsi"/>
        </w:rPr>
        <w:t>ovlivněna odlišnostmi</w:t>
      </w:r>
      <w:r w:rsidR="009B66B5">
        <w:rPr>
          <w:rFonts w:asciiTheme="minorHAnsi" w:eastAsia="Cambria" w:hAnsiTheme="minorHAnsi" w:cstheme="minorHAnsi"/>
        </w:rPr>
        <w:t xml:space="preserve"> v </w:t>
      </w:r>
      <w:r w:rsidR="00952897">
        <w:rPr>
          <w:rFonts w:asciiTheme="minorHAnsi" w:eastAsia="Cambria" w:hAnsiTheme="minorHAnsi" w:cstheme="minorHAnsi"/>
        </w:rPr>
        <w:t>životních drahách žen</w:t>
      </w:r>
      <w:r w:rsidR="009B66B5">
        <w:rPr>
          <w:rFonts w:asciiTheme="minorHAnsi" w:eastAsia="Cambria" w:hAnsiTheme="minorHAnsi" w:cstheme="minorHAnsi"/>
        </w:rPr>
        <w:t xml:space="preserve"> a </w:t>
      </w:r>
      <w:r w:rsidR="00952897">
        <w:rPr>
          <w:rFonts w:asciiTheme="minorHAnsi" w:eastAsia="Cambria" w:hAnsiTheme="minorHAnsi" w:cstheme="minorHAnsi"/>
        </w:rPr>
        <w:t>mužů, které souvisí</w:t>
      </w:r>
      <w:r w:rsidR="009B66B5">
        <w:rPr>
          <w:rFonts w:asciiTheme="minorHAnsi" w:eastAsia="Cambria" w:hAnsiTheme="minorHAnsi" w:cstheme="minorHAnsi"/>
        </w:rPr>
        <w:t xml:space="preserve"> s </w:t>
      </w:r>
      <w:r w:rsidR="00952897">
        <w:rPr>
          <w:rFonts w:asciiTheme="minorHAnsi" w:eastAsia="Cambria" w:hAnsiTheme="minorHAnsi" w:cstheme="minorHAnsi"/>
        </w:rPr>
        <w:t>jejich odlišnými povinnostmi</w:t>
      </w:r>
      <w:r w:rsidR="009B66B5">
        <w:rPr>
          <w:rFonts w:asciiTheme="minorHAnsi" w:eastAsia="Cambria" w:hAnsiTheme="minorHAnsi" w:cstheme="minorHAnsi"/>
        </w:rPr>
        <w:t xml:space="preserve"> a </w:t>
      </w:r>
      <w:r w:rsidR="00952897">
        <w:rPr>
          <w:rFonts w:asciiTheme="minorHAnsi" w:eastAsia="Cambria" w:hAnsiTheme="minorHAnsi" w:cstheme="minorHAnsi"/>
        </w:rPr>
        <w:t>možnostmi</w:t>
      </w:r>
      <w:r w:rsidR="009B66B5">
        <w:rPr>
          <w:rFonts w:asciiTheme="minorHAnsi" w:eastAsia="Cambria" w:hAnsiTheme="minorHAnsi" w:cstheme="minorHAnsi"/>
        </w:rPr>
        <w:t xml:space="preserve"> v </w:t>
      </w:r>
      <w:r w:rsidR="00952897">
        <w:rPr>
          <w:rFonts w:asciiTheme="minorHAnsi" w:eastAsia="Cambria" w:hAnsiTheme="minorHAnsi" w:cstheme="minorHAnsi"/>
        </w:rPr>
        <w:t>osobním životě.</w:t>
      </w:r>
    </w:p>
    <w:p w14:paraId="2F77EB59" w14:textId="77777777" w:rsidR="0028523C" w:rsidRPr="0028523C" w:rsidRDefault="0028523C" w:rsidP="5592521F">
      <w:pPr>
        <w:spacing w:after="0" w:line="259" w:lineRule="auto"/>
        <w:rPr>
          <w:rFonts w:asciiTheme="minorHAnsi" w:hAnsiTheme="minorHAnsi" w:cstheme="minorHAnsi"/>
        </w:rPr>
      </w:pPr>
    </w:p>
    <w:p w14:paraId="268C911F" w14:textId="77777777" w:rsidR="00F51BCE" w:rsidRDefault="00F51BCE" w:rsidP="005515AB">
      <w:pPr>
        <w:pStyle w:val="Nadpis1"/>
      </w:pPr>
      <w:bookmarkStart w:id="23" w:name="_Toc114572319"/>
      <w:r>
        <w:lastRenderedPageBreak/>
        <w:t>Motivace</w:t>
      </w:r>
      <w:r w:rsidR="009B66B5">
        <w:t xml:space="preserve"> k </w:t>
      </w:r>
      <w:r>
        <w:t xml:space="preserve">zapojení do </w:t>
      </w:r>
      <w:r w:rsidR="000A2052">
        <w:t>rámcových programů EU</w:t>
      </w:r>
      <w:r w:rsidR="009B66B5">
        <w:t xml:space="preserve"> a </w:t>
      </w:r>
      <w:r w:rsidR="000A2052">
        <w:t xml:space="preserve">mezinárodního </w:t>
      </w:r>
      <w:bookmarkEnd w:id="23"/>
      <w:r w:rsidR="004D6410">
        <w:t>VaVaI</w:t>
      </w:r>
    </w:p>
    <w:p w14:paraId="79A8194A" w14:textId="77777777" w:rsidR="00677916" w:rsidRDefault="003B09E2" w:rsidP="00677916">
      <w:r>
        <w:t xml:space="preserve">K zapojení do mezinárodních projektů </w:t>
      </w:r>
      <w:r w:rsidR="004D6410">
        <w:t xml:space="preserve">VaVaI </w:t>
      </w:r>
      <w:r>
        <w:t>napomáhá celá řada faktorů</w:t>
      </w:r>
      <w:r w:rsidR="005641BB">
        <w:t>.</w:t>
      </w:r>
      <w:r w:rsidR="003F395C">
        <w:t xml:space="preserve"> Významným faktorem, který může výzkumná pracoviště motivovat</w:t>
      </w:r>
      <w:r w:rsidR="009B66B5">
        <w:t xml:space="preserve"> k </w:t>
      </w:r>
      <w:r w:rsidR="003F395C">
        <w:t>zapojení do mezinárodní spolupráce</w:t>
      </w:r>
      <w:r w:rsidR="005641BB">
        <w:t>,</w:t>
      </w:r>
      <w:r w:rsidR="003F395C">
        <w:t xml:space="preserve"> je </w:t>
      </w:r>
      <w:r w:rsidR="0068521A">
        <w:t xml:space="preserve">způsob </w:t>
      </w:r>
      <w:r w:rsidR="003F395C">
        <w:t xml:space="preserve">hodnocení </w:t>
      </w:r>
      <w:r w:rsidR="009446B0">
        <w:t>výzkumných organizací</w:t>
      </w:r>
      <w:r w:rsidR="009B66B5">
        <w:t xml:space="preserve"> a </w:t>
      </w:r>
      <w:r w:rsidR="0068521A">
        <w:t xml:space="preserve">zohlednění jeho výsledků například ve </w:t>
      </w:r>
      <w:r w:rsidR="00A37472">
        <w:t xml:space="preserve">výši </w:t>
      </w:r>
      <w:r w:rsidR="0068521A">
        <w:t>finančních prostřed</w:t>
      </w:r>
      <w:r w:rsidR="00A37472">
        <w:t>ků</w:t>
      </w:r>
      <w:r w:rsidR="0068521A">
        <w:t xml:space="preserve"> přidělovaných těmto organizacím </w:t>
      </w:r>
      <w:r w:rsidR="004D6410">
        <w:t xml:space="preserve">ve formě institucionální podpory </w:t>
      </w:r>
      <w:r w:rsidR="0068521A">
        <w:t xml:space="preserve">(blíže viz kap. </w:t>
      </w:r>
      <w:r w:rsidR="00677916">
        <w:fldChar w:fldCharType="begin"/>
      </w:r>
      <w:r w:rsidR="00677916">
        <w:instrText xml:space="preserve"> REF _Ref112423453 \r \h </w:instrText>
      </w:r>
      <w:r w:rsidR="00677916">
        <w:fldChar w:fldCharType="separate"/>
      </w:r>
      <w:r w:rsidR="00833870">
        <w:t>3.1</w:t>
      </w:r>
      <w:r w:rsidR="00677916">
        <w:fldChar w:fldCharType="end"/>
      </w:r>
      <w:r w:rsidR="0068521A">
        <w:t>).</w:t>
      </w:r>
      <w:r w:rsidR="002A372E">
        <w:t xml:space="preserve"> Důležitou </w:t>
      </w:r>
      <w:r w:rsidR="00677916">
        <w:t>roli</w:t>
      </w:r>
      <w:r w:rsidR="009B66B5">
        <w:t xml:space="preserve"> v </w:t>
      </w:r>
      <w:r w:rsidR="00677916">
        <w:t>zapojení do mezinárodní</w:t>
      </w:r>
      <w:r w:rsidR="00A745C1">
        <w:t>ho</w:t>
      </w:r>
      <w:r w:rsidR="00677916">
        <w:t xml:space="preserve"> </w:t>
      </w:r>
      <w:r w:rsidR="004D6410">
        <w:t xml:space="preserve">VaVaI </w:t>
      </w:r>
      <w:r w:rsidR="00677916">
        <w:t xml:space="preserve">hraje </w:t>
      </w:r>
      <w:r w:rsidR="00A37472">
        <w:t xml:space="preserve">také </w:t>
      </w:r>
      <w:r w:rsidR="00677916">
        <w:t xml:space="preserve">prostředí ve </w:t>
      </w:r>
      <w:r w:rsidR="00B15912">
        <w:t>výzkumných organizacích</w:t>
      </w:r>
      <w:r w:rsidR="00677916">
        <w:t xml:space="preserve">, včetně </w:t>
      </w:r>
      <w:r w:rsidR="001B5788">
        <w:t xml:space="preserve">administrativního </w:t>
      </w:r>
      <w:r w:rsidR="00677916">
        <w:t>zázemí</w:t>
      </w:r>
      <w:r w:rsidR="009B66B5">
        <w:t xml:space="preserve"> a </w:t>
      </w:r>
      <w:r w:rsidR="001B5788">
        <w:t xml:space="preserve">nastavených postupů při realizaci mezinárodních projektů (viz kap. </w:t>
      </w:r>
      <w:r w:rsidR="001B5788">
        <w:fldChar w:fldCharType="begin"/>
      </w:r>
      <w:r w:rsidR="001B5788">
        <w:instrText xml:space="preserve"> REF _Ref112423762 \r \h </w:instrText>
      </w:r>
      <w:r w:rsidR="001B5788">
        <w:fldChar w:fldCharType="separate"/>
      </w:r>
      <w:r w:rsidR="00833870">
        <w:t>3.2</w:t>
      </w:r>
      <w:r w:rsidR="001B5788">
        <w:fldChar w:fldCharType="end"/>
      </w:r>
      <w:r w:rsidR="001B5788">
        <w:t>)</w:t>
      </w:r>
      <w:r w:rsidR="00AC5405">
        <w:t>. Důležité jsou</w:t>
      </w:r>
      <w:r w:rsidR="009B66B5">
        <w:t xml:space="preserve"> i </w:t>
      </w:r>
      <w:r w:rsidR="001B5788">
        <w:t xml:space="preserve">podmínky pro kariérní rozvoj </w:t>
      </w:r>
      <w:r w:rsidR="00677916">
        <w:t>mladých výzkumn</w:t>
      </w:r>
      <w:r w:rsidR="001B5788">
        <w:t>ých pracovníků, včetně nástrojů podporujících mezinárodní mobilitu</w:t>
      </w:r>
      <w:r w:rsidR="00AC5405">
        <w:t xml:space="preserve">. K zapojení do mezinárodních aktivit </w:t>
      </w:r>
      <w:r w:rsidR="004D6410">
        <w:t xml:space="preserve">VaVaI </w:t>
      </w:r>
      <w:r w:rsidR="00AC5405">
        <w:t>přispívají také některé aktivity realizované</w:t>
      </w:r>
      <w:r w:rsidR="009B66B5">
        <w:t xml:space="preserve"> v </w:t>
      </w:r>
      <w:r w:rsidR="00B16909">
        <w:t>RP</w:t>
      </w:r>
      <w:r w:rsidR="00AC5405">
        <w:t>, jako jsou nástroje „</w:t>
      </w:r>
      <w:r w:rsidR="00AC5405" w:rsidRPr="00AC5405">
        <w:t>Widening</w:t>
      </w:r>
      <w:r w:rsidR="00A745C1">
        <w:t>,</w:t>
      </w:r>
      <w:r w:rsidR="00AC5405" w:rsidRPr="00AC5405">
        <w:t xml:space="preserve">“ </w:t>
      </w:r>
      <w:r w:rsidR="00AC5405">
        <w:t xml:space="preserve">napomáhající </w:t>
      </w:r>
      <w:r w:rsidR="00AC5405" w:rsidRPr="00AC5405">
        <w:t xml:space="preserve">otevření evropských </w:t>
      </w:r>
      <w:r w:rsidR="00AC5405">
        <w:t xml:space="preserve">výzkumných </w:t>
      </w:r>
      <w:r w:rsidR="00AC5405" w:rsidRPr="00AC5405">
        <w:t>sítí</w:t>
      </w:r>
      <w:r w:rsidR="009B66B5">
        <w:t xml:space="preserve"> a </w:t>
      </w:r>
      <w:r w:rsidR="00AC5405" w:rsidRPr="00AC5405">
        <w:t xml:space="preserve">zkvalitnění řízení </w:t>
      </w:r>
      <w:r w:rsidR="00B16909">
        <w:t>VaVaI</w:t>
      </w:r>
      <w:r w:rsidR="00AC5405">
        <w:t>. Blíže j</w:t>
      </w:r>
      <w:r w:rsidR="00E64294">
        <w:t xml:space="preserve">sou tyto nástroje </w:t>
      </w:r>
      <w:r w:rsidR="00AC5405">
        <w:t>popsán</w:t>
      </w:r>
      <w:r w:rsidR="00E64294">
        <w:t>y</w:t>
      </w:r>
      <w:r w:rsidR="009B66B5">
        <w:t xml:space="preserve"> v </w:t>
      </w:r>
      <w:r w:rsidR="001B5788">
        <w:t xml:space="preserve">kap. </w:t>
      </w:r>
      <w:r w:rsidR="001B5788">
        <w:fldChar w:fldCharType="begin"/>
      </w:r>
      <w:r w:rsidR="001B5788">
        <w:instrText xml:space="preserve"> REF _Ref112423834 \r \h </w:instrText>
      </w:r>
      <w:r w:rsidR="001B5788">
        <w:fldChar w:fldCharType="separate"/>
      </w:r>
      <w:r w:rsidR="00833870">
        <w:t>3.3</w:t>
      </w:r>
      <w:r w:rsidR="001B5788">
        <w:fldChar w:fldCharType="end"/>
      </w:r>
      <w:r w:rsidR="00AC5405">
        <w:t>.</w:t>
      </w:r>
    </w:p>
    <w:p w14:paraId="40DF3394" w14:textId="77777777" w:rsidR="003F7300" w:rsidRDefault="723738AF" w:rsidP="005515AB">
      <w:pPr>
        <w:pStyle w:val="Nadpis2"/>
      </w:pPr>
      <w:bookmarkStart w:id="24" w:name="_Ref112423453"/>
      <w:bookmarkStart w:id="25" w:name="_Toc114572320"/>
      <w:r>
        <w:t xml:space="preserve">Metodika hodnocení </w:t>
      </w:r>
      <w:bookmarkEnd w:id="24"/>
      <w:r w:rsidR="00B15912">
        <w:t>výzkumných organ</w:t>
      </w:r>
      <w:r w:rsidR="000A0C31">
        <w:t>i</w:t>
      </w:r>
      <w:r w:rsidR="00B15912">
        <w:t>zací</w:t>
      </w:r>
      <w:bookmarkEnd w:id="25"/>
    </w:p>
    <w:p w14:paraId="4DCA8CCE" w14:textId="77777777" w:rsidR="002000CC" w:rsidRDefault="002000CC" w:rsidP="002000CC">
      <w:r>
        <w:t>Výzkumné organizace jsou periodicky hodnoceny podle postupů stanovených</w:t>
      </w:r>
      <w:r w:rsidR="009B66B5">
        <w:t xml:space="preserve"> v </w:t>
      </w:r>
      <w:r w:rsidR="00B16909">
        <w:t xml:space="preserve">tzv. </w:t>
      </w:r>
      <w:r>
        <w:t xml:space="preserve">Metodice 17+, která byla schválena usnesením vlády </w:t>
      </w:r>
      <w:r w:rsidR="00B16909">
        <w:t xml:space="preserve">ČR </w:t>
      </w:r>
      <w:r>
        <w:t>ze dne 8. února 2017 č. 107. Cílem hodnocení podle této metodiky je „</w:t>
      </w:r>
      <w:r w:rsidRPr="005022D7">
        <w:rPr>
          <w:i/>
          <w:iCs/>
        </w:rPr>
        <w:t>získat informace pro kvalitní řízení systému VaVaI na všech stupních (formativní stránka), zvýšit efektivitu vynakládání veřejných prostředků (sumativní stránka)</w:t>
      </w:r>
      <w:r w:rsidR="009B66B5">
        <w:rPr>
          <w:i/>
          <w:iCs/>
        </w:rPr>
        <w:t xml:space="preserve"> a </w:t>
      </w:r>
      <w:r w:rsidRPr="005022D7">
        <w:rPr>
          <w:i/>
          <w:iCs/>
        </w:rPr>
        <w:t>podpořit zvýšení kvality</w:t>
      </w:r>
      <w:r w:rsidR="009B66B5">
        <w:rPr>
          <w:i/>
          <w:iCs/>
        </w:rPr>
        <w:t xml:space="preserve"> a </w:t>
      </w:r>
      <w:r w:rsidRPr="005022D7">
        <w:rPr>
          <w:i/>
          <w:iCs/>
        </w:rPr>
        <w:t>mezinárodní konkurenceschopnosti českého VaVaI.</w:t>
      </w:r>
      <w:r>
        <w:t>“</w:t>
      </w:r>
      <w:r>
        <w:rPr>
          <w:rStyle w:val="Znakapoznpodarou"/>
        </w:rPr>
        <w:footnoteReference w:id="26"/>
      </w:r>
      <w:r>
        <w:t xml:space="preserve"> Výsledky hodnocení výzkumných organizací poskytují podklady pro rozhodování</w:t>
      </w:r>
      <w:r w:rsidR="009B66B5">
        <w:t xml:space="preserve"> o </w:t>
      </w:r>
      <w:r>
        <w:t>poskytov</w:t>
      </w:r>
      <w:r w:rsidR="00E449F0">
        <w:t xml:space="preserve">ání institucionální podpory na </w:t>
      </w:r>
      <w:r>
        <w:t>dlouhodobý koncepční rozvoj výzkumné organizace (</w:t>
      </w:r>
      <w:r w:rsidR="00B16909">
        <w:t>dále jen „</w:t>
      </w:r>
      <w:r>
        <w:t>DKRVO</w:t>
      </w:r>
      <w:r w:rsidR="00B16909">
        <w:t>“</w:t>
      </w:r>
      <w:r>
        <w:t xml:space="preserve"> nebo </w:t>
      </w:r>
      <w:r w:rsidR="00B16909">
        <w:t>„</w:t>
      </w:r>
      <w:r>
        <w:t>institucionální podpora</w:t>
      </w:r>
      <w:r w:rsidR="00B16909">
        <w:t>“</w:t>
      </w:r>
      <w:r>
        <w:t>)</w:t>
      </w:r>
      <w:r w:rsidR="009B66B5">
        <w:t xml:space="preserve"> a </w:t>
      </w:r>
      <w:r>
        <w:t>pro řízení VaVaI na úrovni vlády</w:t>
      </w:r>
      <w:r w:rsidR="00B16909">
        <w:t xml:space="preserve"> ČR</w:t>
      </w:r>
      <w:r>
        <w:t>, poskytovatelů</w:t>
      </w:r>
      <w:r w:rsidR="009B66B5">
        <w:t xml:space="preserve"> a </w:t>
      </w:r>
      <w:r>
        <w:t xml:space="preserve">managementu výzkumných organizací. </w:t>
      </w:r>
    </w:p>
    <w:p w14:paraId="0B320633" w14:textId="77777777" w:rsidR="002000CC" w:rsidRDefault="002000CC" w:rsidP="002000CC">
      <w:r>
        <w:t>Hodnocení výzkumných organizací má tedy plnit formativní úlohu při nastavování mechanismů</w:t>
      </w:r>
      <w:r w:rsidR="009B66B5">
        <w:t xml:space="preserve"> a </w:t>
      </w:r>
      <w:r>
        <w:t>nástrojů pro usměrnění</w:t>
      </w:r>
      <w:r w:rsidR="009B66B5">
        <w:t xml:space="preserve"> a </w:t>
      </w:r>
      <w:r>
        <w:t>zefektivnění aktivit, výsledků</w:t>
      </w:r>
      <w:r w:rsidR="009B66B5">
        <w:t xml:space="preserve"> a </w:t>
      </w:r>
      <w:r>
        <w:t>dopadů výzkumných organizací. V tomto kontextu mají obsah</w:t>
      </w:r>
      <w:r w:rsidR="009B66B5">
        <w:t xml:space="preserve"> a </w:t>
      </w:r>
      <w:r>
        <w:t>parametry Metodiky 17+</w:t>
      </w:r>
      <w:r w:rsidR="009B66B5">
        <w:t xml:space="preserve"> a </w:t>
      </w:r>
      <w:r>
        <w:t>navazující mechanismy pro využití informací</w:t>
      </w:r>
      <w:r w:rsidR="009B66B5">
        <w:t xml:space="preserve"> z </w:t>
      </w:r>
      <w:r>
        <w:t xml:space="preserve">hodnocení pro poskytování </w:t>
      </w:r>
      <w:r w:rsidR="00B16909">
        <w:t xml:space="preserve">institucionální </w:t>
      </w:r>
      <w:r>
        <w:t>podpory na DKRVO bezesporu vliv na chování</w:t>
      </w:r>
      <w:r w:rsidR="009B66B5">
        <w:t xml:space="preserve"> a </w:t>
      </w:r>
      <w:r>
        <w:t>motivace poskytovatelů, managementu výzkumných organizací</w:t>
      </w:r>
      <w:r w:rsidR="00B16909">
        <w:t>,</w:t>
      </w:r>
      <w:r w:rsidR="009B66B5">
        <w:t xml:space="preserve"> i </w:t>
      </w:r>
      <w:r>
        <w:t>výzkumníků</w:t>
      </w:r>
      <w:r w:rsidR="009B66B5">
        <w:t xml:space="preserve"> a </w:t>
      </w:r>
      <w:r>
        <w:t>výzkumnic.</w:t>
      </w:r>
    </w:p>
    <w:p w14:paraId="192497D7" w14:textId="77777777" w:rsidR="002000CC" w:rsidRDefault="002000CC" w:rsidP="002000CC">
      <w:r>
        <w:t>V této podkapitole je posouzeno, jaká pozornost je věnována posouzení mezinárodní spolupráce</w:t>
      </w:r>
      <w:r w:rsidR="009B66B5">
        <w:t xml:space="preserve"> a </w:t>
      </w:r>
      <w:r>
        <w:t>internacionalizace</w:t>
      </w:r>
      <w:r w:rsidR="009B66B5">
        <w:t xml:space="preserve"> v </w:t>
      </w:r>
      <w:r>
        <w:t>hodnocení realizovaném podle Metodiky 17+</w:t>
      </w:r>
      <w:r w:rsidR="009B66B5">
        <w:t xml:space="preserve"> v </w:t>
      </w:r>
      <w:r>
        <w:t>segmentu vysokých škol</w:t>
      </w:r>
      <w:r w:rsidR="009B66B5">
        <w:t xml:space="preserve"> a</w:t>
      </w:r>
      <w:r w:rsidR="00ED5B4A">
        <w:t> </w:t>
      </w:r>
      <w:r w:rsidR="009B66B5">
        <w:t>v </w:t>
      </w:r>
      <w:r>
        <w:t>ústavech Akademie věd ČR.</w:t>
      </w:r>
      <w:r>
        <w:rPr>
          <w:rStyle w:val="Znakapoznpodarou"/>
        </w:rPr>
        <w:footnoteReference w:id="27"/>
      </w:r>
      <w:r>
        <w:t xml:space="preserve"> </w:t>
      </w:r>
    </w:p>
    <w:p w14:paraId="0FA5F2A4" w14:textId="77777777" w:rsidR="002000CC" w:rsidRDefault="002000CC" w:rsidP="002000CC">
      <w:r>
        <w:t>Metodika 17+ realizuje hodnocení</w:t>
      </w:r>
      <w:r w:rsidR="009B66B5">
        <w:t xml:space="preserve"> v </w:t>
      </w:r>
      <w:r>
        <w:t>5 modulech:</w:t>
      </w:r>
    </w:p>
    <w:p w14:paraId="6C5A31E0" w14:textId="77777777" w:rsidR="002000CC" w:rsidRDefault="002000CC">
      <w:pPr>
        <w:pStyle w:val="Odstavecseseznamem"/>
        <w:numPr>
          <w:ilvl w:val="0"/>
          <w:numId w:val="5"/>
        </w:numPr>
        <w:spacing w:before="0" w:after="160" w:line="259" w:lineRule="auto"/>
        <w:contextualSpacing/>
        <w:jc w:val="left"/>
      </w:pPr>
      <w:r>
        <w:t>Modul 1 (dále též M1): Kvalita vybraných výsledků (peer-review)</w:t>
      </w:r>
    </w:p>
    <w:p w14:paraId="5B385655" w14:textId="77777777" w:rsidR="002000CC" w:rsidRDefault="002000CC">
      <w:pPr>
        <w:pStyle w:val="Odstavecseseznamem"/>
        <w:numPr>
          <w:ilvl w:val="0"/>
          <w:numId w:val="5"/>
        </w:numPr>
        <w:spacing w:before="0" w:after="160" w:line="259" w:lineRule="auto"/>
        <w:contextualSpacing/>
        <w:jc w:val="left"/>
      </w:pPr>
      <w:r>
        <w:t>Modul 2 (dále též M2): Výkonnost výzkumu (bibliometrie)</w:t>
      </w:r>
    </w:p>
    <w:p w14:paraId="1B54F3BE" w14:textId="77777777" w:rsidR="002000CC" w:rsidRDefault="002000CC">
      <w:pPr>
        <w:pStyle w:val="Odstavecseseznamem"/>
        <w:numPr>
          <w:ilvl w:val="0"/>
          <w:numId w:val="5"/>
        </w:numPr>
        <w:spacing w:before="0" w:after="160" w:line="259" w:lineRule="auto"/>
        <w:contextualSpacing/>
        <w:jc w:val="left"/>
      </w:pPr>
      <w:r>
        <w:lastRenderedPageBreak/>
        <w:t xml:space="preserve">Modul 3 (dále též M3): Společenská relevance – hodnoceno na úrovni organizačních jednotek </w:t>
      </w:r>
      <w:r w:rsidR="00C853D7">
        <w:t>výzkumných organizací</w:t>
      </w:r>
      <w:r>
        <w:t xml:space="preserve"> (např. fakult)</w:t>
      </w:r>
    </w:p>
    <w:p w14:paraId="251772FA" w14:textId="77777777" w:rsidR="002000CC" w:rsidRDefault="002000CC">
      <w:pPr>
        <w:pStyle w:val="Odstavecseseznamem"/>
        <w:numPr>
          <w:ilvl w:val="0"/>
          <w:numId w:val="5"/>
        </w:numPr>
        <w:spacing w:before="0" w:after="160" w:line="259" w:lineRule="auto"/>
        <w:contextualSpacing/>
        <w:jc w:val="left"/>
      </w:pPr>
      <w:r>
        <w:t>Modul 4 (dále též M</w:t>
      </w:r>
      <w:r w:rsidR="00E26D6B">
        <w:t>4): Viabilita/ž</w:t>
      </w:r>
      <w:r>
        <w:t xml:space="preserve">ivotaschopnost – hodnoceno na úrovni </w:t>
      </w:r>
      <w:r w:rsidR="00C853D7">
        <w:t>výzkumných organizací</w:t>
      </w:r>
    </w:p>
    <w:p w14:paraId="0FA2A815" w14:textId="77777777" w:rsidR="002000CC" w:rsidRDefault="002000CC" w:rsidP="00C853D7">
      <w:pPr>
        <w:pStyle w:val="Odstavecseseznamem"/>
        <w:numPr>
          <w:ilvl w:val="0"/>
          <w:numId w:val="5"/>
        </w:numPr>
        <w:spacing w:before="0" w:after="160" w:line="259" w:lineRule="auto"/>
        <w:contextualSpacing/>
        <w:jc w:val="left"/>
      </w:pPr>
      <w:r>
        <w:t>Modul 5 (dále též M5): Strategie</w:t>
      </w:r>
      <w:r w:rsidR="009B66B5">
        <w:t xml:space="preserve"> a </w:t>
      </w:r>
      <w:r>
        <w:t xml:space="preserve">koncepce – hodnoceno na úrovni </w:t>
      </w:r>
      <w:r w:rsidR="00C853D7">
        <w:t>výzkumných organizací</w:t>
      </w:r>
    </w:p>
    <w:p w14:paraId="6E16D723" w14:textId="77777777" w:rsidR="002000CC" w:rsidRDefault="002000CC" w:rsidP="002000CC">
      <w:r>
        <w:t>Hodnocení podle M1</w:t>
      </w:r>
      <w:r w:rsidR="009B66B5">
        <w:t xml:space="preserve"> a </w:t>
      </w:r>
      <w:r>
        <w:t>M2 zajišťuje centrálně RVVI, hodnocení podle M3, M4</w:t>
      </w:r>
      <w:r w:rsidR="009B66B5">
        <w:t xml:space="preserve"> a </w:t>
      </w:r>
      <w:r>
        <w:t>M5 zajišťují poskytovatelé/zřizovatelé ve spolupráci</w:t>
      </w:r>
      <w:r w:rsidR="009B66B5">
        <w:t xml:space="preserve"> s </w:t>
      </w:r>
      <w:r>
        <w:t xml:space="preserve">RVVI. </w:t>
      </w:r>
    </w:p>
    <w:p w14:paraId="7D484BAD" w14:textId="77777777" w:rsidR="00966BD4" w:rsidRDefault="00966BD4" w:rsidP="002000CC"/>
    <w:p w14:paraId="598C36B0" w14:textId="77777777" w:rsidR="002000CC" w:rsidRDefault="002000CC" w:rsidP="005C25C6">
      <w:pPr>
        <w:pStyle w:val="Nadpis3"/>
      </w:pPr>
      <w:bookmarkStart w:id="26" w:name="_Ref112501139"/>
      <w:bookmarkStart w:id="27" w:name="_Toc114572321"/>
      <w:r w:rsidRPr="008C0F20">
        <w:t>Zohlednění mezinárodní spolupráce</w:t>
      </w:r>
      <w:r w:rsidR="009B66B5">
        <w:t xml:space="preserve"> v </w:t>
      </w:r>
      <w:r w:rsidRPr="008C0F20">
        <w:t>modulech M1</w:t>
      </w:r>
      <w:r w:rsidR="009B66B5">
        <w:t xml:space="preserve"> a </w:t>
      </w:r>
      <w:r w:rsidRPr="008C0F20">
        <w:t>M2</w:t>
      </w:r>
      <w:bookmarkEnd w:id="26"/>
      <w:bookmarkEnd w:id="27"/>
    </w:p>
    <w:p w14:paraId="731AEE1A" w14:textId="77777777" w:rsidR="002000CC" w:rsidRDefault="002000CC" w:rsidP="002000CC">
      <w:pPr>
        <w:rPr>
          <w:u w:val="single"/>
        </w:rPr>
      </w:pPr>
      <w:r w:rsidRPr="003F2565">
        <w:rPr>
          <w:u w:val="single"/>
        </w:rPr>
        <w:t>Modul 1</w:t>
      </w:r>
    </w:p>
    <w:p w14:paraId="6B2D586C" w14:textId="77777777" w:rsidR="002000CC" w:rsidRPr="003F2565" w:rsidRDefault="002000CC" w:rsidP="002000CC">
      <w:r>
        <w:t>Hodnocení</w:t>
      </w:r>
      <w:r w:rsidR="009B66B5">
        <w:t xml:space="preserve"> v </w:t>
      </w:r>
      <w:r>
        <w:t>M1 je zaměřeno na posouzení kvality v</w:t>
      </w:r>
      <w:r w:rsidR="00D6206D">
        <w:t>ýsledků výzkumu</w:t>
      </w:r>
      <w:r w:rsidR="009B66B5">
        <w:t xml:space="preserve"> v </w:t>
      </w:r>
      <w:r w:rsidR="00D6206D">
        <w:t>mezinárodním po</w:t>
      </w:r>
      <w:r>
        <w:t>rovnání</w:t>
      </w:r>
      <w:r w:rsidR="009B66B5">
        <w:t xml:space="preserve"> a </w:t>
      </w:r>
      <w:r>
        <w:t>potenciálu pro aplikování výsledků</w:t>
      </w:r>
      <w:r w:rsidR="009B66B5">
        <w:t xml:space="preserve"> v </w:t>
      </w:r>
      <w:r>
        <w:t>praxi. Posuzují se zde vybrané výsledky výzkumných organizací</w:t>
      </w:r>
      <w:r w:rsidR="009B66B5">
        <w:t xml:space="preserve"> z </w:t>
      </w:r>
      <w:r>
        <w:t>hlediska přínosu</w:t>
      </w:r>
      <w:r w:rsidR="009B66B5">
        <w:t xml:space="preserve"> k </w:t>
      </w:r>
      <w:r>
        <w:t>poznání</w:t>
      </w:r>
      <w:r w:rsidR="009B66B5">
        <w:t xml:space="preserve"> v </w:t>
      </w:r>
      <w:r>
        <w:t>daném vědním oboru (či oborech) nebo</w:t>
      </w:r>
      <w:r w:rsidR="009B66B5">
        <w:t xml:space="preserve"> z </w:t>
      </w:r>
      <w:r>
        <w:t>hlediska společenské relevance, resp. užitečnosti</w:t>
      </w:r>
      <w:r w:rsidR="009B66B5">
        <w:t xml:space="preserve"> a </w:t>
      </w:r>
      <w:r>
        <w:t>potřebnosti dosažených výsledků. Mezinárodní spolupráce není</w:t>
      </w:r>
      <w:r w:rsidR="009B66B5">
        <w:t xml:space="preserve"> v </w:t>
      </w:r>
      <w:r>
        <w:t>M1 bezprostředně hodnocena.</w:t>
      </w:r>
    </w:p>
    <w:p w14:paraId="45A6268A" w14:textId="77777777" w:rsidR="002000CC" w:rsidRPr="00CE365A" w:rsidRDefault="002000CC" w:rsidP="002000CC">
      <w:pPr>
        <w:rPr>
          <w:u w:val="single"/>
        </w:rPr>
      </w:pPr>
      <w:r w:rsidRPr="00CE365A">
        <w:rPr>
          <w:u w:val="single"/>
        </w:rPr>
        <w:t>Modul 2</w:t>
      </w:r>
    </w:p>
    <w:p w14:paraId="122146FD" w14:textId="77777777" w:rsidR="002000CC" w:rsidRPr="003F2565" w:rsidRDefault="5202D55A" w:rsidP="002000CC">
      <w:r>
        <w:t>Hodnocení</w:t>
      </w:r>
      <w:r w:rsidR="009B66B5">
        <w:t xml:space="preserve"> v </w:t>
      </w:r>
      <w:r>
        <w:t>M2 se zaměřuje na celkovou výkonnost výzkumné organizace. V praxi se</w:t>
      </w:r>
      <w:r w:rsidR="009B66B5">
        <w:t xml:space="preserve"> v </w:t>
      </w:r>
      <w:r>
        <w:t>M2 realizuje dominantně hodnocení bibliometrických údajů u dosažených výsledků VaV</w:t>
      </w:r>
      <w:r w:rsidR="009D53D1">
        <w:t>aI</w:t>
      </w:r>
      <w:r>
        <w:t xml:space="preserve">. </w:t>
      </w:r>
      <w:r w:rsidR="00713506">
        <w:t xml:space="preserve">Přestože </w:t>
      </w:r>
      <w:r w:rsidR="003928D3">
        <w:t>publikační výsledk</w:t>
      </w:r>
      <w:r w:rsidR="00BD117B">
        <w:t>y</w:t>
      </w:r>
      <w:r w:rsidR="003928D3">
        <w:t xml:space="preserve"> dosažen</w:t>
      </w:r>
      <w:r w:rsidR="00BD117B">
        <w:t>é</w:t>
      </w:r>
      <w:r w:rsidR="009B66B5">
        <w:t xml:space="preserve"> v </w:t>
      </w:r>
      <w:r w:rsidR="009D53D1">
        <w:t>RP</w:t>
      </w:r>
      <w:r w:rsidR="000F7E3F">
        <w:t xml:space="preserve"> </w:t>
      </w:r>
      <w:r w:rsidR="004350B5">
        <w:t xml:space="preserve">prokazatelně </w:t>
      </w:r>
      <w:r w:rsidR="00BD117B">
        <w:t xml:space="preserve">zvyšují kvalitu </w:t>
      </w:r>
      <w:r w:rsidR="007743AF">
        <w:t xml:space="preserve">publikací výzkumné organizace </w:t>
      </w:r>
      <w:r w:rsidR="0065475D">
        <w:t xml:space="preserve">(viz kap. 2), </w:t>
      </w:r>
      <w:r w:rsidR="007743AF">
        <w:t>m</w:t>
      </w:r>
      <w:r>
        <w:t>ezinárodní spolupráce není</w:t>
      </w:r>
      <w:r w:rsidR="009B66B5">
        <w:t xml:space="preserve"> v </w:t>
      </w:r>
      <w:r>
        <w:t xml:space="preserve">M2 bezprostředně hodnocena.  </w:t>
      </w:r>
    </w:p>
    <w:p w14:paraId="21AD1CFF" w14:textId="77777777" w:rsidR="002000CC" w:rsidRDefault="002000CC" w:rsidP="005C25C6">
      <w:pPr>
        <w:pStyle w:val="Nadpis3"/>
      </w:pPr>
      <w:bookmarkStart w:id="28" w:name="_Toc114572322"/>
      <w:r w:rsidRPr="008C0F20">
        <w:t>Zohlednění mezinárodní spolupráce</w:t>
      </w:r>
      <w:r w:rsidR="009B66B5">
        <w:t xml:space="preserve"> v </w:t>
      </w:r>
      <w:r w:rsidRPr="008C0F20">
        <w:t>modulech M</w:t>
      </w:r>
      <w:r>
        <w:t>3</w:t>
      </w:r>
      <w:r w:rsidRPr="008C0F20">
        <w:t xml:space="preserve"> a</w:t>
      </w:r>
      <w:r>
        <w:t>ž</w:t>
      </w:r>
      <w:r w:rsidRPr="008C0F20">
        <w:t xml:space="preserve"> M</w:t>
      </w:r>
      <w:r>
        <w:t>5 – vysoké školy</w:t>
      </w:r>
      <w:bookmarkEnd w:id="28"/>
    </w:p>
    <w:p w14:paraId="093E2840" w14:textId="77777777" w:rsidR="002000CC" w:rsidRDefault="002000CC" w:rsidP="002000CC">
      <w:pPr>
        <w:rPr>
          <w:bCs/>
        </w:rPr>
      </w:pPr>
      <w:r>
        <w:rPr>
          <w:bCs/>
        </w:rPr>
        <w:t>Hodnocení</w:t>
      </w:r>
      <w:r w:rsidR="009B66B5">
        <w:rPr>
          <w:bCs/>
        </w:rPr>
        <w:t xml:space="preserve"> v </w:t>
      </w:r>
      <w:r>
        <w:rPr>
          <w:bCs/>
        </w:rPr>
        <w:t xml:space="preserve">segmentu vysokých škol realizuje MŠMT podle </w:t>
      </w:r>
      <w:r w:rsidRPr="00284F5B">
        <w:rPr>
          <w:bCs/>
        </w:rPr>
        <w:t>Metodik</w:t>
      </w:r>
      <w:r>
        <w:rPr>
          <w:bCs/>
        </w:rPr>
        <w:t>y</w:t>
      </w:r>
      <w:r w:rsidRPr="00284F5B">
        <w:rPr>
          <w:bCs/>
        </w:rPr>
        <w:t xml:space="preserve"> hodnocení výzkumných organizací</w:t>
      </w:r>
      <w:r w:rsidR="009B66B5">
        <w:rPr>
          <w:bCs/>
        </w:rPr>
        <w:t xml:space="preserve"> v </w:t>
      </w:r>
      <w:r w:rsidRPr="00284F5B">
        <w:rPr>
          <w:bCs/>
        </w:rPr>
        <w:t>segmentu vysokých škol schválen</w:t>
      </w:r>
      <w:r>
        <w:rPr>
          <w:bCs/>
        </w:rPr>
        <w:t>é</w:t>
      </w:r>
      <w:r w:rsidRPr="00284F5B">
        <w:rPr>
          <w:bCs/>
        </w:rPr>
        <w:t xml:space="preserve"> usnesením vlády </w:t>
      </w:r>
      <w:r w:rsidR="009D53D1">
        <w:rPr>
          <w:bCs/>
        </w:rPr>
        <w:t xml:space="preserve">ČR </w:t>
      </w:r>
      <w:r w:rsidRPr="00284F5B">
        <w:rPr>
          <w:bCs/>
        </w:rPr>
        <w:t>ze dne 30. července 2019 č. 563</w:t>
      </w:r>
      <w:r>
        <w:rPr>
          <w:bCs/>
        </w:rPr>
        <w:t>. V roce 2020 bylo podle této metodiky hodnoceno 26 veřejných vysokých škol</w:t>
      </w:r>
      <w:r w:rsidR="009B66B5">
        <w:rPr>
          <w:bCs/>
        </w:rPr>
        <w:t xml:space="preserve"> a </w:t>
      </w:r>
      <w:r>
        <w:rPr>
          <w:bCs/>
        </w:rPr>
        <w:t>4 soukromé vysoké školy.</w:t>
      </w:r>
    </w:p>
    <w:p w14:paraId="309AC8E9" w14:textId="77777777" w:rsidR="002000CC" w:rsidRPr="0063052A" w:rsidRDefault="002000CC" w:rsidP="002000CC">
      <w:pPr>
        <w:rPr>
          <w:bCs/>
          <w:u w:val="single"/>
        </w:rPr>
      </w:pPr>
      <w:r w:rsidRPr="0063052A">
        <w:rPr>
          <w:bCs/>
          <w:u w:val="single"/>
        </w:rPr>
        <w:t>Modul 3</w:t>
      </w:r>
    </w:p>
    <w:p w14:paraId="3D1A6C2F" w14:textId="77777777" w:rsidR="002000CC" w:rsidRDefault="002000CC" w:rsidP="002000CC">
      <w:r>
        <w:t>V M3 není rozsah</w:t>
      </w:r>
      <w:r w:rsidR="009B66B5">
        <w:t xml:space="preserve"> a </w:t>
      </w:r>
      <w:r>
        <w:t xml:space="preserve">intenzita mezinárodní spolupráce bezprostředně hodnocena. Nepřímo je mezinárodní přesah hodnocené organizační jednotky </w:t>
      </w:r>
      <w:r w:rsidR="009D53D1">
        <w:t xml:space="preserve">vysoké školy </w:t>
      </w:r>
      <w:r>
        <w:t>zohledněn</w:t>
      </w:r>
      <w:r w:rsidR="009B66B5">
        <w:t xml:space="preserve"> v </w:t>
      </w:r>
      <w:r>
        <w:t>kritériu „</w:t>
      </w:r>
      <w:r w:rsidRPr="00D9767A">
        <w:rPr>
          <w:i/>
          <w:iCs/>
        </w:rPr>
        <w:t>Uznání mezinárodní komunitou</w:t>
      </w:r>
      <w:r w:rsidR="009B66B5">
        <w:rPr>
          <w:i/>
          <w:iCs/>
        </w:rPr>
        <w:t xml:space="preserve"> v </w:t>
      </w:r>
      <w:r w:rsidRPr="00D9767A">
        <w:rPr>
          <w:i/>
          <w:iCs/>
        </w:rPr>
        <w:t>oblasti VaVaI</w:t>
      </w:r>
      <w:r>
        <w:t>“, kde je posuzován rozsah</w:t>
      </w:r>
      <w:r w:rsidR="009B66B5">
        <w:t xml:space="preserve"> a </w:t>
      </w:r>
      <w:r>
        <w:t>úroveň členství</w:t>
      </w:r>
      <w:r w:rsidR="009B66B5">
        <w:t xml:space="preserve"> v </w:t>
      </w:r>
      <w:r>
        <w:t>mezinárodních odborných společnostech, redakčních radách mezinárodních časopi</w:t>
      </w:r>
      <w:r w:rsidR="00D6206D">
        <w:t>sů</w:t>
      </w:r>
      <w:r>
        <w:t xml:space="preserve"> či zvaných přednášek na zahraničních institucích.</w:t>
      </w:r>
    </w:p>
    <w:p w14:paraId="39B5233D" w14:textId="77777777" w:rsidR="002000CC" w:rsidRPr="000D6600" w:rsidRDefault="002000CC" w:rsidP="002000CC">
      <w:pPr>
        <w:rPr>
          <w:u w:val="single"/>
        </w:rPr>
      </w:pPr>
      <w:r w:rsidRPr="000D6600">
        <w:rPr>
          <w:u w:val="single"/>
        </w:rPr>
        <w:t>Modul M4</w:t>
      </w:r>
    </w:p>
    <w:p w14:paraId="75159EAB" w14:textId="77777777" w:rsidR="002000CC" w:rsidRDefault="002000CC" w:rsidP="002000CC">
      <w:r>
        <w:t>Internacionalizace</w:t>
      </w:r>
      <w:r w:rsidR="009B66B5">
        <w:t xml:space="preserve"> a </w:t>
      </w:r>
      <w:r>
        <w:t>mezinárodní spolupráce je</w:t>
      </w:r>
      <w:r w:rsidR="009B66B5">
        <w:t xml:space="preserve"> v </w:t>
      </w:r>
      <w:r>
        <w:t>M4 zohledněna především</w:t>
      </w:r>
      <w:r w:rsidR="009B66B5">
        <w:t xml:space="preserve"> v </w:t>
      </w:r>
      <w:r>
        <w:t>následujících pěti kritériích:</w:t>
      </w:r>
    </w:p>
    <w:p w14:paraId="5974F936" w14:textId="77777777" w:rsidR="002000CC" w:rsidRDefault="002000CC" w:rsidP="00D6206D">
      <w:pPr>
        <w:pStyle w:val="Odstavecseseznamem"/>
        <w:numPr>
          <w:ilvl w:val="0"/>
          <w:numId w:val="6"/>
        </w:numPr>
        <w:spacing w:before="0" w:after="160" w:line="259" w:lineRule="auto"/>
        <w:contextualSpacing/>
      </w:pPr>
      <w:r w:rsidRPr="005E0D7B">
        <w:rPr>
          <w:i/>
          <w:iCs/>
        </w:rPr>
        <w:t>4.7 Internacionalizace doktorského studia</w:t>
      </w:r>
      <w:r>
        <w:t xml:space="preserve">, kde je posuzována </w:t>
      </w:r>
      <w:r w:rsidRPr="000C7AB2">
        <w:t>otevřenost doktorských studijních programů pro cizí státní příslušníky</w:t>
      </w:r>
      <w:r w:rsidR="009B66B5">
        <w:t xml:space="preserve"> a </w:t>
      </w:r>
      <w:r w:rsidRPr="000C7AB2">
        <w:t>vytváření mezinárodních sítí doktorských studií, péče</w:t>
      </w:r>
      <w:r w:rsidR="009B66B5">
        <w:t xml:space="preserve"> o </w:t>
      </w:r>
      <w:r w:rsidRPr="000C7AB2">
        <w:t>zahraniční studenty přijíždějící</w:t>
      </w:r>
      <w:r w:rsidR="009B66B5">
        <w:t xml:space="preserve"> v </w:t>
      </w:r>
      <w:r w:rsidRPr="000C7AB2">
        <w:t>rámci mobility, podpora</w:t>
      </w:r>
      <w:r w:rsidR="009B66B5">
        <w:t xml:space="preserve"> </w:t>
      </w:r>
      <w:r w:rsidR="009B66B5">
        <w:lastRenderedPageBreak/>
        <w:t>a </w:t>
      </w:r>
      <w:r w:rsidRPr="000C7AB2">
        <w:t>existence společných individuálních doktorských studií</w:t>
      </w:r>
      <w:r w:rsidR="009B66B5">
        <w:t xml:space="preserve"> v </w:t>
      </w:r>
      <w:r w:rsidR="00D6206D">
        <w:t>mezinárodní spolupráci</w:t>
      </w:r>
      <w:r w:rsidRPr="000C7AB2">
        <w:t>, individuální kontrakty, studijní pobyty</w:t>
      </w:r>
      <w:r w:rsidR="009B66B5">
        <w:t xml:space="preserve"> a </w:t>
      </w:r>
      <w:r w:rsidRPr="000C7AB2">
        <w:t>výzkumné stáže</w:t>
      </w:r>
      <w:r>
        <w:t xml:space="preserve"> doktorandů</w:t>
      </w:r>
      <w:r w:rsidR="009B66B5">
        <w:t xml:space="preserve"> v </w:t>
      </w:r>
      <w:r w:rsidRPr="000C7AB2">
        <w:t>zahraničí</w:t>
      </w:r>
      <w:r w:rsidR="00D6206D">
        <w:t>,</w:t>
      </w:r>
    </w:p>
    <w:p w14:paraId="77896674" w14:textId="77777777" w:rsidR="002000CC" w:rsidRDefault="002000CC" w:rsidP="00D6206D">
      <w:pPr>
        <w:pStyle w:val="Odstavecseseznamem"/>
        <w:numPr>
          <w:ilvl w:val="0"/>
          <w:numId w:val="6"/>
        </w:numPr>
        <w:spacing w:before="0" w:after="160" w:line="259" w:lineRule="auto"/>
        <w:contextualSpacing/>
      </w:pPr>
      <w:r w:rsidRPr="005E0D7B">
        <w:rPr>
          <w:i/>
          <w:iCs/>
        </w:rPr>
        <w:t>4.11 Významné spolupráce ve VaVaI na mezinárodní úrovni</w:t>
      </w:r>
      <w:r>
        <w:t>, kde je hodnocena mezinárodní spolupráce výzkumné organizace</w:t>
      </w:r>
      <w:r w:rsidR="009B66B5">
        <w:t xml:space="preserve"> z </w:t>
      </w:r>
      <w:r>
        <w:t>hlediska</w:t>
      </w:r>
      <w:r w:rsidRPr="00D77AD7">
        <w:t xml:space="preserve"> progresivních trendů</w:t>
      </w:r>
      <w:r w:rsidR="009B66B5">
        <w:t xml:space="preserve"> v </w:t>
      </w:r>
      <w:r w:rsidRPr="00D77AD7">
        <w:t>oblasti VaVaI</w:t>
      </w:r>
      <w:r w:rsidR="00D6206D">
        <w:t>,</w:t>
      </w:r>
    </w:p>
    <w:p w14:paraId="6D2C682C" w14:textId="77777777" w:rsidR="002000CC" w:rsidRDefault="002000CC" w:rsidP="00D6206D">
      <w:pPr>
        <w:pStyle w:val="Odstavecseseznamem"/>
        <w:numPr>
          <w:ilvl w:val="0"/>
          <w:numId w:val="6"/>
        </w:numPr>
        <w:spacing w:before="0" w:after="160" w:line="259" w:lineRule="auto"/>
        <w:contextualSpacing/>
      </w:pPr>
      <w:r w:rsidRPr="005E0D7B">
        <w:rPr>
          <w:i/>
          <w:iCs/>
        </w:rPr>
        <w:t>4.12 Mobilita akademických</w:t>
      </w:r>
      <w:r w:rsidR="009B66B5">
        <w:rPr>
          <w:i/>
          <w:iCs/>
        </w:rPr>
        <w:t xml:space="preserve"> a </w:t>
      </w:r>
      <w:r w:rsidRPr="005E0D7B">
        <w:rPr>
          <w:i/>
          <w:iCs/>
        </w:rPr>
        <w:t>výzkumných pracovníků</w:t>
      </w:r>
      <w:r>
        <w:t>, kde je posuzován rozsah</w:t>
      </w:r>
      <w:r w:rsidR="009B66B5">
        <w:t xml:space="preserve"> a </w:t>
      </w:r>
      <w:r>
        <w:t>přínosy mobilit výzkumných pracovníků</w:t>
      </w:r>
      <w:r w:rsidR="009B66B5">
        <w:t xml:space="preserve"> a </w:t>
      </w:r>
      <w:r>
        <w:t>doktorandů</w:t>
      </w:r>
      <w:r w:rsidR="00D6206D">
        <w:t>,</w:t>
      </w:r>
    </w:p>
    <w:p w14:paraId="5BA55FE3" w14:textId="77777777" w:rsidR="002000CC" w:rsidRDefault="002000CC" w:rsidP="00D6206D">
      <w:pPr>
        <w:pStyle w:val="Odstavecseseznamem"/>
        <w:numPr>
          <w:ilvl w:val="0"/>
          <w:numId w:val="6"/>
        </w:numPr>
        <w:spacing w:before="0" w:after="160" w:line="259" w:lineRule="auto"/>
        <w:contextualSpacing/>
      </w:pPr>
      <w:r w:rsidRPr="005E0D7B">
        <w:rPr>
          <w:i/>
          <w:iCs/>
        </w:rPr>
        <w:t>4.13 Internacionalizace vnitřního prostředí</w:t>
      </w:r>
      <w:r>
        <w:t>, kde je celkově hodnoceno vnitřní prostředí vysoké škol</w:t>
      </w:r>
      <w:r w:rsidR="00D6206D">
        <w:t>y</w:t>
      </w:r>
      <w:r w:rsidR="009B66B5">
        <w:t xml:space="preserve"> z </w:t>
      </w:r>
      <w:r w:rsidR="00D6206D">
        <w:t>hlediska internacionalizace,</w:t>
      </w:r>
    </w:p>
    <w:p w14:paraId="725C63B3" w14:textId="77777777" w:rsidR="002000CC" w:rsidRDefault="002000CC" w:rsidP="00D6206D">
      <w:pPr>
        <w:pStyle w:val="Odstavecseseznamem"/>
        <w:numPr>
          <w:ilvl w:val="0"/>
          <w:numId w:val="6"/>
        </w:numPr>
        <w:spacing w:before="0" w:after="160" w:line="259" w:lineRule="auto"/>
        <w:contextualSpacing/>
      </w:pPr>
      <w:r w:rsidRPr="005E0D7B">
        <w:rPr>
          <w:i/>
          <w:iCs/>
        </w:rPr>
        <w:t>4.20 Podpora získávání zahraničních výzkumných projektů</w:t>
      </w:r>
      <w:r>
        <w:t>, kde jsou posuzovány</w:t>
      </w:r>
      <w:r w:rsidRPr="00573D0A">
        <w:t xml:space="preserve"> strategi</w:t>
      </w:r>
      <w:r>
        <w:t>e</w:t>
      </w:r>
      <w:r w:rsidRPr="00573D0A">
        <w:t>, nástroje</w:t>
      </w:r>
      <w:r w:rsidR="009B66B5">
        <w:t xml:space="preserve"> a </w:t>
      </w:r>
      <w:r w:rsidRPr="00573D0A">
        <w:t>systém podpory vysoké školy pro získávání zahraničních výzkumných projektů, např. zajištění podpůrné administrativy, projektové poradenství, řízení informací</w:t>
      </w:r>
      <w:r w:rsidR="009B66B5">
        <w:t xml:space="preserve"> o </w:t>
      </w:r>
      <w:r w:rsidRPr="00573D0A">
        <w:t xml:space="preserve">VaVaI, organizaci projektového managementu, existenci podpůrných finančních zdrojů (interních dotačních titulů) pomáhajících přípravě kvalitních přihlášek </w:t>
      </w:r>
      <w:r>
        <w:t>apod.</w:t>
      </w:r>
    </w:p>
    <w:p w14:paraId="5D69BADE" w14:textId="77777777" w:rsidR="002000CC" w:rsidRDefault="002000CC" w:rsidP="00D6206D">
      <w:r>
        <w:t>Celkem se jedná</w:t>
      </w:r>
      <w:r w:rsidR="009B66B5">
        <w:t xml:space="preserve"> o </w:t>
      </w:r>
      <w:r>
        <w:t>5 kritérií</w:t>
      </w:r>
      <w:r w:rsidR="009B66B5">
        <w:t xml:space="preserve"> z </w:t>
      </w:r>
      <w:r>
        <w:t>28 hodnocených (tj. 18 %)</w:t>
      </w:r>
      <w:r w:rsidR="009B66B5">
        <w:t xml:space="preserve"> v </w:t>
      </w:r>
      <w:r>
        <w:t xml:space="preserve">M4. </w:t>
      </w:r>
    </w:p>
    <w:p w14:paraId="3C32C5C5" w14:textId="77777777" w:rsidR="002000CC" w:rsidRDefault="002000CC" w:rsidP="002000CC">
      <w:pPr>
        <w:rPr>
          <w:u w:val="single"/>
        </w:rPr>
      </w:pPr>
      <w:r w:rsidRPr="00D9767A">
        <w:rPr>
          <w:u w:val="single"/>
        </w:rPr>
        <w:t>Modul 5</w:t>
      </w:r>
    </w:p>
    <w:p w14:paraId="02D9D85C" w14:textId="77777777" w:rsidR="002000CC" w:rsidRDefault="002000CC" w:rsidP="002000CC">
      <w:r>
        <w:t>Modul 5 je zaměřen na hodnocení strategické orientace vysoké školy</w:t>
      </w:r>
      <w:r w:rsidR="009B66B5">
        <w:t xml:space="preserve"> a </w:t>
      </w:r>
      <w:r>
        <w:t>souladu jejího směřování</w:t>
      </w:r>
      <w:r w:rsidR="009B66B5">
        <w:t xml:space="preserve"> s </w:t>
      </w:r>
      <w:r>
        <w:t>posláním</w:t>
      </w:r>
      <w:r w:rsidR="009B66B5">
        <w:t xml:space="preserve"> a </w:t>
      </w:r>
      <w:r>
        <w:t>mezinárodní</w:t>
      </w:r>
      <w:r w:rsidR="009B66B5">
        <w:t xml:space="preserve"> a </w:t>
      </w:r>
      <w:r>
        <w:t>národní kontext. Hodnoceny jsou rovněž nástroje</w:t>
      </w:r>
      <w:r w:rsidR="009B66B5">
        <w:t xml:space="preserve"> a </w:t>
      </w:r>
      <w:r>
        <w:t>mechanismy pro dosažení stanovených strategických cílů. Přestože lze očekávat, že rozvoj internacionalizace</w:t>
      </w:r>
      <w:r w:rsidR="009B66B5">
        <w:t xml:space="preserve"> a </w:t>
      </w:r>
      <w:r>
        <w:t>mezinárodní spolupráce bude součástí strategických cílů většiny vysokých škol, není tato oblast</w:t>
      </w:r>
      <w:r w:rsidR="009B66B5">
        <w:t xml:space="preserve"> v </w:t>
      </w:r>
      <w:r>
        <w:t>kritériích pro hodnocení</w:t>
      </w:r>
      <w:r w:rsidR="009B66B5">
        <w:t xml:space="preserve"> v </w:t>
      </w:r>
      <w:r>
        <w:t>M5 explicitně zdůrazněna.</w:t>
      </w:r>
    </w:p>
    <w:p w14:paraId="7A4DE0F7" w14:textId="77777777" w:rsidR="002000CC" w:rsidRPr="00557540" w:rsidRDefault="002000CC" w:rsidP="002000CC">
      <w:pPr>
        <w:rPr>
          <w:u w:val="single"/>
        </w:rPr>
      </w:pPr>
      <w:r w:rsidRPr="00557540">
        <w:rPr>
          <w:u w:val="single"/>
        </w:rPr>
        <w:t>Souhrnné hodnocení</w:t>
      </w:r>
      <w:r>
        <w:rPr>
          <w:u w:val="single"/>
        </w:rPr>
        <w:t xml:space="preserve"> vysokých škol</w:t>
      </w:r>
    </w:p>
    <w:p w14:paraId="18BC4FA2" w14:textId="77777777" w:rsidR="002000CC" w:rsidRDefault="002000CC" w:rsidP="002000CC">
      <w:r>
        <w:t>Po zhodnocení vysokých škol</w:t>
      </w:r>
      <w:r w:rsidR="009B66B5">
        <w:t xml:space="preserve"> v </w:t>
      </w:r>
      <w:r>
        <w:t>jednotlivých modulech je vytvořeno souhrnné hodnocení, které se odrazí</w:t>
      </w:r>
      <w:r w:rsidR="009B66B5">
        <w:t xml:space="preserve"> v </w:t>
      </w:r>
      <w:r>
        <w:t>agregované známce přidělené každé hodnocené vysoké škole. Souhrnné hodnocení (známka) se stanoví jinak u větších</w:t>
      </w:r>
      <w:r w:rsidR="009B66B5">
        <w:t xml:space="preserve"> a </w:t>
      </w:r>
      <w:r>
        <w:t xml:space="preserve">jinak u menších vysokých škol. </w:t>
      </w:r>
    </w:p>
    <w:p w14:paraId="0B47B3A0" w14:textId="77777777" w:rsidR="002000CC" w:rsidRPr="00352455" w:rsidRDefault="002000CC" w:rsidP="002000CC">
      <w:r>
        <w:t>V případě větších vysokých škol (přesněji vysokých škol</w:t>
      </w:r>
      <w:r w:rsidR="009B66B5">
        <w:t xml:space="preserve"> s </w:t>
      </w:r>
      <w:r>
        <w:t>50</w:t>
      </w:r>
      <w:r w:rsidR="009B66B5">
        <w:t xml:space="preserve"> a </w:t>
      </w:r>
      <w:r>
        <w:t>více výsledky hodnocenými</w:t>
      </w:r>
      <w:r w:rsidR="009B66B5">
        <w:t xml:space="preserve"> v </w:t>
      </w:r>
      <w:r>
        <w:t>M2) odpovídá souhrnné hodnocení známce dosažené</w:t>
      </w:r>
      <w:r w:rsidR="009B66B5">
        <w:t xml:space="preserve"> v </w:t>
      </w:r>
      <w:r>
        <w:t>M1</w:t>
      </w:r>
      <w:r w:rsidR="009B66B5">
        <w:t xml:space="preserve"> a </w:t>
      </w:r>
      <w:r>
        <w:t>M2, pokud hodnocení</w:t>
      </w:r>
      <w:r w:rsidR="009B66B5">
        <w:t xml:space="preserve"> v </w:t>
      </w:r>
      <w:r>
        <w:t>žádném</w:t>
      </w:r>
      <w:r w:rsidR="009B66B5">
        <w:t xml:space="preserve"> z </w:t>
      </w:r>
      <w:r>
        <w:t>modulů M3 až M5 není</w:t>
      </w:r>
      <w:r w:rsidR="009B66B5">
        <w:t xml:space="preserve"> o </w:t>
      </w:r>
      <w:r>
        <w:t>2</w:t>
      </w:r>
      <w:r w:rsidR="009B66B5">
        <w:t xml:space="preserve"> a </w:t>
      </w:r>
      <w:r>
        <w:t>více stupňů nižší. Při nesplnění této podmínky se souhrnná známka automaticky sníží</w:t>
      </w:r>
      <w:r w:rsidR="009B66B5">
        <w:t xml:space="preserve"> o </w:t>
      </w:r>
      <w:r>
        <w:t>jeden stupeň oproti souhrnné známce dosažené</w:t>
      </w:r>
      <w:r w:rsidR="009B66B5">
        <w:t xml:space="preserve"> v </w:t>
      </w:r>
      <w:r>
        <w:t>M1</w:t>
      </w:r>
      <w:r w:rsidR="009B66B5">
        <w:t xml:space="preserve"> a </w:t>
      </w:r>
      <w:r>
        <w:t>M2.</w:t>
      </w:r>
    </w:p>
    <w:p w14:paraId="58C2B653" w14:textId="77777777" w:rsidR="002000CC" w:rsidRDefault="002000CC" w:rsidP="002000CC">
      <w:r w:rsidRPr="002D3349">
        <w:rPr>
          <w:bCs/>
        </w:rPr>
        <w:t xml:space="preserve">V případě menších </w:t>
      </w:r>
      <w:r>
        <w:rPr>
          <w:bCs/>
        </w:rPr>
        <w:t>vysokých škol (přesněji vysokých škol</w:t>
      </w:r>
      <w:r w:rsidR="009B66B5">
        <w:rPr>
          <w:bCs/>
        </w:rPr>
        <w:t xml:space="preserve"> s </w:t>
      </w:r>
      <w:r>
        <w:rPr>
          <w:bCs/>
        </w:rPr>
        <w:t>méně než 50 výsledky hodnocenými</w:t>
      </w:r>
      <w:r w:rsidR="009B66B5">
        <w:rPr>
          <w:bCs/>
        </w:rPr>
        <w:t xml:space="preserve"> v </w:t>
      </w:r>
      <w:r w:rsidRPr="002D3349">
        <w:rPr>
          <w:bCs/>
        </w:rPr>
        <w:t>M2</w:t>
      </w:r>
      <w:r>
        <w:rPr>
          <w:bCs/>
        </w:rPr>
        <w:t>)</w:t>
      </w:r>
      <w:bookmarkStart w:id="29" w:name="_Hlk109987697"/>
      <w:r>
        <w:rPr>
          <w:bCs/>
        </w:rPr>
        <w:t xml:space="preserve"> se</w:t>
      </w:r>
      <w:bookmarkEnd w:id="29"/>
      <w:r>
        <w:rPr>
          <w:bCs/>
        </w:rPr>
        <w:t xml:space="preserve"> s</w:t>
      </w:r>
      <w:r>
        <w:t>ouhrnné hodnocení stanoví na úrovni známky:</w:t>
      </w:r>
    </w:p>
    <w:p w14:paraId="40D966A5" w14:textId="77777777" w:rsidR="002000CC" w:rsidRDefault="002000CC">
      <w:pPr>
        <w:pStyle w:val="Odstavecseseznamem"/>
        <w:numPr>
          <w:ilvl w:val="0"/>
          <w:numId w:val="7"/>
        </w:numPr>
      </w:pPr>
      <w:r>
        <w:t>B – pokud hodnocení ani</w:t>
      </w:r>
      <w:r w:rsidR="009B66B5">
        <w:t xml:space="preserve"> v </w:t>
      </w:r>
      <w:r>
        <w:t>jednom</w:t>
      </w:r>
      <w:r w:rsidR="009B66B5">
        <w:t xml:space="preserve"> z </w:t>
      </w:r>
      <w:r>
        <w:t>modulů M1 až M5 není na úrovni nižší než B</w:t>
      </w:r>
      <w:r w:rsidR="009B66B5">
        <w:t xml:space="preserve"> s </w:t>
      </w:r>
      <w:r>
        <w:t>výjimkou případu, kdy grémium poskytovatele shledalo hodnocení mezinárodní</w:t>
      </w:r>
      <w:r w:rsidR="00EB0349">
        <w:t>m</w:t>
      </w:r>
      <w:r>
        <w:t xml:space="preserve"> evaluačním panelem</w:t>
      </w:r>
      <w:r w:rsidR="009B66B5">
        <w:t xml:space="preserve"> v </w:t>
      </w:r>
      <w:r>
        <w:t>modulech M3 až M5 podhodnoceným</w:t>
      </w:r>
      <w:r w:rsidR="00EB0349">
        <w:t>,</w:t>
      </w:r>
    </w:p>
    <w:p w14:paraId="6F438F45" w14:textId="77777777" w:rsidR="002000CC" w:rsidRDefault="002000CC">
      <w:pPr>
        <w:pStyle w:val="Odstavecseseznamem"/>
        <w:numPr>
          <w:ilvl w:val="0"/>
          <w:numId w:val="7"/>
        </w:numPr>
      </w:pPr>
      <w:r>
        <w:t>C – pokud výzkumná organizace nesplňuje podmínku pro známku B</w:t>
      </w:r>
      <w:r w:rsidR="009B66B5">
        <w:t xml:space="preserve"> a </w:t>
      </w:r>
      <w:r>
        <w:t>pokud hodnocení ani</w:t>
      </w:r>
      <w:r w:rsidR="009B66B5">
        <w:t xml:space="preserve"> v </w:t>
      </w:r>
      <w:r>
        <w:t>jednom</w:t>
      </w:r>
      <w:r w:rsidR="009B66B5">
        <w:t xml:space="preserve"> z </w:t>
      </w:r>
      <w:r>
        <w:t>modulů M1 až M5 není na úrovni nižší než C</w:t>
      </w:r>
      <w:r w:rsidR="009B66B5">
        <w:t xml:space="preserve"> s </w:t>
      </w:r>
      <w:r>
        <w:t>výjimkou případu, kdy grémium poskytovatele shledalo hodnocení mezinárodní evaluačním panelem</w:t>
      </w:r>
      <w:r w:rsidR="009B66B5">
        <w:t xml:space="preserve"> v </w:t>
      </w:r>
      <w:r>
        <w:t>modulech M3 až M5 podhodnoceným</w:t>
      </w:r>
      <w:r w:rsidR="00EB0349">
        <w:t>,</w:t>
      </w:r>
    </w:p>
    <w:p w14:paraId="0DDC4746" w14:textId="77777777" w:rsidR="002000CC" w:rsidRDefault="002000CC">
      <w:pPr>
        <w:pStyle w:val="Odstavecseseznamem"/>
        <w:numPr>
          <w:ilvl w:val="0"/>
          <w:numId w:val="7"/>
        </w:numPr>
      </w:pPr>
      <w:r>
        <w:lastRenderedPageBreak/>
        <w:t>D –</w:t>
      </w:r>
      <w:r w:rsidR="009B66B5">
        <w:t xml:space="preserve"> v </w:t>
      </w:r>
      <w:r>
        <w:t>ostatních případech shora neuvedených.</w:t>
      </w:r>
    </w:p>
    <w:p w14:paraId="56A70FFC" w14:textId="77777777" w:rsidR="002000CC" w:rsidRDefault="002000CC" w:rsidP="005C25C6">
      <w:pPr>
        <w:pStyle w:val="Nadpis3"/>
      </w:pPr>
      <w:bookmarkStart w:id="30" w:name="_Toc114572323"/>
      <w:r w:rsidRPr="008C0F20">
        <w:t>Zohlednění mezinárodní spolupráce</w:t>
      </w:r>
      <w:r w:rsidR="009B66B5">
        <w:t xml:space="preserve"> v </w:t>
      </w:r>
      <w:r>
        <w:t xml:space="preserve">hodnocení </w:t>
      </w:r>
      <w:r w:rsidRPr="00753DD7">
        <w:t>výzkumně orientovaných</w:t>
      </w:r>
      <w:r>
        <w:t xml:space="preserve"> pracovišť AV ČR</w:t>
      </w:r>
      <w:bookmarkEnd w:id="30"/>
    </w:p>
    <w:p w14:paraId="621D224B" w14:textId="77777777" w:rsidR="002000CC" w:rsidRDefault="002000CC" w:rsidP="002000CC">
      <w:pPr>
        <w:rPr>
          <w:bCs/>
        </w:rPr>
      </w:pPr>
      <w:r>
        <w:rPr>
          <w:bCs/>
        </w:rPr>
        <w:t xml:space="preserve">Hodnocení pracovišť AV ČR realizuje AV ČR. Dosud poslední hodnocení </w:t>
      </w:r>
      <w:r w:rsidR="00EB0349">
        <w:rPr>
          <w:bCs/>
        </w:rPr>
        <w:t>bylo realizováno</w:t>
      </w:r>
      <w:r w:rsidR="009B66B5">
        <w:rPr>
          <w:bCs/>
        </w:rPr>
        <w:t xml:space="preserve"> v </w:t>
      </w:r>
      <w:r w:rsidR="00EB0349">
        <w:rPr>
          <w:bCs/>
        </w:rPr>
        <w:t>letech 2020 až</w:t>
      </w:r>
      <w:r>
        <w:rPr>
          <w:bCs/>
        </w:rPr>
        <w:t xml:space="preserve"> 2021 podle Metodiky h</w:t>
      </w:r>
      <w:r w:rsidRPr="00A72C9A">
        <w:rPr>
          <w:bCs/>
        </w:rPr>
        <w:t>odnocení výzkumné</w:t>
      </w:r>
      <w:r w:rsidR="009B66B5">
        <w:rPr>
          <w:bCs/>
        </w:rPr>
        <w:t xml:space="preserve"> a </w:t>
      </w:r>
      <w:r w:rsidRPr="00A72C9A">
        <w:rPr>
          <w:bCs/>
        </w:rPr>
        <w:t xml:space="preserve">odborné činnosti </w:t>
      </w:r>
      <w:bookmarkStart w:id="31" w:name="_Hlk109989773"/>
      <w:r w:rsidRPr="00A72C9A">
        <w:rPr>
          <w:bCs/>
        </w:rPr>
        <w:t>výzkumně orientovaných</w:t>
      </w:r>
      <w:bookmarkEnd w:id="31"/>
      <w:r w:rsidRPr="00A72C9A">
        <w:rPr>
          <w:bCs/>
        </w:rPr>
        <w:t xml:space="preserve"> pracovišť AV ČR</w:t>
      </w:r>
      <w:r w:rsidR="00EB0349">
        <w:rPr>
          <w:bCs/>
        </w:rPr>
        <w:t xml:space="preserve"> za léta 2015–</w:t>
      </w:r>
      <w:r>
        <w:rPr>
          <w:bCs/>
        </w:rPr>
        <w:t xml:space="preserve">2019, </w:t>
      </w:r>
      <w:r w:rsidRPr="00F24C72">
        <w:rPr>
          <w:bCs/>
        </w:rPr>
        <w:t>kter</w:t>
      </w:r>
      <w:r>
        <w:rPr>
          <w:bCs/>
        </w:rPr>
        <w:t>ou</w:t>
      </w:r>
      <w:r w:rsidRPr="00F24C72">
        <w:rPr>
          <w:bCs/>
        </w:rPr>
        <w:t xml:space="preserve"> schválila Akademická rada AV ČR na 23.</w:t>
      </w:r>
      <w:r w:rsidR="009B66B5">
        <w:rPr>
          <w:bCs/>
        </w:rPr>
        <w:t xml:space="preserve"> a </w:t>
      </w:r>
      <w:r w:rsidRPr="00F24C72">
        <w:rPr>
          <w:bCs/>
        </w:rPr>
        <w:t>24. zasedání Akademické rady AV ČR ve dnech 12. února 2019</w:t>
      </w:r>
      <w:r w:rsidR="009B66B5">
        <w:rPr>
          <w:bCs/>
        </w:rPr>
        <w:t xml:space="preserve"> a </w:t>
      </w:r>
      <w:r w:rsidRPr="00F24C72">
        <w:rPr>
          <w:bCs/>
        </w:rPr>
        <w:t>12. března 2019</w:t>
      </w:r>
      <w:r>
        <w:rPr>
          <w:bCs/>
        </w:rPr>
        <w:t>. Hodnocení se zúčastnilo 360 vědeckých týmů</w:t>
      </w:r>
      <w:r w:rsidR="009B66B5">
        <w:rPr>
          <w:bCs/>
        </w:rPr>
        <w:t xml:space="preserve"> z </w:t>
      </w:r>
      <w:r>
        <w:rPr>
          <w:bCs/>
        </w:rPr>
        <w:t xml:space="preserve">52 pracovišť AV ČR.  </w:t>
      </w:r>
    </w:p>
    <w:p w14:paraId="12B978BB" w14:textId="77777777" w:rsidR="002000CC" w:rsidRDefault="002000CC" w:rsidP="002000CC">
      <w:r>
        <w:t xml:space="preserve">Hodnocení </w:t>
      </w:r>
      <w:r>
        <w:rPr>
          <w:bCs/>
        </w:rPr>
        <w:t>v</w:t>
      </w:r>
      <w:r w:rsidRPr="00A72C9A">
        <w:rPr>
          <w:bCs/>
        </w:rPr>
        <w:t>ýzkumně orientovaných</w:t>
      </w:r>
      <w:r>
        <w:t xml:space="preserve"> pracovišť AV ČR bylo realizováno ve dvou fázích, přičemž</w:t>
      </w:r>
      <w:r w:rsidR="009B66B5">
        <w:t xml:space="preserve"> v </w:t>
      </w:r>
      <w:r>
        <w:t>první fázi byly hodnoceny výhradně vybrané výsledky VaV</w:t>
      </w:r>
      <w:r w:rsidR="009531E1">
        <w:t>aI</w:t>
      </w:r>
      <w:r>
        <w:t xml:space="preserve"> (paralela</w:t>
      </w:r>
      <w:r w:rsidR="009B66B5">
        <w:t xml:space="preserve"> s </w:t>
      </w:r>
      <w:r>
        <w:t>hodnocením podle M1 Metodiky 17+), ve druhé fázi pak byly hodnoceny také další aspekty fungování pracovišť AV ČR</w:t>
      </w:r>
      <w:r w:rsidR="009B66B5">
        <w:t xml:space="preserve"> a </w:t>
      </w:r>
      <w:r>
        <w:t>jednotlivých vědeckých týmů.</w:t>
      </w:r>
    </w:p>
    <w:p w14:paraId="70595D78" w14:textId="77777777" w:rsidR="002000CC" w:rsidRDefault="002000CC" w:rsidP="002000CC">
      <w:r>
        <w:t>Mezi hlavní kritéria ho</w:t>
      </w:r>
      <w:r w:rsidR="00EB0349">
        <w:t>dnocení ve druhé fázi patřila „k</w:t>
      </w:r>
      <w:r>
        <w:t>valita v</w:t>
      </w:r>
      <w:r w:rsidR="00EB0349">
        <w:t>ýsledků“</w:t>
      </w:r>
      <w:r w:rsidR="009B66B5">
        <w:t xml:space="preserve"> a </w:t>
      </w:r>
      <w:r w:rsidR="00EB0349">
        <w:t>„s</w:t>
      </w:r>
      <w:r>
        <w:t>polečenská relevance“ výsledků</w:t>
      </w:r>
      <w:r w:rsidR="009B66B5">
        <w:t xml:space="preserve"> a </w:t>
      </w:r>
      <w:r>
        <w:t>aktivit hodnocených jednotek. Rozsah</w:t>
      </w:r>
      <w:r w:rsidR="009B66B5">
        <w:t xml:space="preserve"> a </w:t>
      </w:r>
      <w:r>
        <w:t>kvalita mezinárodní spolupráce nebyla</w:t>
      </w:r>
      <w:r w:rsidR="009B66B5">
        <w:t xml:space="preserve"> v </w:t>
      </w:r>
      <w:r>
        <w:t>těchto kritériích bezprostředně předmětem hodnocení (byť zapojení do mezinárodní spolupráce má na kvalitu</w:t>
      </w:r>
      <w:r w:rsidR="009B66B5">
        <w:t xml:space="preserve"> a </w:t>
      </w:r>
      <w:r>
        <w:t xml:space="preserve">společenskou relevanci výsledků bezesporu vliv). </w:t>
      </w:r>
    </w:p>
    <w:p w14:paraId="2F63C5FF" w14:textId="77777777" w:rsidR="002000CC" w:rsidRDefault="002000CC" w:rsidP="002000CC">
      <w:r>
        <w:t>Dalš</w:t>
      </w:r>
      <w:r w:rsidR="00EB0349">
        <w:t>ími hodnocenými kritérii bylo „p</w:t>
      </w:r>
      <w:r>
        <w:t>ostavení</w:t>
      </w:r>
      <w:r w:rsidR="009B66B5">
        <w:t xml:space="preserve"> v </w:t>
      </w:r>
      <w:r>
        <w:t>mezin</w:t>
      </w:r>
      <w:r w:rsidR="00EB0349">
        <w:t>árodním</w:t>
      </w:r>
      <w:r w:rsidR="009B66B5">
        <w:t xml:space="preserve"> a </w:t>
      </w:r>
      <w:r w:rsidR="00EB0349">
        <w:t>národním kontextu“, „v</w:t>
      </w:r>
      <w:r>
        <w:t>italit</w:t>
      </w:r>
      <w:r w:rsidR="00EB0349">
        <w:t>a, udržitelnost</w:t>
      </w:r>
      <w:r w:rsidR="009B66B5">
        <w:t xml:space="preserve"> a </w:t>
      </w:r>
      <w:r w:rsidR="00EB0349">
        <w:t>strategie“, „s</w:t>
      </w:r>
      <w:r>
        <w:t>polupráce</w:t>
      </w:r>
      <w:r w:rsidR="009B66B5">
        <w:t xml:space="preserve"> s </w:t>
      </w:r>
      <w:r>
        <w:t>univerzi</w:t>
      </w:r>
      <w:r w:rsidR="00EB0349">
        <w:t>tami</w:t>
      </w:r>
      <w:r w:rsidR="009B66B5">
        <w:t xml:space="preserve"> a </w:t>
      </w:r>
      <w:r w:rsidR="00EB0349">
        <w:t>podíl na vzdělávání“</w:t>
      </w:r>
      <w:r w:rsidR="009B66B5">
        <w:t xml:space="preserve"> a </w:t>
      </w:r>
      <w:r w:rsidR="00EB0349">
        <w:t>„š</w:t>
      </w:r>
      <w:r>
        <w:t xml:space="preserve">íření znalostí“. V rámci těchto </w:t>
      </w:r>
      <w:r w:rsidR="00451842">
        <w:t xml:space="preserve">tzv. </w:t>
      </w:r>
      <w:r>
        <w:t xml:space="preserve">dalších hodnoticích kritérií byla </w:t>
      </w:r>
      <w:r w:rsidR="00F40E3C">
        <w:t xml:space="preserve">věnován </w:t>
      </w:r>
      <w:r>
        <w:t>pozornost rozsahu</w:t>
      </w:r>
      <w:r w:rsidR="009B66B5">
        <w:t xml:space="preserve"> a </w:t>
      </w:r>
      <w:r>
        <w:t>kvalitě mezinárodní spolupráce především</w:t>
      </w:r>
      <w:r w:rsidR="009B66B5">
        <w:t xml:space="preserve"> v </w:t>
      </w:r>
      <w:r>
        <w:t>následujících hodnocených okruzích (6</w:t>
      </w:r>
      <w:r w:rsidR="009B66B5">
        <w:t xml:space="preserve"> z </w:t>
      </w:r>
      <w:r>
        <w:t>21 okruhů dalších hodnoticích kritérií):</w:t>
      </w:r>
    </w:p>
    <w:p w14:paraId="21AF95CA" w14:textId="77777777" w:rsidR="002000CC" w:rsidRDefault="00EB0349" w:rsidP="002000CC">
      <w:r>
        <w:rPr>
          <w:i/>
          <w:iCs/>
        </w:rPr>
        <w:t xml:space="preserve">D1.2 </w:t>
      </w:r>
      <w:r>
        <w:t>–</w:t>
      </w:r>
      <w:r w:rsidR="002000CC" w:rsidRPr="00AF240C">
        <w:rPr>
          <w:i/>
          <w:iCs/>
        </w:rPr>
        <w:t xml:space="preserve"> Rozsah</w:t>
      </w:r>
      <w:r w:rsidR="009B66B5">
        <w:rPr>
          <w:i/>
          <w:iCs/>
        </w:rPr>
        <w:t xml:space="preserve"> a </w:t>
      </w:r>
      <w:r w:rsidR="002000CC" w:rsidRPr="00AF240C">
        <w:rPr>
          <w:i/>
          <w:iCs/>
        </w:rPr>
        <w:t>kvalita mezinárodní</w:t>
      </w:r>
      <w:r w:rsidR="009B66B5">
        <w:rPr>
          <w:i/>
          <w:iCs/>
        </w:rPr>
        <w:t xml:space="preserve"> a </w:t>
      </w:r>
      <w:r w:rsidR="002000CC" w:rsidRPr="00AF240C">
        <w:rPr>
          <w:i/>
          <w:iCs/>
        </w:rPr>
        <w:t>národní spolupráce</w:t>
      </w:r>
      <w:r w:rsidR="009B66B5">
        <w:t xml:space="preserve"> a </w:t>
      </w:r>
      <w:r w:rsidR="002000CC" w:rsidRPr="00B016F2">
        <w:t>roli pracoviště</w:t>
      </w:r>
      <w:r w:rsidR="009B66B5">
        <w:t xml:space="preserve"> v </w:t>
      </w:r>
      <w:r w:rsidR="002000CC" w:rsidRPr="00B016F2">
        <w:t>této spolupráci, možné zapojení do široké mezinárodní spolupráce</w:t>
      </w:r>
      <w:r>
        <w:t>,</w:t>
      </w:r>
    </w:p>
    <w:p w14:paraId="68122B2A" w14:textId="77777777" w:rsidR="002000CC" w:rsidRDefault="00EB0349" w:rsidP="002000CC">
      <w:r>
        <w:rPr>
          <w:i/>
          <w:iCs/>
        </w:rPr>
        <w:t xml:space="preserve">D1.3 </w:t>
      </w:r>
      <w:r>
        <w:t>–</w:t>
      </w:r>
      <w:r w:rsidR="002000CC" w:rsidRPr="00AF240C">
        <w:rPr>
          <w:i/>
          <w:iCs/>
        </w:rPr>
        <w:t xml:space="preserve"> Účast pracovníků na aktivitách vědecké komunity</w:t>
      </w:r>
      <w:r w:rsidR="002000CC" w:rsidRPr="00B016F2">
        <w:t xml:space="preserve"> (organizování konferencí</w:t>
      </w:r>
      <w:r w:rsidR="009B66B5">
        <w:t xml:space="preserve"> a </w:t>
      </w:r>
      <w:r w:rsidR="002000CC" w:rsidRPr="00B016F2">
        <w:t>workshopů, zvané přednášky, ocenění)</w:t>
      </w:r>
      <w:r>
        <w:t>,</w:t>
      </w:r>
    </w:p>
    <w:p w14:paraId="1C0EE0B9" w14:textId="77777777" w:rsidR="002000CC" w:rsidRPr="00AF240C" w:rsidRDefault="00EB0349" w:rsidP="002000CC">
      <w:pPr>
        <w:rPr>
          <w:i/>
          <w:iCs/>
        </w:rPr>
      </w:pPr>
      <w:r>
        <w:rPr>
          <w:i/>
          <w:iCs/>
        </w:rPr>
        <w:t xml:space="preserve">D2.4 </w:t>
      </w:r>
      <w:r>
        <w:t>–</w:t>
      </w:r>
      <w:r>
        <w:rPr>
          <w:i/>
          <w:iCs/>
        </w:rPr>
        <w:t xml:space="preserve"> Úspěšnost</w:t>
      </w:r>
      <w:r w:rsidR="009B66B5">
        <w:rPr>
          <w:i/>
          <w:iCs/>
        </w:rPr>
        <w:t xml:space="preserve"> v </w:t>
      </w:r>
      <w:r w:rsidR="002000CC" w:rsidRPr="00AF240C">
        <w:rPr>
          <w:i/>
          <w:iCs/>
        </w:rPr>
        <w:t>získávání grantů</w:t>
      </w:r>
      <w:r>
        <w:rPr>
          <w:i/>
          <w:iCs/>
        </w:rPr>
        <w:t>,</w:t>
      </w:r>
    </w:p>
    <w:p w14:paraId="01CFD35B" w14:textId="77777777" w:rsidR="002000CC" w:rsidRDefault="00EB0349" w:rsidP="002000CC">
      <w:r>
        <w:rPr>
          <w:i/>
          <w:iCs/>
        </w:rPr>
        <w:t xml:space="preserve">D2.7 </w:t>
      </w:r>
      <w:r>
        <w:t>–</w:t>
      </w:r>
      <w:r w:rsidR="002000CC" w:rsidRPr="00AF240C">
        <w:rPr>
          <w:i/>
          <w:iCs/>
        </w:rPr>
        <w:t xml:space="preserve"> Zhodnocení strategie rozvoje odborné struktury</w:t>
      </w:r>
      <w:r w:rsidR="009B66B5">
        <w:rPr>
          <w:i/>
          <w:iCs/>
        </w:rPr>
        <w:t xml:space="preserve"> a </w:t>
      </w:r>
      <w:r w:rsidR="002000CC" w:rsidRPr="00264E9D">
        <w:t>strategie udržení nejlepších vědců, věkovou strukturu, kariérní</w:t>
      </w:r>
      <w:r w:rsidR="009B66B5">
        <w:t xml:space="preserve"> a </w:t>
      </w:r>
      <w:r w:rsidR="002000CC" w:rsidRPr="00264E9D">
        <w:t>kvalifikační růst (počet zahraničních pracovníků, strategii jejich získávání, počet dosažených titulů DSc., podpora vědců</w:t>
      </w:r>
      <w:r w:rsidR="009B66B5">
        <w:t xml:space="preserve"> v </w:t>
      </w:r>
      <w:r w:rsidR="002000CC" w:rsidRPr="00264E9D">
        <w:t>jejich získávání</w:t>
      </w:r>
      <w:r w:rsidR="009B66B5">
        <w:t xml:space="preserve"> a </w:t>
      </w:r>
      <w:r w:rsidR="002000CC" w:rsidRPr="00264E9D">
        <w:t>poskytování zázemí pro komise posuzující DSc. disertace apod.)</w:t>
      </w:r>
      <w:r>
        <w:t>.</w:t>
      </w:r>
    </w:p>
    <w:p w14:paraId="1CEBFBBD" w14:textId="77777777" w:rsidR="002000CC" w:rsidRPr="00AF240C" w:rsidRDefault="00EB0349" w:rsidP="002000CC">
      <w:pPr>
        <w:rPr>
          <w:i/>
          <w:iCs/>
        </w:rPr>
      </w:pPr>
      <w:r>
        <w:rPr>
          <w:i/>
          <w:iCs/>
        </w:rPr>
        <w:t xml:space="preserve">D3.1 </w:t>
      </w:r>
      <w:r>
        <w:t>–</w:t>
      </w:r>
      <w:r w:rsidR="002000CC" w:rsidRPr="00AF240C">
        <w:rPr>
          <w:i/>
          <w:iCs/>
        </w:rPr>
        <w:t xml:space="preserve"> Rozsah spolupráce</w:t>
      </w:r>
      <w:r w:rsidR="009B66B5">
        <w:rPr>
          <w:i/>
          <w:iCs/>
        </w:rPr>
        <w:t xml:space="preserve"> s </w:t>
      </w:r>
      <w:r w:rsidR="002000CC" w:rsidRPr="00AF240C">
        <w:rPr>
          <w:i/>
          <w:iCs/>
        </w:rPr>
        <w:t>univerzitami na národní</w:t>
      </w:r>
      <w:r w:rsidR="009B66B5">
        <w:rPr>
          <w:i/>
          <w:iCs/>
        </w:rPr>
        <w:t xml:space="preserve"> i </w:t>
      </w:r>
      <w:r w:rsidR="002000CC" w:rsidRPr="00AF240C">
        <w:rPr>
          <w:i/>
          <w:iCs/>
        </w:rPr>
        <w:t>mezinárodní úrovni</w:t>
      </w:r>
    </w:p>
    <w:p w14:paraId="2425458D" w14:textId="77777777" w:rsidR="002000CC" w:rsidRPr="00AF240C" w:rsidRDefault="00EB0349" w:rsidP="002000CC">
      <w:pPr>
        <w:rPr>
          <w:i/>
          <w:iCs/>
        </w:rPr>
      </w:pPr>
      <w:r>
        <w:rPr>
          <w:i/>
          <w:iCs/>
        </w:rPr>
        <w:t xml:space="preserve">D4.3 </w:t>
      </w:r>
      <w:r>
        <w:t>–</w:t>
      </w:r>
      <w:r w:rsidR="002000CC" w:rsidRPr="00AF240C">
        <w:rPr>
          <w:i/>
          <w:iCs/>
        </w:rPr>
        <w:t xml:space="preserve"> Zapojení do odborných grémií</w:t>
      </w:r>
      <w:r w:rsidR="009B66B5">
        <w:rPr>
          <w:i/>
          <w:iCs/>
        </w:rPr>
        <w:t xml:space="preserve"> v </w:t>
      </w:r>
      <w:r w:rsidR="002000CC" w:rsidRPr="00AF240C">
        <w:rPr>
          <w:i/>
          <w:iCs/>
        </w:rPr>
        <w:t>oblasti výzkumu</w:t>
      </w:r>
      <w:r w:rsidR="009B66B5">
        <w:rPr>
          <w:i/>
          <w:iCs/>
        </w:rPr>
        <w:t xml:space="preserve"> a </w:t>
      </w:r>
      <w:r w:rsidR="002000CC" w:rsidRPr="00AF240C">
        <w:rPr>
          <w:i/>
          <w:iCs/>
        </w:rPr>
        <w:t>vývoje</w:t>
      </w:r>
      <w:r>
        <w:rPr>
          <w:i/>
          <w:iCs/>
        </w:rPr>
        <w:t>.</w:t>
      </w:r>
      <w:r w:rsidR="002000CC" w:rsidRPr="00AF240C">
        <w:rPr>
          <w:i/>
          <w:iCs/>
        </w:rPr>
        <w:t xml:space="preserve"> </w:t>
      </w:r>
    </w:p>
    <w:p w14:paraId="44E9EC11" w14:textId="77777777" w:rsidR="002000CC" w:rsidRDefault="002000CC" w:rsidP="002000CC">
      <w:r>
        <w:t>Výsledkem hodnocení je souhrnná zpráva mezinárodního hodnoticího panelu obsahující SWOT analýzu pro jednotlivá pracoviště</w:t>
      </w:r>
      <w:r w:rsidR="009B66B5">
        <w:t xml:space="preserve"> a </w:t>
      </w:r>
      <w:r>
        <w:t>vědecké týmy</w:t>
      </w:r>
      <w:r w:rsidR="009B66B5">
        <w:t xml:space="preserve"> a </w:t>
      </w:r>
      <w:r>
        <w:t>komentář</w:t>
      </w:r>
      <w:r w:rsidR="009B66B5">
        <w:t xml:space="preserve"> k </w:t>
      </w:r>
      <w:r>
        <w:t>jednotlivým hodnoceným kritériím. Na rozdíl od hodnocení vysokých škol nejsou</w:t>
      </w:r>
      <w:r w:rsidR="009B66B5">
        <w:t xml:space="preserve"> v </w:t>
      </w:r>
      <w:r>
        <w:t>případě pracovišť AV ČR</w:t>
      </w:r>
      <w:r w:rsidR="009B66B5">
        <w:t xml:space="preserve"> a </w:t>
      </w:r>
      <w:r>
        <w:t>jednotlivých vědeckých týmů výsledky agregovány do souhrnné známky.</w:t>
      </w:r>
    </w:p>
    <w:p w14:paraId="5D122AB4" w14:textId="77777777" w:rsidR="00FF30C1" w:rsidRDefault="3FD52E74" w:rsidP="005515AB">
      <w:pPr>
        <w:pStyle w:val="Nadpis2"/>
      </w:pPr>
      <w:bookmarkStart w:id="32" w:name="_Ref110108414"/>
      <w:bookmarkStart w:id="33" w:name="_Toc110258709"/>
      <w:bookmarkStart w:id="34" w:name="_Ref112423762"/>
      <w:bookmarkStart w:id="35" w:name="_Toc114572324"/>
      <w:r>
        <w:lastRenderedPageBreak/>
        <w:t>Podmínky pro internacionalizaci ve výzkumných organizacích</w:t>
      </w:r>
      <w:r w:rsidR="009B66B5">
        <w:t xml:space="preserve"> a </w:t>
      </w:r>
      <w:bookmarkEnd w:id="32"/>
      <w:r>
        <w:t>motivace pro zapojení do mezinárodních výzkumných aktivit</w:t>
      </w:r>
      <w:bookmarkEnd w:id="33"/>
      <w:bookmarkEnd w:id="34"/>
      <w:bookmarkEnd w:id="35"/>
    </w:p>
    <w:p w14:paraId="1CFD3620" w14:textId="77777777" w:rsidR="00BA2B99" w:rsidRDefault="00FF30C1" w:rsidP="00FF30C1">
      <w:r>
        <w:t xml:space="preserve">Pro posouzení podmínek pro internacionalizaci </w:t>
      </w:r>
      <w:r w:rsidR="00E64294">
        <w:t xml:space="preserve">ve </w:t>
      </w:r>
      <w:r w:rsidR="00F300E8">
        <w:t xml:space="preserve">výzkumných organizacích </w:t>
      </w:r>
      <w:r>
        <w:t xml:space="preserve">bylo realizováno dotazníkové šetření mezi veřejnými </w:t>
      </w:r>
      <w:r w:rsidR="00F300E8">
        <w:t>vysokými školami</w:t>
      </w:r>
      <w:r w:rsidR="009B66B5">
        <w:t xml:space="preserve"> a </w:t>
      </w:r>
      <w:r>
        <w:t xml:space="preserve">ústavy AV ČR. </w:t>
      </w:r>
      <w:r>
        <w:rPr>
          <w:lang w:eastAsia="cs-CZ"/>
        </w:rPr>
        <w:t xml:space="preserve">Hlavním cílem šetření bylo zjistit, </w:t>
      </w:r>
      <w:r w:rsidR="00A37472">
        <w:rPr>
          <w:lang w:eastAsia="cs-CZ"/>
        </w:rPr>
        <w:t>jak</w:t>
      </w:r>
      <w:r>
        <w:rPr>
          <w:lang w:eastAsia="cs-CZ"/>
        </w:rPr>
        <w:t xml:space="preserve"> je oblast mezinárodní spolupráce </w:t>
      </w:r>
      <w:r w:rsidR="00F300E8">
        <w:rPr>
          <w:lang w:eastAsia="cs-CZ"/>
        </w:rPr>
        <w:t xml:space="preserve">ve VaVaI </w:t>
      </w:r>
      <w:r>
        <w:rPr>
          <w:lang w:eastAsia="cs-CZ"/>
        </w:rPr>
        <w:t>zapracována do strategicko-koncepčních dokumentů těchto institucí</w:t>
      </w:r>
      <w:r w:rsidR="009B66B5">
        <w:rPr>
          <w:lang w:eastAsia="cs-CZ"/>
        </w:rPr>
        <w:t xml:space="preserve"> a </w:t>
      </w:r>
      <w:r>
        <w:rPr>
          <w:lang w:eastAsia="cs-CZ"/>
        </w:rPr>
        <w:t>zda jsou na těchto institucích vytvořeny interní motivační systémy pro zvýšení účasti</w:t>
      </w:r>
      <w:r w:rsidR="009B66B5">
        <w:rPr>
          <w:lang w:eastAsia="cs-CZ"/>
        </w:rPr>
        <w:t xml:space="preserve"> v </w:t>
      </w:r>
      <w:r>
        <w:rPr>
          <w:lang w:eastAsia="cs-CZ"/>
        </w:rPr>
        <w:t>mezinárodní spolupráci. V</w:t>
      </w:r>
      <w:r w:rsidR="00A37472">
        <w:rPr>
          <w:lang w:eastAsia="cs-CZ"/>
        </w:rPr>
        <w:t> </w:t>
      </w:r>
      <w:r>
        <w:rPr>
          <w:lang w:eastAsia="cs-CZ"/>
        </w:rPr>
        <w:t>další části dotazníku bylo zjišťováno, jak jsou aktivity související</w:t>
      </w:r>
      <w:r w:rsidR="009B66B5">
        <w:rPr>
          <w:lang w:eastAsia="cs-CZ"/>
        </w:rPr>
        <w:t xml:space="preserve"> s </w:t>
      </w:r>
      <w:r w:rsidRPr="00A17C90">
        <w:rPr>
          <w:lang w:eastAsia="cs-CZ"/>
        </w:rPr>
        <w:t>přípravou</w:t>
      </w:r>
      <w:r w:rsidR="009B66B5">
        <w:rPr>
          <w:lang w:eastAsia="cs-CZ"/>
        </w:rPr>
        <w:t xml:space="preserve"> a </w:t>
      </w:r>
      <w:r w:rsidRPr="00A17C90">
        <w:rPr>
          <w:lang w:eastAsia="cs-CZ"/>
        </w:rPr>
        <w:t xml:space="preserve">realizací projektů </w:t>
      </w:r>
      <w:r w:rsidR="00F300E8">
        <w:rPr>
          <w:lang w:eastAsia="cs-CZ"/>
        </w:rPr>
        <w:t>RP</w:t>
      </w:r>
      <w:r>
        <w:rPr>
          <w:lang w:eastAsia="cs-CZ"/>
        </w:rPr>
        <w:t xml:space="preserve"> </w:t>
      </w:r>
      <w:r w:rsidR="00F300E8">
        <w:rPr>
          <w:lang w:eastAsia="cs-CZ"/>
        </w:rPr>
        <w:t>na vysokých školách</w:t>
      </w:r>
      <w:r w:rsidR="009B66B5">
        <w:rPr>
          <w:lang w:eastAsia="cs-CZ"/>
        </w:rPr>
        <w:t xml:space="preserve"> a v </w:t>
      </w:r>
      <w:r>
        <w:rPr>
          <w:lang w:eastAsia="cs-CZ"/>
        </w:rPr>
        <w:t xml:space="preserve">ústavech AV </w:t>
      </w:r>
      <w:r w:rsidR="00A37472">
        <w:rPr>
          <w:lang w:eastAsia="cs-CZ"/>
        </w:rPr>
        <w:t xml:space="preserve">ČR administrativně </w:t>
      </w:r>
      <w:r>
        <w:rPr>
          <w:lang w:eastAsia="cs-CZ"/>
        </w:rPr>
        <w:t xml:space="preserve">zajištěny, jaké jsou motivy těchto pracovišť se zapojovat do </w:t>
      </w:r>
      <w:r w:rsidR="00F300E8">
        <w:rPr>
          <w:lang w:eastAsia="cs-CZ"/>
        </w:rPr>
        <w:t>RP</w:t>
      </w:r>
      <w:r w:rsidR="00EB0349">
        <w:rPr>
          <w:lang w:eastAsia="cs-CZ"/>
        </w:rPr>
        <w:t>,</w:t>
      </w:r>
      <w:r>
        <w:rPr>
          <w:lang w:eastAsia="cs-CZ"/>
        </w:rPr>
        <w:t xml:space="preserve"> zda existují bariéry, které instituce</w:t>
      </w:r>
      <w:r w:rsidR="009B66B5">
        <w:rPr>
          <w:lang w:eastAsia="cs-CZ"/>
        </w:rPr>
        <w:t xml:space="preserve"> a </w:t>
      </w:r>
      <w:r>
        <w:rPr>
          <w:lang w:eastAsia="cs-CZ"/>
        </w:rPr>
        <w:t>jejich pracovníky odrazují od podá</w:t>
      </w:r>
      <w:r w:rsidR="00A37472">
        <w:rPr>
          <w:lang w:eastAsia="cs-CZ"/>
        </w:rPr>
        <w:t>vá</w:t>
      </w:r>
      <w:r>
        <w:rPr>
          <w:lang w:eastAsia="cs-CZ"/>
        </w:rPr>
        <w:t>ní</w:t>
      </w:r>
      <w:r w:rsidR="005641BB">
        <w:rPr>
          <w:lang w:eastAsia="cs-CZ"/>
        </w:rPr>
        <w:t xml:space="preserve"> návrhů</w:t>
      </w:r>
      <w:r>
        <w:rPr>
          <w:lang w:eastAsia="cs-CZ"/>
        </w:rPr>
        <w:t xml:space="preserve"> projektů do </w:t>
      </w:r>
      <w:r w:rsidR="00F300E8">
        <w:rPr>
          <w:lang w:eastAsia="cs-CZ"/>
        </w:rPr>
        <w:t>RP</w:t>
      </w:r>
      <w:r w:rsidR="009B66B5">
        <w:rPr>
          <w:lang w:eastAsia="cs-CZ"/>
        </w:rPr>
        <w:t xml:space="preserve"> a </w:t>
      </w:r>
      <w:r>
        <w:rPr>
          <w:lang w:eastAsia="cs-CZ"/>
        </w:rPr>
        <w:t>zapojení se do mezinárodní spolupráce</w:t>
      </w:r>
      <w:r w:rsidR="00F300E8">
        <w:rPr>
          <w:lang w:eastAsia="cs-CZ"/>
        </w:rPr>
        <w:t xml:space="preserve"> ve VaVaI obecně</w:t>
      </w:r>
      <w:r>
        <w:rPr>
          <w:lang w:eastAsia="cs-CZ"/>
        </w:rPr>
        <w:t>.</w:t>
      </w:r>
      <w:r w:rsidR="00BA2B99">
        <w:rPr>
          <w:lang w:eastAsia="cs-CZ"/>
        </w:rPr>
        <w:t xml:space="preserve"> </w:t>
      </w:r>
    </w:p>
    <w:p w14:paraId="39123155" w14:textId="77777777" w:rsidR="00BA2B99" w:rsidRDefault="00FF30C1" w:rsidP="00BA2B99">
      <w:pPr>
        <w:rPr>
          <w:lang w:eastAsia="cs-CZ"/>
        </w:rPr>
      </w:pPr>
      <w:r>
        <w:rPr>
          <w:lang w:eastAsia="cs-CZ"/>
        </w:rPr>
        <w:t>Dotazníky byly rozeslány proděkanům pro vědu</w:t>
      </w:r>
      <w:r w:rsidR="009B66B5">
        <w:rPr>
          <w:lang w:eastAsia="cs-CZ"/>
        </w:rPr>
        <w:t xml:space="preserve"> a </w:t>
      </w:r>
      <w:r>
        <w:rPr>
          <w:lang w:eastAsia="cs-CZ"/>
        </w:rPr>
        <w:t xml:space="preserve">výzkum </w:t>
      </w:r>
      <w:r w:rsidR="00F300E8">
        <w:rPr>
          <w:lang w:eastAsia="cs-CZ"/>
        </w:rPr>
        <w:t xml:space="preserve">fakult </w:t>
      </w:r>
      <w:r>
        <w:rPr>
          <w:lang w:eastAsia="cs-CZ"/>
        </w:rPr>
        <w:t xml:space="preserve">všech veřejných </w:t>
      </w:r>
      <w:r w:rsidR="00F300E8">
        <w:rPr>
          <w:lang w:eastAsia="cs-CZ"/>
        </w:rPr>
        <w:t>vysokých škol</w:t>
      </w:r>
      <w:r w:rsidR="009B66B5">
        <w:rPr>
          <w:lang w:eastAsia="cs-CZ"/>
        </w:rPr>
        <w:t xml:space="preserve"> a </w:t>
      </w:r>
      <w:r>
        <w:rPr>
          <w:lang w:eastAsia="cs-CZ"/>
        </w:rPr>
        <w:t>ředitelům všech ústavů AV ČR. Dotazníkové šetření bylo</w:t>
      </w:r>
      <w:r w:rsidR="009B66B5">
        <w:rPr>
          <w:lang w:eastAsia="cs-CZ"/>
        </w:rPr>
        <w:t xml:space="preserve"> v </w:t>
      </w:r>
      <w:r>
        <w:rPr>
          <w:lang w:eastAsia="cs-CZ"/>
        </w:rPr>
        <w:t xml:space="preserve">případě </w:t>
      </w:r>
      <w:r w:rsidR="00F300E8">
        <w:rPr>
          <w:lang w:eastAsia="cs-CZ"/>
        </w:rPr>
        <w:t xml:space="preserve">vysokých škol </w:t>
      </w:r>
      <w:r>
        <w:rPr>
          <w:lang w:eastAsia="cs-CZ"/>
        </w:rPr>
        <w:t>zahájeno</w:t>
      </w:r>
      <w:r w:rsidR="009B66B5">
        <w:rPr>
          <w:lang w:eastAsia="cs-CZ"/>
        </w:rPr>
        <w:t xml:space="preserve"> v </w:t>
      </w:r>
      <w:r>
        <w:rPr>
          <w:lang w:eastAsia="cs-CZ"/>
        </w:rPr>
        <w:t>polovině června 2022,</w:t>
      </w:r>
      <w:r w:rsidR="009B66B5">
        <w:rPr>
          <w:lang w:eastAsia="cs-CZ"/>
        </w:rPr>
        <w:t xml:space="preserve"> v </w:t>
      </w:r>
      <w:r>
        <w:rPr>
          <w:lang w:eastAsia="cs-CZ"/>
        </w:rPr>
        <w:t>případě ústavů AV ČR počátkem července 2022. Výsledky uvedené</w:t>
      </w:r>
      <w:r w:rsidR="009B66B5">
        <w:rPr>
          <w:lang w:eastAsia="cs-CZ"/>
        </w:rPr>
        <w:t xml:space="preserve"> v </w:t>
      </w:r>
      <w:r>
        <w:rPr>
          <w:lang w:eastAsia="cs-CZ"/>
        </w:rPr>
        <w:t>této zprávě vycházejí</w:t>
      </w:r>
      <w:r w:rsidR="009B66B5">
        <w:rPr>
          <w:lang w:eastAsia="cs-CZ"/>
        </w:rPr>
        <w:t xml:space="preserve"> z </w:t>
      </w:r>
      <w:r>
        <w:rPr>
          <w:lang w:eastAsia="cs-CZ"/>
        </w:rPr>
        <w:t>celkem 48 odpovědí získaných od 33 fakult vysokých škol</w:t>
      </w:r>
      <w:r>
        <w:rPr>
          <w:rStyle w:val="Znakapoznpodarou"/>
          <w:lang w:eastAsia="cs-CZ"/>
        </w:rPr>
        <w:footnoteReference w:id="28"/>
      </w:r>
      <w:r w:rsidR="009B66B5">
        <w:rPr>
          <w:lang w:eastAsia="cs-CZ"/>
        </w:rPr>
        <w:t xml:space="preserve"> a </w:t>
      </w:r>
      <w:r>
        <w:rPr>
          <w:lang w:eastAsia="cs-CZ"/>
        </w:rPr>
        <w:t xml:space="preserve">15 ústavů AV ČR do konce července 2022 (tj. od více než čtvrtiny všech dotazovaných institucí). </w:t>
      </w:r>
      <w:r w:rsidR="00BA2B99">
        <w:t>Struktura dotazníku, zjišťované informace</w:t>
      </w:r>
      <w:r w:rsidR="009B66B5">
        <w:t xml:space="preserve"> a </w:t>
      </w:r>
      <w:r w:rsidR="00BA2B99">
        <w:t>vyhodnocení dotazníku</w:t>
      </w:r>
      <w:r w:rsidR="009B66B5">
        <w:t xml:space="preserve"> v </w:t>
      </w:r>
      <w:r w:rsidR="00BA2B99">
        <w:t>grafické podobě jsou uvedeny</w:t>
      </w:r>
      <w:r w:rsidR="009B66B5">
        <w:t xml:space="preserve"> v </w:t>
      </w:r>
      <w:r w:rsidR="00BA2B99">
        <w:t>přílohové části této zprávy</w:t>
      </w:r>
      <w:r w:rsidR="009B66B5">
        <w:t xml:space="preserve"> v </w:t>
      </w:r>
      <w:r w:rsidR="00BA2B99">
        <w:t>kap.</w:t>
      </w:r>
      <w:r w:rsidR="00CE603D">
        <w:t xml:space="preserve"> </w:t>
      </w:r>
      <w:r w:rsidR="00CE603D">
        <w:fldChar w:fldCharType="begin"/>
      </w:r>
      <w:r w:rsidR="00CE603D">
        <w:instrText xml:space="preserve"> REF _Ref112426264 \r \h </w:instrText>
      </w:r>
      <w:r w:rsidR="00CE603D">
        <w:fldChar w:fldCharType="separate"/>
      </w:r>
      <w:r w:rsidR="00833870">
        <w:t>10.1</w:t>
      </w:r>
      <w:r w:rsidR="00CE603D">
        <w:fldChar w:fldCharType="end"/>
      </w:r>
      <w:r w:rsidR="00BA2B99">
        <w:t>.</w:t>
      </w:r>
    </w:p>
    <w:p w14:paraId="0B3346C5" w14:textId="77777777" w:rsidR="00CE603D" w:rsidRDefault="00FF30C1" w:rsidP="00CE603D">
      <w:r>
        <w:t xml:space="preserve">Z dotazníkového šetření vyplynulo, že ve většině institucí je </w:t>
      </w:r>
      <w:r w:rsidR="00AA39F5">
        <w:t xml:space="preserve">již </w:t>
      </w:r>
      <w:r>
        <w:t>vytvořen interní systém, který výzkumné pracovníky motivuje</w:t>
      </w:r>
      <w:r w:rsidR="009B66B5">
        <w:t xml:space="preserve"> v </w:t>
      </w:r>
      <w:r>
        <w:t>zapojení do mezinárodní spolupráce ve VaV</w:t>
      </w:r>
      <w:r w:rsidR="00F300E8">
        <w:t>aI</w:t>
      </w:r>
      <w:r>
        <w:t xml:space="preserve"> (v téměř 60 % institucí, od nichž byly získány odpovědi, viz </w:t>
      </w:r>
      <w:r>
        <w:fldChar w:fldCharType="begin"/>
      </w:r>
      <w:r>
        <w:instrText xml:space="preserve"> REF  _Ref110112236 \* Lower \h  \* MERGEFORMAT </w:instrText>
      </w:r>
      <w:r>
        <w:fldChar w:fldCharType="separate"/>
      </w:r>
      <w:r w:rsidR="00833870">
        <w:t xml:space="preserve">obr. </w:t>
      </w:r>
      <w:r w:rsidR="00833870">
        <w:rPr>
          <w:noProof/>
        </w:rPr>
        <w:t>1</w:t>
      </w:r>
      <w:r>
        <w:fldChar w:fldCharType="end"/>
      </w:r>
      <w:r w:rsidR="009B66B5">
        <w:t xml:space="preserve"> v </w:t>
      </w:r>
      <w:r w:rsidR="00AA39F5">
        <w:t>příloze</w:t>
      </w:r>
      <w:r>
        <w:t>). Nejčastěji je pracovníkům, kteří získali mezinárodní projekt, poskytnuta finanční odměna (prémie), přičemž</w:t>
      </w:r>
      <w:r w:rsidR="009B66B5">
        <w:t xml:space="preserve"> v </w:t>
      </w:r>
      <w:r>
        <w:t>některých případech bývá poskytnuta finanční</w:t>
      </w:r>
      <w:r w:rsidR="00156614">
        <w:t xml:space="preserve"> částka</w:t>
      </w:r>
      <w:r w:rsidR="009B66B5">
        <w:t xml:space="preserve"> i </w:t>
      </w:r>
      <w:r w:rsidR="00156614">
        <w:t xml:space="preserve">za podání </w:t>
      </w:r>
      <w:r w:rsidR="00F300E8">
        <w:t xml:space="preserve">návrhu </w:t>
      </w:r>
      <w:r w:rsidR="00156614">
        <w:t>projektu. V</w:t>
      </w:r>
      <w:r>
        <w:t xml:space="preserve"> některých institucích je podání </w:t>
      </w:r>
      <w:r w:rsidR="00F300E8">
        <w:t xml:space="preserve">návrhu </w:t>
      </w:r>
      <w:r>
        <w:t>mezinárodního projektu zohledněno</w:t>
      </w:r>
      <w:r w:rsidR="009B66B5">
        <w:t xml:space="preserve"> v </w:t>
      </w:r>
      <w:r>
        <w:t>hodnocení výzkumných pracovníků. V některých případech je kombinováno více motivačních mechanismů</w:t>
      </w:r>
      <w:r w:rsidR="00417267">
        <w:t>.</w:t>
      </w:r>
      <w:r w:rsidR="00AA39F5">
        <w:t xml:space="preserve"> </w:t>
      </w:r>
      <w:r w:rsidR="00CE603D">
        <w:t>Zároveň vyplývá, že tyto systémy výzkumné pracovníky</w:t>
      </w:r>
      <w:r w:rsidR="009B66B5">
        <w:t xml:space="preserve"> k </w:t>
      </w:r>
      <w:r w:rsidR="00CE603D">
        <w:t>podání mezinárodních VaV</w:t>
      </w:r>
      <w:r w:rsidR="00F300E8">
        <w:t>aI</w:t>
      </w:r>
      <w:r w:rsidR="00CE603D">
        <w:t xml:space="preserve"> projektů motivují</w:t>
      </w:r>
      <w:r w:rsidR="00AA39F5">
        <w:t>.</w:t>
      </w:r>
    </w:p>
    <w:p w14:paraId="492EB3DB" w14:textId="77777777" w:rsidR="00941945" w:rsidRDefault="005641BB" w:rsidP="00CE603D">
      <w:r>
        <w:t>Na druhou stranu</w:t>
      </w:r>
      <w:r w:rsidR="00E64294">
        <w:t xml:space="preserve"> se ukázalo, že p</w:t>
      </w:r>
      <w:r w:rsidR="00CE603D">
        <w:t>ouze necel</w:t>
      </w:r>
      <w:r w:rsidR="00941945">
        <w:t>á</w:t>
      </w:r>
      <w:r w:rsidR="00CE603D">
        <w:t xml:space="preserve"> </w:t>
      </w:r>
      <w:r w:rsidR="00941945">
        <w:t>třetina</w:t>
      </w:r>
      <w:r w:rsidR="00CE603D">
        <w:t xml:space="preserve"> dotazovaných institucí </w:t>
      </w:r>
      <w:r w:rsidR="00941945">
        <w:t>má o</w:t>
      </w:r>
      <w:r w:rsidR="00CE603D">
        <w:t>blast mezinárodní spolupráce zařazen</w:t>
      </w:r>
      <w:r w:rsidR="00941945">
        <w:t>ou</w:t>
      </w:r>
      <w:r w:rsidR="00CE603D">
        <w:t xml:space="preserve"> do samostatného strategického dokumentu na celouniverzitní úrovni (často</w:t>
      </w:r>
      <w:r w:rsidR="009B66B5">
        <w:t xml:space="preserve"> s </w:t>
      </w:r>
      <w:r w:rsidR="00CE603D">
        <w:t>navazujícím rozpracováním na fakultní úrovni)</w:t>
      </w:r>
      <w:r>
        <w:t xml:space="preserve"> nebo</w:t>
      </w:r>
      <w:r w:rsidR="00CE603D">
        <w:t xml:space="preserve"> na úrovni pracoviště (v případě ústavů AV ČR). V téměř polovině dotazovaných institucí jsou cíle mezinárodního VaV</w:t>
      </w:r>
      <w:r w:rsidR="00F300E8">
        <w:t>aI</w:t>
      </w:r>
      <w:r w:rsidR="00CE603D">
        <w:t xml:space="preserve"> zapracovány</w:t>
      </w:r>
      <w:r w:rsidR="009B66B5">
        <w:t xml:space="preserve"> v </w:t>
      </w:r>
      <w:r w:rsidR="00CE603D">
        <w:t>jiných strategicko-koncepčních dokumentech (</w:t>
      </w:r>
      <w:r w:rsidR="00A37472">
        <w:t>například</w:t>
      </w:r>
      <w:r w:rsidR="00CE603D">
        <w:t xml:space="preserve"> ve strategickém záměr</w:t>
      </w:r>
      <w:r>
        <w:t>u</w:t>
      </w:r>
      <w:r w:rsidR="00CE603D">
        <w:t xml:space="preserve"> nebo</w:t>
      </w:r>
      <w:r w:rsidR="009B66B5">
        <w:t xml:space="preserve"> v </w:t>
      </w:r>
      <w:r w:rsidR="00CE603D">
        <w:t xml:space="preserve">rámci jiných strategií). V </w:t>
      </w:r>
      <w:r w:rsidR="00AA39F5">
        <w:t>téměř polovině</w:t>
      </w:r>
      <w:r w:rsidR="00CE603D">
        <w:t xml:space="preserve"> dotazovaných institucí není zatím strategie mezinárodní výzkumné spolupráce formalizována (viz </w:t>
      </w:r>
      <w:r w:rsidR="00CE603D">
        <w:fldChar w:fldCharType="begin"/>
      </w:r>
      <w:r w:rsidR="00CE603D">
        <w:instrText xml:space="preserve"> REF  _Ref110170209 \* Lower \h  \* MERGEFORMAT </w:instrText>
      </w:r>
      <w:r w:rsidR="00CE603D">
        <w:fldChar w:fldCharType="separate"/>
      </w:r>
      <w:r w:rsidR="00833870">
        <w:t xml:space="preserve">obr. </w:t>
      </w:r>
      <w:r w:rsidR="00833870">
        <w:rPr>
          <w:noProof/>
        </w:rPr>
        <w:t>2</w:t>
      </w:r>
      <w:r w:rsidR="00CE603D">
        <w:fldChar w:fldCharType="end"/>
      </w:r>
      <w:r w:rsidR="009B66B5">
        <w:t xml:space="preserve"> v </w:t>
      </w:r>
      <w:r w:rsidR="00AA39F5">
        <w:t>příloze</w:t>
      </w:r>
      <w:r w:rsidR="00CE603D">
        <w:t>).</w:t>
      </w:r>
      <w:r w:rsidR="00941945">
        <w:t xml:space="preserve"> </w:t>
      </w:r>
      <w:r w:rsidR="00CE603D">
        <w:t xml:space="preserve">Ve více než 40 % dotazovaných institucí jsou cíle mezinárodní spolupráce definovány ve vazbě na konkrétní oblasti výzkumu (viz </w:t>
      </w:r>
      <w:r w:rsidR="00CE603D">
        <w:fldChar w:fldCharType="begin"/>
      </w:r>
      <w:r w:rsidR="00CE603D">
        <w:instrText xml:space="preserve"> REF  _Ref110170185 \* Lower \h  \* MERGEFORMAT </w:instrText>
      </w:r>
      <w:r w:rsidR="00CE603D">
        <w:fldChar w:fldCharType="separate"/>
      </w:r>
      <w:r w:rsidR="00833870">
        <w:t xml:space="preserve">obr. </w:t>
      </w:r>
      <w:r w:rsidR="00833870">
        <w:rPr>
          <w:noProof/>
        </w:rPr>
        <w:t>3</w:t>
      </w:r>
      <w:r w:rsidR="00CE603D">
        <w:fldChar w:fldCharType="end"/>
      </w:r>
      <w:r w:rsidR="009B66B5">
        <w:t xml:space="preserve"> v </w:t>
      </w:r>
      <w:r w:rsidR="00941945">
        <w:t>příloze</w:t>
      </w:r>
      <w:r w:rsidR="00CE603D">
        <w:t xml:space="preserve">). </w:t>
      </w:r>
      <w:r w:rsidR="00941945">
        <w:t xml:space="preserve">V menší části </w:t>
      </w:r>
      <w:r w:rsidR="00CE603D">
        <w:t>institucí jsou specifikovány konkrétní zahraniční instituce</w:t>
      </w:r>
      <w:r w:rsidR="00941945">
        <w:t xml:space="preserve"> nebo </w:t>
      </w:r>
      <w:r w:rsidR="00CE603D">
        <w:t xml:space="preserve">konkrétní geografické oblasti (státy). V téměř polovině dotazovaných institucí nejsou cíle mezinárodního výzkumu konkretizovány. </w:t>
      </w:r>
    </w:p>
    <w:p w14:paraId="1FB6AC8E" w14:textId="77777777" w:rsidR="00CE603D" w:rsidRDefault="00CE603D" w:rsidP="00CE603D">
      <w:r>
        <w:t>Pouze</w:t>
      </w:r>
      <w:r w:rsidR="009B66B5">
        <w:t xml:space="preserve"> v </w:t>
      </w:r>
      <w:r w:rsidR="00941945">
        <w:t>necelých 40</w:t>
      </w:r>
      <w:r>
        <w:t xml:space="preserve"> % institucí jsou na podporu mezinárodní spolupráce ve VaV</w:t>
      </w:r>
      <w:r w:rsidR="00790A43">
        <w:t>aI</w:t>
      </w:r>
      <w:r>
        <w:t xml:space="preserve"> vyčleněny finanční prostředky. Nejčastěji se jedná</w:t>
      </w:r>
      <w:r w:rsidR="009B66B5">
        <w:t xml:space="preserve"> o </w:t>
      </w:r>
      <w:r>
        <w:t>prostředky na úhradu cestovních nákladů na se</w:t>
      </w:r>
      <w:r>
        <w:lastRenderedPageBreak/>
        <w:t xml:space="preserve">tkáni se zahraničními partnery projektů ve fázi jejich přípravy. </w:t>
      </w:r>
      <w:r w:rsidR="00941945">
        <w:t xml:space="preserve">Méně často </w:t>
      </w:r>
      <w:r>
        <w:t xml:space="preserve">bývají tyto prostředky využity na najmutí konzultační firmy pro přípravu mezinárodního projektu (viz </w:t>
      </w:r>
      <w:r>
        <w:fldChar w:fldCharType="begin"/>
      </w:r>
      <w:r>
        <w:instrText xml:space="preserve"> REF  _Ref110170712 \* Lower \h  \* MERGEFORMAT </w:instrText>
      </w:r>
      <w:r>
        <w:fldChar w:fldCharType="separate"/>
      </w:r>
      <w:r w:rsidR="00833870">
        <w:t xml:space="preserve">obr. </w:t>
      </w:r>
      <w:r w:rsidR="00833870">
        <w:rPr>
          <w:noProof/>
        </w:rPr>
        <w:t>4</w:t>
      </w:r>
      <w:r>
        <w:fldChar w:fldCharType="end"/>
      </w:r>
      <w:r>
        <w:t>).</w:t>
      </w:r>
    </w:p>
    <w:p w14:paraId="3E068ED0" w14:textId="77777777" w:rsidR="00CE603D" w:rsidRDefault="002E5B4A" w:rsidP="00CE603D">
      <w:r>
        <w:t>S</w:t>
      </w:r>
      <w:r w:rsidR="00CE603D">
        <w:t xml:space="preserve">amostatné oddělení </w:t>
      </w:r>
      <w:r w:rsidR="00CE603D" w:rsidRPr="000B3A24">
        <w:t>odpovídající za administraci mezinárodní spolupráce</w:t>
      </w:r>
      <w:r>
        <w:t xml:space="preserve"> existuje pouze na 17 % dotazovaných institucí </w:t>
      </w:r>
      <w:r w:rsidR="00CE603D">
        <w:t xml:space="preserve">(viz </w:t>
      </w:r>
      <w:r w:rsidR="00CE603D">
        <w:fldChar w:fldCharType="begin"/>
      </w:r>
      <w:r w:rsidR="00CE603D">
        <w:instrText xml:space="preserve"> REF  _Ref110171054 \* Lower \h  \* MERGEFORMAT </w:instrText>
      </w:r>
      <w:r w:rsidR="00CE603D">
        <w:fldChar w:fldCharType="separate"/>
      </w:r>
      <w:r w:rsidR="00833870">
        <w:t xml:space="preserve">obr. </w:t>
      </w:r>
      <w:r w:rsidR="00833870">
        <w:rPr>
          <w:noProof/>
        </w:rPr>
        <w:t>5</w:t>
      </w:r>
      <w:r w:rsidR="00CE603D">
        <w:fldChar w:fldCharType="end"/>
      </w:r>
      <w:r w:rsidR="009B66B5">
        <w:t xml:space="preserve"> v </w:t>
      </w:r>
      <w:r>
        <w:t>příloze</w:t>
      </w:r>
      <w:r w:rsidR="00CE603D">
        <w:t xml:space="preserve">). Na téměř 40 % dotazovaných institucí je </w:t>
      </w:r>
      <w:r w:rsidR="00156614">
        <w:t>pro tyto činnosti</w:t>
      </w:r>
      <w:r w:rsidR="00CE603D" w:rsidRPr="000B5989">
        <w:t xml:space="preserve"> </w:t>
      </w:r>
      <w:r w:rsidR="00CE603D">
        <w:t>vytvoř</w:t>
      </w:r>
      <w:r w:rsidR="00CE603D" w:rsidRPr="000B5989">
        <w:t xml:space="preserve">ena </w:t>
      </w:r>
      <w:r w:rsidR="00281E28">
        <w:t xml:space="preserve">alespoň </w:t>
      </w:r>
      <w:r w:rsidR="00CE603D" w:rsidRPr="000B5989">
        <w:t xml:space="preserve">samostatná pozice </w:t>
      </w:r>
      <w:r w:rsidR="00CE603D">
        <w:t>(</w:t>
      </w:r>
      <w:r w:rsidR="00CE603D" w:rsidRPr="000B5989">
        <w:t>či více pozic</w:t>
      </w:r>
      <w:r w:rsidR="00CE603D">
        <w:t xml:space="preserve">). V přibližně </w:t>
      </w:r>
      <w:r w:rsidR="00281E28">
        <w:t xml:space="preserve">20 % </w:t>
      </w:r>
      <w:r w:rsidR="00CE603D">
        <w:t>dotazovaných institucí je pro administraci me</w:t>
      </w:r>
      <w:r w:rsidR="00156614">
        <w:t>zinárodní spolupráce určena řídi</w:t>
      </w:r>
      <w:r w:rsidR="00CE603D">
        <w:t xml:space="preserve">cí funkce. Na zhruba třetině institucí zatím zázemí pro internacionalizaci vytvořeno není (viz </w:t>
      </w:r>
      <w:r w:rsidR="00CE603D">
        <w:fldChar w:fldCharType="begin"/>
      </w:r>
      <w:r w:rsidR="00CE603D">
        <w:instrText xml:space="preserve"> REF  _Ref110171054 \* Lower \h  \* MERGEFORMAT </w:instrText>
      </w:r>
      <w:r w:rsidR="00CE603D">
        <w:fldChar w:fldCharType="separate"/>
      </w:r>
      <w:r w:rsidR="00833870">
        <w:t xml:space="preserve">obr. </w:t>
      </w:r>
      <w:r w:rsidR="00833870">
        <w:rPr>
          <w:noProof/>
        </w:rPr>
        <w:t>5</w:t>
      </w:r>
      <w:r w:rsidR="00CE603D">
        <w:fldChar w:fldCharType="end"/>
      </w:r>
      <w:r w:rsidR="009B66B5">
        <w:t xml:space="preserve"> v </w:t>
      </w:r>
      <w:r>
        <w:t>příloze</w:t>
      </w:r>
      <w:r w:rsidR="00CE603D">
        <w:t>).</w:t>
      </w:r>
    </w:p>
    <w:p w14:paraId="1CA1A97E" w14:textId="77777777" w:rsidR="00CE603D" w:rsidRDefault="00CE603D" w:rsidP="00CE603D">
      <w:r>
        <w:t>Z šetření vyplynulo, že administrativní pracovníci se významn</w:t>
      </w:r>
      <w:r w:rsidR="00A31391">
        <w:t>ě</w:t>
      </w:r>
      <w:r>
        <w:t xml:space="preserve"> podílejí na většině činností spojených</w:t>
      </w:r>
      <w:r w:rsidR="009B66B5">
        <w:t xml:space="preserve"> s </w:t>
      </w:r>
      <w:r>
        <w:t>administrativou</w:t>
      </w:r>
      <w:r w:rsidR="009B66B5">
        <w:t xml:space="preserve"> a </w:t>
      </w:r>
      <w:r>
        <w:t>realizací projektu, přičemž ve většině případů jsou tyto činnosti rovnoměrně rozděleny mezi výzkumníky</w:t>
      </w:r>
      <w:r w:rsidR="009B66B5">
        <w:t xml:space="preserve"> a </w:t>
      </w:r>
      <w:r>
        <w:t>administrativními pracovníky (s výjimkou přípravy návrhu proje</w:t>
      </w:r>
      <w:r w:rsidR="002E5B4A">
        <w:t>k</w:t>
      </w:r>
      <w:r>
        <w:t xml:space="preserve">tu, viz </w:t>
      </w:r>
      <w:r>
        <w:fldChar w:fldCharType="begin"/>
      </w:r>
      <w:r>
        <w:instrText xml:space="preserve"> REF  _Ref110257687 \* Lower \h  \* MERGEFORMAT </w:instrText>
      </w:r>
      <w:r>
        <w:fldChar w:fldCharType="separate"/>
      </w:r>
      <w:r w:rsidR="00833870">
        <w:t xml:space="preserve">tab. </w:t>
      </w:r>
      <w:r w:rsidR="00833870">
        <w:rPr>
          <w:noProof/>
        </w:rPr>
        <w:t>1</w:t>
      </w:r>
      <w:r>
        <w:fldChar w:fldCharType="end"/>
      </w:r>
      <w:r w:rsidR="009B66B5">
        <w:t xml:space="preserve"> v </w:t>
      </w:r>
      <w:r w:rsidR="002E5B4A">
        <w:t>příloze</w:t>
      </w:r>
      <w:r>
        <w:t>). V institucích, kde zřejmě ještě není vybudováno dostatečné administrativní zázemí, jsou činnosti administrativního charakteru vykonávány převážně výzkumníky (například příprava rozpočtu projektu).</w:t>
      </w:r>
    </w:p>
    <w:p w14:paraId="00EFF7C8" w14:textId="77777777" w:rsidR="00CE603D" w:rsidRDefault="00CE603D" w:rsidP="00CE603D">
      <w:r>
        <w:t>Nejvýznamnějším motivem pro účast</w:t>
      </w:r>
      <w:r w:rsidR="009B66B5">
        <w:t xml:space="preserve"> v </w:t>
      </w:r>
      <w:r w:rsidR="00281E28">
        <w:t>RP</w:t>
      </w:r>
      <w:r>
        <w:t xml:space="preserve"> je získání finančních prostředků na </w:t>
      </w:r>
      <w:r w:rsidR="00281E28">
        <w:t xml:space="preserve">VaVaI </w:t>
      </w:r>
      <w:r>
        <w:t xml:space="preserve">(viz </w:t>
      </w:r>
      <w:r>
        <w:fldChar w:fldCharType="begin"/>
      </w:r>
      <w:r>
        <w:instrText xml:space="preserve"> REF  _Ref110254587 \* Lower \h  \* MERGEFORMAT </w:instrText>
      </w:r>
      <w:r>
        <w:fldChar w:fldCharType="separate"/>
      </w:r>
      <w:r w:rsidR="00833870">
        <w:t xml:space="preserve">obr. </w:t>
      </w:r>
      <w:r w:rsidR="00833870">
        <w:rPr>
          <w:noProof/>
        </w:rPr>
        <w:t>6</w:t>
      </w:r>
      <w:r>
        <w:fldChar w:fldCharType="end"/>
      </w:r>
      <w:r>
        <w:t>). Velký význam má</w:t>
      </w:r>
      <w:r w:rsidR="009B66B5">
        <w:t xml:space="preserve"> i </w:t>
      </w:r>
      <w:r>
        <w:t>rozvoj stávajících aktivit VaV</w:t>
      </w:r>
      <w:r w:rsidR="00281E28">
        <w:t>aI</w:t>
      </w:r>
      <w:r>
        <w:t>, rozvoj</w:t>
      </w:r>
      <w:r w:rsidR="00281E28">
        <w:t xml:space="preserve">, </w:t>
      </w:r>
      <w:r>
        <w:t>resp. pokračování stávající spolupráce se zahraničním partnery</w:t>
      </w:r>
      <w:r w:rsidR="009B66B5">
        <w:t xml:space="preserve"> a </w:t>
      </w:r>
      <w:r>
        <w:t>navázání výzkumné spolup</w:t>
      </w:r>
      <w:r w:rsidR="00DB485A">
        <w:t>ráce</w:t>
      </w:r>
      <w:r w:rsidR="009B66B5">
        <w:t xml:space="preserve"> s </w:t>
      </w:r>
      <w:r w:rsidR="00DB485A">
        <w:t>dalšími partnery. Naopak</w:t>
      </w:r>
      <w:r>
        <w:t xml:space="preserve"> nižší význam má získání přístupu ke znalostem</w:t>
      </w:r>
      <w:r w:rsidR="009B66B5">
        <w:t xml:space="preserve"> a </w:t>
      </w:r>
      <w:r>
        <w:t>zařízením zahraničních partnerů</w:t>
      </w:r>
      <w:r w:rsidR="009B66B5">
        <w:t xml:space="preserve"> a </w:t>
      </w:r>
      <w:r>
        <w:t>upevnění pozice</w:t>
      </w:r>
      <w:r w:rsidR="009B66B5">
        <w:t xml:space="preserve"> v </w:t>
      </w:r>
      <w:r>
        <w:t>Evropském výzkumné</w:t>
      </w:r>
      <w:r w:rsidR="00DB485A">
        <w:t>m</w:t>
      </w:r>
      <w:r>
        <w:t xml:space="preserve"> prostoru. To společně</w:t>
      </w:r>
      <w:r w:rsidR="009B66B5">
        <w:t xml:space="preserve"> s </w:t>
      </w:r>
      <w:r>
        <w:t xml:space="preserve">nízkou motivací ovlivnit zaměření </w:t>
      </w:r>
      <w:r w:rsidR="00281E28">
        <w:t xml:space="preserve">VaVaI </w:t>
      </w:r>
      <w:r>
        <w:t>realizovan</w:t>
      </w:r>
      <w:r w:rsidR="00281E28">
        <w:t>ých</w:t>
      </w:r>
      <w:r w:rsidR="009B66B5">
        <w:t xml:space="preserve"> v </w:t>
      </w:r>
      <w:r>
        <w:t>mezinárodním prostředí může svědčit</w:t>
      </w:r>
      <w:r w:rsidR="009B66B5">
        <w:t xml:space="preserve"> o </w:t>
      </w:r>
      <w:r>
        <w:t>nižších ambicích výzkumných týmů</w:t>
      </w:r>
      <w:r w:rsidR="009B66B5">
        <w:t xml:space="preserve"> z </w:t>
      </w:r>
      <w:r>
        <w:t>ČR</w:t>
      </w:r>
      <w:r w:rsidR="009B66B5">
        <w:t xml:space="preserve"> v </w:t>
      </w:r>
      <w:r>
        <w:t xml:space="preserve">mezinárodních projektech (viz </w:t>
      </w:r>
      <w:r>
        <w:fldChar w:fldCharType="begin"/>
      </w:r>
      <w:r>
        <w:instrText xml:space="preserve"> REF  _Ref110254587 \* Lower \h  \* MERGEFORMAT </w:instrText>
      </w:r>
      <w:r>
        <w:fldChar w:fldCharType="separate"/>
      </w:r>
      <w:r w:rsidR="00833870">
        <w:t xml:space="preserve">obr. </w:t>
      </w:r>
      <w:r w:rsidR="00833870">
        <w:rPr>
          <w:noProof/>
        </w:rPr>
        <w:t>6</w:t>
      </w:r>
      <w:r>
        <w:fldChar w:fldCharType="end"/>
      </w:r>
      <w:r>
        <w:t xml:space="preserve">). </w:t>
      </w:r>
    </w:p>
    <w:p w14:paraId="11015F31" w14:textId="77777777" w:rsidR="00CE603D" w:rsidRDefault="00CE603D" w:rsidP="00CE603D">
      <w:r>
        <w:t>Z</w:t>
      </w:r>
      <w:r w:rsidR="002E5B4A">
        <w:t xml:space="preserve"> šetření také </w:t>
      </w:r>
      <w:r>
        <w:t>vyplynulo, že přibližně</w:t>
      </w:r>
      <w:r w:rsidR="009B66B5">
        <w:t xml:space="preserve"> v </w:t>
      </w:r>
      <w:r w:rsidR="00883305">
        <w:t>75 %</w:t>
      </w:r>
      <w:r>
        <w:t xml:space="preserve"> institucí jsou překážkou </w:t>
      </w:r>
      <w:r w:rsidRPr="00CF392D">
        <w:t>pro zapojení do mezinárodní spolupráce</w:t>
      </w:r>
      <w:r>
        <w:t xml:space="preserve"> nedostatečné </w:t>
      </w:r>
      <w:r w:rsidRPr="00CF392D">
        <w:t xml:space="preserve">časové kapacity výzkumných pracovníků </w:t>
      </w:r>
      <w:r>
        <w:t xml:space="preserve">(viz </w:t>
      </w:r>
      <w:r>
        <w:fldChar w:fldCharType="begin"/>
      </w:r>
      <w:r>
        <w:instrText xml:space="preserve"> REF  _Ref110171642 \* Lower \h  \* MERGEFORMAT </w:instrText>
      </w:r>
      <w:r>
        <w:fldChar w:fldCharType="separate"/>
      </w:r>
      <w:r w:rsidR="00833870">
        <w:t xml:space="preserve">obr. </w:t>
      </w:r>
      <w:r w:rsidR="00833870">
        <w:rPr>
          <w:noProof/>
        </w:rPr>
        <w:t>7</w:t>
      </w:r>
      <w:r>
        <w:fldChar w:fldCharType="end"/>
      </w:r>
      <w:r w:rsidR="009B66B5">
        <w:t xml:space="preserve"> v </w:t>
      </w:r>
      <w:r w:rsidR="002E5B4A">
        <w:t>příloze</w:t>
      </w:r>
      <w:r>
        <w:t xml:space="preserve">). V případě </w:t>
      </w:r>
      <w:r w:rsidR="00883305">
        <w:t xml:space="preserve">vysokých škol </w:t>
      </w:r>
      <w:r>
        <w:t>se zpravidla jedná</w:t>
      </w:r>
      <w:r w:rsidR="009B66B5">
        <w:t xml:space="preserve"> o </w:t>
      </w:r>
      <w:r>
        <w:t>vytížení pedagogickými aktivitami, případně aktivitami</w:t>
      </w:r>
      <w:r w:rsidR="009B66B5">
        <w:t xml:space="preserve"> v </w:t>
      </w:r>
      <w:r>
        <w:t>národních projektech. Z několika odpovědí mj. vyplynulo, že výzkumní pracovníci, kteří jsou aktivní</w:t>
      </w:r>
      <w:r w:rsidR="009B66B5">
        <w:t xml:space="preserve"> v </w:t>
      </w:r>
      <w:r w:rsidR="00883305">
        <w:t>RP</w:t>
      </w:r>
      <w:r>
        <w:t>, jsou</w:t>
      </w:r>
      <w:r w:rsidR="009B66B5">
        <w:t xml:space="preserve"> i </w:t>
      </w:r>
      <w:r>
        <w:t>aktivní</w:t>
      </w:r>
      <w:r w:rsidR="009B66B5">
        <w:t xml:space="preserve"> v </w:t>
      </w:r>
      <w:r>
        <w:t>národních programech VaV</w:t>
      </w:r>
      <w:r w:rsidR="00883305">
        <w:t>aI</w:t>
      </w:r>
      <w:r>
        <w:t>.</w:t>
      </w:r>
    </w:p>
    <w:p w14:paraId="7CADA2BB" w14:textId="77777777" w:rsidR="00CE603D" w:rsidRDefault="00CE603D" w:rsidP="00CE603D">
      <w:r>
        <w:t>V 60 % institucí jsou překážkou m</w:t>
      </w:r>
      <w:r w:rsidRPr="0002460C">
        <w:t>alé předcházející zkušenosti výzkumných</w:t>
      </w:r>
      <w:r>
        <w:t xml:space="preserve"> nebo </w:t>
      </w:r>
      <w:r w:rsidRPr="0002460C">
        <w:t>administrativních pracovníků</w:t>
      </w:r>
      <w:r w:rsidR="009B66B5">
        <w:t xml:space="preserve"> s </w:t>
      </w:r>
      <w:r w:rsidRPr="0002460C">
        <w:t>realizací mezinárodní spolupráce</w:t>
      </w:r>
      <w:r>
        <w:t>, což zřejmě souvisí</w:t>
      </w:r>
      <w:r w:rsidR="009B66B5">
        <w:t xml:space="preserve"> s </w:t>
      </w:r>
      <w:r>
        <w:t>přetrvávající uzavřeností domácího výzkumného systému mezinárodní spolupráci. V téměř polovině dotazovaných institucí jsou překážkou n</w:t>
      </w:r>
      <w:r w:rsidRPr="0002460C">
        <w:t>edostatečné personální kapacity pro administrativní podporu při podávání</w:t>
      </w:r>
      <w:r w:rsidR="009B66B5">
        <w:t xml:space="preserve"> a </w:t>
      </w:r>
      <w:r w:rsidRPr="0002460C">
        <w:t>řešení mezinárodních projektů</w:t>
      </w:r>
      <w:r>
        <w:t xml:space="preserve"> (viz </w:t>
      </w:r>
      <w:r>
        <w:fldChar w:fldCharType="begin"/>
      </w:r>
      <w:r>
        <w:instrText xml:space="preserve"> REF  _Ref110171642 \* Lower \h  \* MERGEFORMAT </w:instrText>
      </w:r>
      <w:r>
        <w:fldChar w:fldCharType="separate"/>
      </w:r>
      <w:r w:rsidR="00833870">
        <w:t xml:space="preserve">obr. </w:t>
      </w:r>
      <w:r w:rsidR="00833870">
        <w:rPr>
          <w:noProof/>
        </w:rPr>
        <w:t>7</w:t>
      </w:r>
      <w:r>
        <w:fldChar w:fldCharType="end"/>
      </w:r>
      <w:r w:rsidR="009B66B5">
        <w:t xml:space="preserve"> v </w:t>
      </w:r>
      <w:r w:rsidR="002E5B4A">
        <w:t>příloze</w:t>
      </w:r>
      <w:r>
        <w:t xml:space="preserve">), což ukazuje, že výzkumným pracovníkům by pro vyšší zapojení do mezinárodní </w:t>
      </w:r>
      <w:r w:rsidR="00A31391">
        <w:t xml:space="preserve">spolupráce </w:t>
      </w:r>
      <w:r>
        <w:t>přispělo posílení (resp. vytvoření) pracovišť napomáhající</w:t>
      </w:r>
      <w:r w:rsidR="008A04F0">
        <w:t>ch</w:t>
      </w:r>
      <w:r w:rsidR="009B66B5">
        <w:t xml:space="preserve"> s </w:t>
      </w:r>
      <w:r>
        <w:t>přípravou</w:t>
      </w:r>
      <w:r w:rsidR="009B66B5">
        <w:t xml:space="preserve"> a </w:t>
      </w:r>
      <w:r>
        <w:t xml:space="preserve">administrací mezinárodních projektů (viz též </w:t>
      </w:r>
      <w:r>
        <w:fldChar w:fldCharType="begin"/>
      </w:r>
      <w:r>
        <w:instrText xml:space="preserve"> REF  _Ref110171054 \* Lower \h  \* MERGEFORMAT </w:instrText>
      </w:r>
      <w:r>
        <w:fldChar w:fldCharType="separate"/>
      </w:r>
      <w:r w:rsidR="00833870">
        <w:t xml:space="preserve">obr. </w:t>
      </w:r>
      <w:r w:rsidR="00833870">
        <w:rPr>
          <w:noProof/>
        </w:rPr>
        <w:t>5</w:t>
      </w:r>
      <w:r>
        <w:fldChar w:fldCharType="end"/>
      </w:r>
      <w:r w:rsidR="009B66B5">
        <w:t xml:space="preserve"> v </w:t>
      </w:r>
      <w:r w:rsidR="002E5B4A">
        <w:t>příloze</w:t>
      </w:r>
      <w:r>
        <w:t>). Z dalších bariér byla uváděna nepřehlednost výzev, vysoká administrativní náročnost</w:t>
      </w:r>
      <w:r w:rsidR="00883305">
        <w:t xml:space="preserve"> či</w:t>
      </w:r>
      <w:r>
        <w:t xml:space="preserve"> obtížné proniknutí do již zavedených konsorcií. </w:t>
      </w:r>
    </w:p>
    <w:p w14:paraId="2C48D3A9" w14:textId="77777777" w:rsidR="00CE603D" w:rsidRDefault="00CE603D" w:rsidP="00CE603D">
      <w:r>
        <w:t>Z dotazníkové</w:t>
      </w:r>
      <w:r w:rsidR="008A04F0">
        <w:t>ho</w:t>
      </w:r>
      <w:r>
        <w:t xml:space="preserve"> šetření také vyplynulo, že řada dotazovaných pracovišť se zapojuje</w:t>
      </w:r>
      <w:r w:rsidR="009B66B5">
        <w:t xml:space="preserve"> i </w:t>
      </w:r>
      <w:r>
        <w:t xml:space="preserve">do jiných mezinárodních projektů, než jsou </w:t>
      </w:r>
      <w:r w:rsidR="00883305">
        <w:t>RP</w:t>
      </w:r>
      <w:r>
        <w:t xml:space="preserve"> či programy mezinárodní spolupráce</w:t>
      </w:r>
      <w:r w:rsidR="00883305">
        <w:t xml:space="preserve"> ve VaVaI</w:t>
      </w:r>
      <w:r>
        <w:t xml:space="preserve"> financované ze státního rozpočtu (viz </w:t>
      </w:r>
      <w:r>
        <w:fldChar w:fldCharType="begin"/>
      </w:r>
      <w:r>
        <w:instrText xml:space="preserve"> REF  _Ref110172255 \* Lower \h  \* MERGEFORMAT </w:instrText>
      </w:r>
      <w:r>
        <w:fldChar w:fldCharType="separate"/>
      </w:r>
      <w:r w:rsidR="00833870">
        <w:t xml:space="preserve">obr. </w:t>
      </w:r>
      <w:r w:rsidR="00833870">
        <w:rPr>
          <w:noProof/>
        </w:rPr>
        <w:t>8</w:t>
      </w:r>
      <w:r>
        <w:fldChar w:fldCharType="end"/>
      </w:r>
      <w:r>
        <w:t>). Jedná se zejména</w:t>
      </w:r>
      <w:r w:rsidR="009B66B5">
        <w:t xml:space="preserve"> o </w:t>
      </w:r>
      <w:r>
        <w:t>program Erasmus</w:t>
      </w:r>
      <w:r w:rsidR="009B66B5">
        <w:t xml:space="preserve"> a </w:t>
      </w:r>
      <w:r w:rsidRPr="008E5FE4">
        <w:t>Fondy EHP</w:t>
      </w:r>
      <w:r w:rsidR="009B66B5">
        <w:t xml:space="preserve"> a </w:t>
      </w:r>
      <w:r w:rsidRPr="008E5FE4">
        <w:t>Norska</w:t>
      </w:r>
      <w:r>
        <w:t xml:space="preserve">. Přibližně </w:t>
      </w:r>
      <w:r w:rsidR="00883305">
        <w:t xml:space="preserve">50 % </w:t>
      </w:r>
      <w:r>
        <w:t>dotazovaných institucí byla zapojena</w:t>
      </w:r>
      <w:r w:rsidR="009B66B5">
        <w:t xml:space="preserve"> v </w:t>
      </w:r>
      <w:r>
        <w:t>projektech realizovaných</w:t>
      </w:r>
      <w:r w:rsidR="009B66B5">
        <w:t xml:space="preserve"> v </w:t>
      </w:r>
      <w:r>
        <w:t xml:space="preserve">rámci </w:t>
      </w:r>
      <w:r w:rsidRPr="00F50122">
        <w:t>Mezinárodní</w:t>
      </w:r>
      <w:r>
        <w:t>ho</w:t>
      </w:r>
      <w:r w:rsidRPr="00F50122">
        <w:t xml:space="preserve"> visegrádsk</w:t>
      </w:r>
      <w:r>
        <w:t>ého</w:t>
      </w:r>
      <w:r w:rsidRPr="00F50122">
        <w:t xml:space="preserve"> fond</w:t>
      </w:r>
      <w:r>
        <w:t>u (</w:t>
      </w:r>
      <w:r w:rsidRPr="008E5FE4">
        <w:t>International Visegrad Fund</w:t>
      </w:r>
      <w:r>
        <w:t>,</w:t>
      </w:r>
      <w:r w:rsidRPr="008E5FE4">
        <w:t xml:space="preserve"> IVF)</w:t>
      </w:r>
      <w:r>
        <w:t xml:space="preserve">. Téměř </w:t>
      </w:r>
      <w:r w:rsidR="00883305">
        <w:t xml:space="preserve">33 % </w:t>
      </w:r>
      <w:r>
        <w:t>dotazovaných institucí byla zapojena do projektů podpořených</w:t>
      </w:r>
      <w:r w:rsidR="009B66B5">
        <w:t xml:space="preserve"> v </w:t>
      </w:r>
      <w:r>
        <w:t xml:space="preserve">programu Interreg (viz </w:t>
      </w:r>
      <w:r>
        <w:fldChar w:fldCharType="begin"/>
      </w:r>
      <w:r>
        <w:instrText xml:space="preserve"> REF  _Ref110172255 \* Lower \h  \* MERGEFORMAT </w:instrText>
      </w:r>
      <w:r>
        <w:fldChar w:fldCharType="separate"/>
      </w:r>
      <w:r w:rsidR="00833870">
        <w:t xml:space="preserve">obr. </w:t>
      </w:r>
      <w:r w:rsidR="00833870">
        <w:rPr>
          <w:noProof/>
        </w:rPr>
        <w:t>8</w:t>
      </w:r>
      <w:r>
        <w:fldChar w:fldCharType="end"/>
      </w:r>
      <w:r w:rsidR="009B66B5">
        <w:t xml:space="preserve"> v </w:t>
      </w:r>
      <w:r w:rsidR="002E5B4A">
        <w:t>příloze</w:t>
      </w:r>
      <w:r>
        <w:t>).</w:t>
      </w:r>
    </w:p>
    <w:p w14:paraId="00ECD609" w14:textId="77777777" w:rsidR="00E256BC" w:rsidRDefault="0049077C" w:rsidP="005515AB">
      <w:pPr>
        <w:pStyle w:val="Nadpis2"/>
      </w:pPr>
      <w:bookmarkStart w:id="36" w:name="_Toc112687211"/>
      <w:bookmarkStart w:id="37" w:name="_Toc112936095"/>
      <w:bookmarkStart w:id="38" w:name="_Ref112423834"/>
      <w:bookmarkStart w:id="39" w:name="_Toc114572325"/>
      <w:bookmarkEnd w:id="36"/>
      <w:bookmarkEnd w:id="37"/>
      <w:r>
        <w:lastRenderedPageBreak/>
        <w:t>Kariérní rozvoj mladých výzkumníků</w:t>
      </w:r>
      <w:bookmarkEnd w:id="38"/>
      <w:bookmarkEnd w:id="39"/>
      <w:r>
        <w:t xml:space="preserve"> </w:t>
      </w:r>
    </w:p>
    <w:p w14:paraId="18DBD05E" w14:textId="77777777" w:rsidR="00D060A7" w:rsidRPr="00980349" w:rsidRDefault="00D060A7" w:rsidP="005C25C6">
      <w:pPr>
        <w:pStyle w:val="Nadpis3"/>
      </w:pPr>
      <w:bookmarkStart w:id="40" w:name="_Toc114572326"/>
      <w:r w:rsidRPr="00980349">
        <w:t xml:space="preserve">Podpora výzkumné mobility prostřednictvím </w:t>
      </w:r>
      <w:r>
        <w:t>Horizontu Evropa</w:t>
      </w:r>
      <w:bookmarkEnd w:id="40"/>
    </w:p>
    <w:p w14:paraId="43D5695C" w14:textId="67403148" w:rsidR="00D060A7" w:rsidRDefault="00D060A7" w:rsidP="00D060A7">
      <w:r>
        <w:t>Hlavním nástrojem rámcových programů na podporu rozvoje akademické kariéry vědeckých pracovníků prostřednictvím mezinárodní mobility jsou Akce Marie Skłodowska-Curie (</w:t>
      </w:r>
      <w:r w:rsidR="00404F30">
        <w:t>dále jen „</w:t>
      </w:r>
      <w:r>
        <w:t>MSCA</w:t>
      </w:r>
      <w:r w:rsidR="00404F30">
        <w:t>“</w:t>
      </w:r>
      <w:r>
        <w:t>). Projekty jsou určené převážně pro začínající vědce (studenty doktorských studijních programů a postdoktorandy), kteří mají zájem načerpat nové zkušenosti pod dohledem zkušené</w:t>
      </w:r>
      <w:r w:rsidR="00FA6A1C">
        <w:t>ho školitele ve</w:t>
      </w:r>
      <w:r>
        <w:t xml:space="preserve"> výzkumných institucích</w:t>
      </w:r>
      <w:r w:rsidR="009B66B5">
        <w:t xml:space="preserve"> v </w:t>
      </w:r>
      <w:r>
        <w:t>zahraničí. MSCA umožňují také výměny mezi zaměstnanci partnerských institucí,</w:t>
      </w:r>
      <w:r w:rsidR="009B66B5">
        <w:t xml:space="preserve"> a </w:t>
      </w:r>
      <w:r>
        <w:t>to</w:t>
      </w:r>
      <w:r w:rsidR="009B66B5">
        <w:t xml:space="preserve"> i </w:t>
      </w:r>
      <w:r>
        <w:t>na administrativních</w:t>
      </w:r>
      <w:r w:rsidR="009B66B5">
        <w:t xml:space="preserve"> a </w:t>
      </w:r>
      <w:r>
        <w:t>manažerských pozicích. Kromě zdokonalení se</w:t>
      </w:r>
      <w:r w:rsidR="009B66B5">
        <w:t xml:space="preserve"> v </w:t>
      </w:r>
      <w:r>
        <w:t>dovednostech přímo souvisejících</w:t>
      </w:r>
      <w:r w:rsidR="009B66B5">
        <w:t xml:space="preserve"> s </w:t>
      </w:r>
      <w:r>
        <w:t>prací ve vědě je nedílnou součástí projektů MSCA také prohlubování schopností přenositelných napříč trhem práce, které by měly mladým vědcům napomoci najít pracovní uplatnění</w:t>
      </w:r>
      <w:r w:rsidR="009B66B5">
        <w:t xml:space="preserve"> i </w:t>
      </w:r>
      <w:r>
        <w:t>mimo výzkumnou sféru</w:t>
      </w:r>
      <w:r w:rsidR="009B66B5">
        <w:t xml:space="preserve"> a </w:t>
      </w:r>
      <w:r>
        <w:t>celkově posílit porozumění</w:t>
      </w:r>
      <w:r w:rsidR="009B66B5">
        <w:t xml:space="preserve"> a </w:t>
      </w:r>
      <w:r>
        <w:t>spolupráci mezi akademi</w:t>
      </w:r>
      <w:r w:rsidR="00404F30">
        <w:t>ckým</w:t>
      </w:r>
      <w:r w:rsidR="009B66B5">
        <w:t xml:space="preserve"> a </w:t>
      </w:r>
      <w:r>
        <w:t>průmyslovým sektorem.</w:t>
      </w:r>
    </w:p>
    <w:p w14:paraId="6D37D123" w14:textId="77777777" w:rsidR="00D060A7" w:rsidRDefault="00D060A7" w:rsidP="00D060A7">
      <w:r>
        <w:t>Průzkumy ukazují, že vědci, kteří využijí některé</w:t>
      </w:r>
      <w:r w:rsidR="009B66B5">
        <w:t xml:space="preserve"> z </w:t>
      </w:r>
      <w:r>
        <w:t>příležitostí, které MSCA nabízí, výrazně zlepšují svoji kariérní perspektivu do budoucna.</w:t>
      </w:r>
      <w:r>
        <w:rPr>
          <w:rStyle w:val="Znakapoznpodarou"/>
        </w:rPr>
        <w:footnoteReference w:id="29"/>
      </w:r>
      <w:r>
        <w:t xml:space="preserve"> Účastníci projektů MSCA mají také prokazatelně vyšší šance uspět</w:t>
      </w:r>
      <w:r w:rsidR="009B66B5">
        <w:t xml:space="preserve"> v </w:t>
      </w:r>
      <w:r>
        <w:t xml:space="preserve">dalších schématech </w:t>
      </w:r>
      <w:r w:rsidR="00404F30">
        <w:t>RP</w:t>
      </w:r>
      <w:r>
        <w:t>.</w:t>
      </w:r>
      <w:r>
        <w:rPr>
          <w:rStyle w:val="Znakapoznpodarou"/>
        </w:rPr>
        <w:footnoteReference w:id="30"/>
      </w:r>
      <w:r>
        <w:t xml:space="preserve"> Znatelnou výhodu mají absolventi MSCA</w:t>
      </w:r>
      <w:r w:rsidR="009B66B5">
        <w:t xml:space="preserve"> i </w:t>
      </w:r>
      <w:r>
        <w:t>ve výzvách ERC. Ze statistik vyplývá, že bývalí řešitelé napříč všemi typy projektů MSCA jsou</w:t>
      </w:r>
      <w:r w:rsidR="009B66B5">
        <w:t xml:space="preserve"> o </w:t>
      </w:r>
      <w:r>
        <w:t>20 % úspěšnější než ostatní žadatelé</w:t>
      </w:r>
      <w:r w:rsidR="009B66B5">
        <w:t xml:space="preserve"> o </w:t>
      </w:r>
      <w:r>
        <w:t>granty ERC (</w:t>
      </w:r>
      <w:r w:rsidRPr="00706553">
        <w:t>14</w:t>
      </w:r>
      <w:r w:rsidR="00E64294">
        <w:t>,4</w:t>
      </w:r>
      <w:r>
        <w:t xml:space="preserve"> </w:t>
      </w:r>
      <w:r w:rsidRPr="00706553">
        <w:t>% vs. 11.9</w:t>
      </w:r>
      <w:r>
        <w:t xml:space="preserve"> </w:t>
      </w:r>
      <w:r w:rsidRPr="00706553">
        <w:t>%</w:t>
      </w:r>
      <w:r>
        <w:t xml:space="preserve"> průměrná úspěšnost předkladatelů projektů ERC</w:t>
      </w:r>
      <w:r w:rsidRPr="00706553">
        <w:t>)</w:t>
      </w:r>
      <w:r>
        <w:t>. Absolventi individuálních výzkumných pobytů (schéma MSCA Individual Fellowships</w:t>
      </w:r>
      <w:r w:rsidR="009B66B5">
        <w:t xml:space="preserve"> v </w:t>
      </w:r>
      <w:r>
        <w:t>Horizontu 2020, které</w:t>
      </w:r>
      <w:r w:rsidR="009B66B5">
        <w:t xml:space="preserve"> v </w:t>
      </w:r>
      <w:r>
        <w:t xml:space="preserve">Horizontu Evropa </w:t>
      </w:r>
      <w:r w:rsidR="00404F30">
        <w:t xml:space="preserve">nese </w:t>
      </w:r>
      <w:r>
        <w:t>název MSCA Postdoctoral Fellowships) mají dokonce</w:t>
      </w:r>
      <w:r w:rsidR="009B66B5">
        <w:t xml:space="preserve"> o </w:t>
      </w:r>
      <w:r>
        <w:t>38 % vyšší úspěšnost</w:t>
      </w:r>
      <w:r w:rsidR="009B66B5">
        <w:t xml:space="preserve"> v </w:t>
      </w:r>
      <w:r>
        <w:t>soutěžích ERC než ostatní uchazeči</w:t>
      </w:r>
      <w:r w:rsidR="009B66B5">
        <w:t xml:space="preserve"> o </w:t>
      </w:r>
      <w:r>
        <w:t xml:space="preserve">tyto granty </w:t>
      </w:r>
      <w:r w:rsidRPr="003B032F">
        <w:t>(16</w:t>
      </w:r>
      <w:r w:rsidR="00E64294">
        <w:t>,5</w:t>
      </w:r>
      <w:r>
        <w:t xml:space="preserve"> </w:t>
      </w:r>
      <w:r w:rsidRPr="003B032F">
        <w:t>% vs. 11</w:t>
      </w:r>
      <w:r w:rsidR="00E64294">
        <w:t>,</w:t>
      </w:r>
      <w:r w:rsidRPr="003B032F">
        <w:t>9</w:t>
      </w:r>
      <w:r>
        <w:t xml:space="preserve"> </w:t>
      </w:r>
      <w:r w:rsidRPr="003B032F">
        <w:t>%).</w:t>
      </w:r>
      <w:r>
        <w:rPr>
          <w:rStyle w:val="Znakapoznpodarou"/>
        </w:rPr>
        <w:footnoteReference w:id="31"/>
      </w:r>
    </w:p>
    <w:p w14:paraId="5AAC1F4D" w14:textId="77777777" w:rsidR="00D060A7" w:rsidRDefault="00D060A7" w:rsidP="00D060A7">
      <w:r>
        <w:t>Ačkoli</w:t>
      </w:r>
      <w:r w:rsidR="00404F30">
        <w:t>v</w:t>
      </w:r>
      <w:r>
        <w:t xml:space="preserve"> má ČR největší počet projektů financovaných</w:t>
      </w:r>
      <w:r w:rsidR="009B66B5">
        <w:t xml:space="preserve"> z </w:t>
      </w:r>
      <w:r>
        <w:t>rámcového programu právě ve výzvách MSCA</w:t>
      </w:r>
      <w:r w:rsidR="00FA6A1C">
        <w:t>,</w:t>
      </w:r>
      <w:r>
        <w:rPr>
          <w:rStyle w:val="Znakapoznpodarou"/>
        </w:rPr>
        <w:footnoteReference w:id="32"/>
      </w:r>
      <w:r>
        <w:t xml:space="preserve"> zapojení českých výzkumných organizací do výběrových řízení MSCA zdaleka neodpovídá potenciálu </w:t>
      </w:r>
      <w:r w:rsidR="00404F30">
        <w:t>ČR</w:t>
      </w:r>
      <w:r>
        <w:t>. Z hlediska počtu podaných přihlášek ve vztahu</w:t>
      </w:r>
      <w:r w:rsidR="009B66B5">
        <w:t xml:space="preserve"> k </w:t>
      </w:r>
      <w:r>
        <w:t xml:space="preserve">lidským zdrojům působícím ve vědě (na 1000 výzkumných pracovníků) se ČR umístila mezi </w:t>
      </w:r>
      <w:r w:rsidR="00404F30">
        <w:t>bývalou</w:t>
      </w:r>
      <w:r>
        <w:t xml:space="preserve"> EU</w:t>
      </w:r>
      <w:r w:rsidR="00404F30">
        <w:t>-28</w:t>
      </w:r>
      <w:r>
        <w:t xml:space="preserve">  na 25. místě za Slovenskem</w:t>
      </w:r>
      <w:r w:rsidR="009B66B5">
        <w:t xml:space="preserve"> a </w:t>
      </w:r>
      <w:r>
        <w:t>Rumunskem. Nižší účast ve výzvách MSCA vykazují pouze instituce</w:t>
      </w:r>
      <w:r w:rsidR="009B66B5">
        <w:t xml:space="preserve"> z </w:t>
      </w:r>
      <w:r>
        <w:t>Maďarska, Bulharska</w:t>
      </w:r>
      <w:r w:rsidR="009B66B5">
        <w:t xml:space="preserve"> a </w:t>
      </w:r>
      <w:r>
        <w:t>Polska. Kapacitně srovnatelné Řecko generuje</w:t>
      </w:r>
      <w:r w:rsidR="009B66B5">
        <w:t xml:space="preserve"> v </w:t>
      </w:r>
      <w:r>
        <w:t>grantových soutěžích MSCA více než dvojnásobný počet přihlášek (30 ČR vs. 74 Řecko).</w:t>
      </w:r>
      <w:r>
        <w:rPr>
          <w:rStyle w:val="Znakapoznpodarou"/>
        </w:rPr>
        <w:footnoteReference w:id="33"/>
      </w:r>
    </w:p>
    <w:p w14:paraId="34D3F907" w14:textId="77777777" w:rsidR="00D060A7" w:rsidRDefault="00D060A7" w:rsidP="00D060A7">
      <w:r>
        <w:t>Podnětná zjištění přináší také detailnější pohled na mobilitní toky z/do země. ČR patří</w:t>
      </w:r>
      <w:r w:rsidR="009B66B5">
        <w:t xml:space="preserve"> v </w:t>
      </w:r>
      <w:r>
        <w:t>rámci EU spolu se Španělskem, Slovinskem</w:t>
      </w:r>
      <w:r w:rsidR="009B66B5">
        <w:t xml:space="preserve"> a </w:t>
      </w:r>
      <w:r>
        <w:t>Kyprem ke státům</w:t>
      </w:r>
      <w:r w:rsidR="009B66B5">
        <w:t xml:space="preserve"> s </w:t>
      </w:r>
      <w:r>
        <w:t>nejvyrovnanějším poměrem mezi výjezdovou</w:t>
      </w:r>
      <w:r w:rsidR="009B66B5">
        <w:t xml:space="preserve"> a </w:t>
      </w:r>
      <w:r>
        <w:t>příjezdovou mobilitou.</w:t>
      </w:r>
      <w:r>
        <w:rPr>
          <w:rStyle w:val="Znakapoznpodarou"/>
        </w:rPr>
        <w:footnoteReference w:id="34"/>
      </w:r>
      <w:r>
        <w:t xml:space="preserve"> V kontextu ČR tento ukazatel znamená, že </w:t>
      </w:r>
      <w:r>
        <w:lastRenderedPageBreak/>
        <w:t>vědci pracující</w:t>
      </w:r>
      <w:r w:rsidR="009B66B5">
        <w:t xml:space="preserve"> v </w:t>
      </w:r>
      <w:r>
        <w:t>ČR mají přibližně stejně velký (ne)zájem využívat podporu</w:t>
      </w:r>
      <w:r w:rsidR="009B66B5">
        <w:t xml:space="preserve"> z </w:t>
      </w:r>
      <w:r>
        <w:t>MSCA</w:t>
      </w:r>
      <w:r w:rsidR="009B66B5">
        <w:t xml:space="preserve"> k </w:t>
      </w:r>
      <w:r>
        <w:t>výjezdům do zahraničí, jako mají zahraniční výzkumní pracovníci</w:t>
      </w:r>
      <w:r w:rsidR="009B66B5">
        <w:t xml:space="preserve"> o </w:t>
      </w:r>
      <w:r>
        <w:t>strávení svého výzkumného pobytu</w:t>
      </w:r>
      <w:r w:rsidR="009B66B5">
        <w:t xml:space="preserve"> v </w:t>
      </w:r>
      <w:r>
        <w:t xml:space="preserve">ČR. </w:t>
      </w:r>
    </w:p>
    <w:p w14:paraId="3C98B26A" w14:textId="77777777" w:rsidR="00D060A7" w:rsidRDefault="00D060A7" w:rsidP="00D060A7">
      <w:r>
        <w:t xml:space="preserve">Z šetření Evropské komise přitom vyplývá, </w:t>
      </w:r>
      <w:r w:rsidRPr="00C84E0C">
        <w:t>že největší váhu při volbě hostitelské instituce pro svůj zahraniční pobyt vědci kladou na tři faktory: možnost spolupráce</w:t>
      </w:r>
      <w:r w:rsidR="009B66B5">
        <w:t xml:space="preserve"> s </w:t>
      </w:r>
      <w:r w:rsidRPr="00C84E0C">
        <w:t>předními vědci, kvalita nabízených školicích programů</w:t>
      </w:r>
      <w:r w:rsidR="009B66B5">
        <w:t xml:space="preserve"> a </w:t>
      </w:r>
      <w:r w:rsidRPr="00C84E0C">
        <w:t>přístup ke špičkovému infrastrukturnímu vybavení.</w:t>
      </w:r>
      <w:r>
        <w:t xml:space="preserve"> Ačkoli</w:t>
      </w:r>
      <w:r w:rsidR="00404F30">
        <w:t>v</w:t>
      </w:r>
      <w:r>
        <w:t xml:space="preserve"> výzkumní pracovníci, kteří se rozhodli vycestovat prostřednictvím MSCA do některé</w:t>
      </w:r>
      <w:r w:rsidR="009B66B5">
        <w:t xml:space="preserve"> z </w:t>
      </w:r>
      <w:r>
        <w:t xml:space="preserve">tzv. </w:t>
      </w:r>
      <w:r w:rsidR="004847F5">
        <w:t>Widening</w:t>
      </w:r>
      <w:r>
        <w:t xml:space="preserve"> zemí</w:t>
      </w:r>
      <w:r w:rsidR="00B4469D">
        <w:rPr>
          <w:rStyle w:val="Znakapoznpodarou"/>
        </w:rPr>
        <w:footnoteReference w:id="35"/>
      </w:r>
      <w:r>
        <w:t>, měli identický žebříček priorit, důležitost, kterou těmto aspektům přikládali, byla výrazně nižší.</w:t>
      </w:r>
      <w:r>
        <w:rPr>
          <w:rStyle w:val="Znakapoznpodarou"/>
        </w:rPr>
        <w:footnoteReference w:id="36"/>
      </w:r>
      <w:r>
        <w:t xml:space="preserve"> </w:t>
      </w:r>
    </w:p>
    <w:p w14:paraId="76DA3E4A" w14:textId="77777777" w:rsidR="00D060A7" w:rsidRDefault="00D060A7" w:rsidP="00D060A7">
      <w:r>
        <w:t>Významný</w:t>
      </w:r>
      <w:r w:rsidR="00404F30">
        <w:t>m</w:t>
      </w:r>
      <w:r>
        <w:t xml:space="preserve"> podpůrným nástrojem, který napomáhá zvyšovat atraktivitu </w:t>
      </w:r>
      <w:r w:rsidR="00404F30">
        <w:t xml:space="preserve">tzv. </w:t>
      </w:r>
      <w:r w:rsidR="004847F5">
        <w:t>Widening</w:t>
      </w:r>
      <w:r>
        <w:t xml:space="preserve"> zemí</w:t>
      </w:r>
      <w:r w:rsidR="009B66B5">
        <w:t xml:space="preserve"> v </w:t>
      </w:r>
      <w:r>
        <w:t xml:space="preserve">MSCA, představují schémata alternativního financování kvalitních projektových návrhů, které se ovšem zařadí pod prahem finančních možností EU. V samotném </w:t>
      </w:r>
      <w:r w:rsidR="00404F30">
        <w:t>RP</w:t>
      </w:r>
      <w:r>
        <w:t xml:space="preserve"> je doplňujícím zdrojem financování pro výzkumné pobyty realizované na území některé</w:t>
      </w:r>
      <w:r w:rsidR="009B66B5">
        <w:t xml:space="preserve"> z </w:t>
      </w:r>
      <w:r w:rsidR="00404F30">
        <w:t xml:space="preserve">tzv. </w:t>
      </w:r>
      <w:r w:rsidR="004847F5">
        <w:t>Widening</w:t>
      </w:r>
      <w:r>
        <w:t xml:space="preserve"> zemí schéma ERA Fellowships (dříve označované jako Widening Fellowships). Mobilitní projekty (příjezdy do ČR</w:t>
      </w:r>
      <w:r w:rsidR="009B66B5">
        <w:t xml:space="preserve"> i </w:t>
      </w:r>
      <w:r>
        <w:t>výjezdy ze země) jsou podporované také z</w:t>
      </w:r>
      <w:r w:rsidR="00404F30">
        <w:t>e zdrojů</w:t>
      </w:r>
      <w:r>
        <w:t> </w:t>
      </w:r>
      <w:r w:rsidR="00404F30">
        <w:t xml:space="preserve">politiky soudržnosti EU </w:t>
      </w:r>
      <w:r w:rsidR="00C40683">
        <w:t>(</w:t>
      </w:r>
      <w:r w:rsidR="00C40683" w:rsidRPr="00C40683">
        <w:t>Seal of Excellence</w:t>
      </w:r>
      <w:r w:rsidR="009B66B5">
        <w:t xml:space="preserve"> a </w:t>
      </w:r>
      <w:r w:rsidR="00C40683" w:rsidRPr="00C40683">
        <w:t>MSCA Fellowships CZ</w:t>
      </w:r>
      <w:r w:rsidR="009B66B5">
        <w:t xml:space="preserve"> v </w:t>
      </w:r>
      <w:r w:rsidR="00C40683" w:rsidRPr="00C40683">
        <w:t>O</w:t>
      </w:r>
      <w:r w:rsidR="00404F30">
        <w:t>peračním programu</w:t>
      </w:r>
      <w:r w:rsidR="00C40683" w:rsidRPr="00C40683">
        <w:t xml:space="preserve"> J</w:t>
      </w:r>
      <w:r w:rsidR="00404F30">
        <w:t xml:space="preserve">an </w:t>
      </w:r>
      <w:r w:rsidR="00C40683" w:rsidRPr="00C40683">
        <w:t>A</w:t>
      </w:r>
      <w:r w:rsidR="00404F30">
        <w:t xml:space="preserve">mos </w:t>
      </w:r>
      <w:r w:rsidR="00C40683" w:rsidRPr="00C40683">
        <w:t>K</w:t>
      </w:r>
      <w:r w:rsidR="00404F30">
        <w:t>omenský</w:t>
      </w:r>
      <w:r w:rsidR="00C40683" w:rsidRPr="00C40683">
        <w:t>)</w:t>
      </w:r>
      <w:r>
        <w:t>. Výsledky kvalitativních průzkumů dokládají, že</w:t>
      </w:r>
      <w:r w:rsidR="009B66B5">
        <w:t xml:space="preserve"> i </w:t>
      </w:r>
      <w:r>
        <w:t>vědci, kteří získali při evaluaci vysoké skóre</w:t>
      </w:r>
      <w:r w:rsidR="009B66B5">
        <w:t xml:space="preserve"> a </w:t>
      </w:r>
      <w:r>
        <w:t>vyjeli prostřednictvím MSCA do zemí</w:t>
      </w:r>
      <w:r w:rsidR="009B66B5">
        <w:t xml:space="preserve"> s </w:t>
      </w:r>
      <w:r>
        <w:t>vysokou úspěšností</w:t>
      </w:r>
      <w:r w:rsidR="009B66B5">
        <w:t xml:space="preserve"> v </w:t>
      </w:r>
      <w:r w:rsidR="00C50CDC">
        <w:t>RP</w:t>
      </w:r>
      <w:r>
        <w:t xml:space="preserve"> (tj. nespadají mezi</w:t>
      </w:r>
      <w:r w:rsidR="00C50CDC">
        <w:t xml:space="preserve"> tzv.</w:t>
      </w:r>
      <w:r>
        <w:t xml:space="preserve"> </w:t>
      </w:r>
      <w:r w:rsidR="004847F5">
        <w:t xml:space="preserve">Widening </w:t>
      </w:r>
      <w:r w:rsidR="000819C7">
        <w:t>země</w:t>
      </w:r>
      <w:r>
        <w:t>), by zvážili realizaci svého výzkumného pobytu</w:t>
      </w:r>
      <w:r w:rsidR="009B66B5">
        <w:t xml:space="preserve"> v </w:t>
      </w:r>
      <w:r>
        <w:t>některé</w:t>
      </w:r>
      <w:r w:rsidR="009B66B5">
        <w:t xml:space="preserve"> z </w:t>
      </w:r>
      <w:r w:rsidR="00C50CDC">
        <w:t xml:space="preserve">tzv. </w:t>
      </w:r>
      <w:r w:rsidR="004847F5">
        <w:t>Widening</w:t>
      </w:r>
      <w:r>
        <w:t xml:space="preserve"> zemí, pokud by jejich šance na úspěch byla díky možnostem alternativního financování výrazně vyšší.</w:t>
      </w:r>
      <w:r>
        <w:rPr>
          <w:rStyle w:val="Znakapoznpodarou"/>
        </w:rPr>
        <w:footnoteReference w:id="37"/>
      </w:r>
    </w:p>
    <w:p w14:paraId="361C6C31" w14:textId="77777777" w:rsidR="00D060A7" w:rsidRDefault="00D060A7" w:rsidP="00D060A7">
      <w:r>
        <w:t xml:space="preserve">Ze střednědobé perspektivy tak programy </w:t>
      </w:r>
      <w:r w:rsidR="00C50CDC">
        <w:t xml:space="preserve">VaVaI </w:t>
      </w:r>
      <w:r>
        <w:t>postavené na ideji synergií nepochybně napomáhají zvyšovat úroveň internacionalizace českého akademického prostředí</w:t>
      </w:r>
      <w:r w:rsidR="009B66B5">
        <w:t xml:space="preserve"> a </w:t>
      </w:r>
      <w:r>
        <w:t>posilovat českou znalostní základnu. Paralelně je však zásadní kontinuálně pracovat na budování moderních</w:t>
      </w:r>
      <w:r w:rsidR="009B66B5">
        <w:t xml:space="preserve"> a </w:t>
      </w:r>
      <w:r>
        <w:t>progresivních vzdělávacích programů, vytváření atraktivních pracovních podmínek</w:t>
      </w:r>
      <w:r w:rsidR="009B66B5">
        <w:t xml:space="preserve"> a </w:t>
      </w:r>
      <w:r>
        <w:t>dbát na kvalitu produkovaných vědeckých výstupů. Pokud je dlouhodobým cílem ČR stát se destinací pro vysoce talentované vědce na počátku jejich kariéry</w:t>
      </w:r>
      <w:r w:rsidR="009B66B5">
        <w:t xml:space="preserve"> i </w:t>
      </w:r>
      <w:r>
        <w:t>pro zkušené vědecké osobnosti, je nezbytné pracovat na systémových opatřeních. V</w:t>
      </w:r>
      <w:r w:rsidR="00C50CDC">
        <w:t> </w:t>
      </w:r>
      <w:r>
        <w:t>opačném případě hrozí, že ČR bude vnímána spíše jako volba pro nadprůměrné (nikoli</w:t>
      </w:r>
      <w:r w:rsidR="00C50CDC">
        <w:t>v</w:t>
      </w:r>
      <w:r>
        <w:t xml:space="preserve"> </w:t>
      </w:r>
      <w:r w:rsidRPr="004847F5">
        <w:t>však špičkové) výzkumníky, kteří se pro ČR rozhodnou zejména pro možnost získání podpory</w:t>
      </w:r>
      <w:r w:rsidR="009B66B5">
        <w:t xml:space="preserve"> i </w:t>
      </w:r>
      <w:r w:rsidR="009A5554" w:rsidRPr="004847F5">
        <w:t>pro výzkum nižší úrovně kvality</w:t>
      </w:r>
      <w:r w:rsidRPr="004847F5">
        <w:t>.</w:t>
      </w:r>
      <w:r>
        <w:t xml:space="preserve"> Pozice ČR</w:t>
      </w:r>
      <w:r w:rsidR="009B66B5">
        <w:t xml:space="preserve"> v </w:t>
      </w:r>
      <w:r>
        <w:t>mezinárodních srovnáních se tak bude zlepšovat pouze pozvolně. Je neoddiskutovatelné, že vědci, kteří věří ve svůj potenciál uspět ve vysoce konkurenčním prostředí</w:t>
      </w:r>
      <w:r w:rsidR="009B66B5">
        <w:t xml:space="preserve"> a </w:t>
      </w:r>
      <w:r>
        <w:t>mají zájem patřit mezi světovou špičku ve svém oboru, se rozhodují na základě prestiže.</w:t>
      </w:r>
    </w:p>
    <w:p w14:paraId="7B6F567C" w14:textId="77777777" w:rsidR="00D060A7" w:rsidRPr="00980349" w:rsidRDefault="00D060A7" w:rsidP="005C25C6">
      <w:pPr>
        <w:pStyle w:val="Nadpis3"/>
      </w:pPr>
      <w:bookmarkStart w:id="42" w:name="_Toc114572327"/>
      <w:r w:rsidRPr="00980349">
        <w:lastRenderedPageBreak/>
        <w:t>Posilování internacionalizace vysokoškolského sektoru</w:t>
      </w:r>
      <w:r w:rsidR="009B66B5">
        <w:t xml:space="preserve"> a </w:t>
      </w:r>
      <w:r w:rsidRPr="00980349">
        <w:t>podpora synergií mezi výzkumnou</w:t>
      </w:r>
      <w:r w:rsidR="009B66B5">
        <w:t xml:space="preserve"> a </w:t>
      </w:r>
      <w:r w:rsidRPr="00980349">
        <w:t>vzdělávací sférou</w:t>
      </w:r>
      <w:r w:rsidR="009B66B5">
        <w:t xml:space="preserve"> v </w:t>
      </w:r>
      <w:r>
        <w:t>EU</w:t>
      </w:r>
      <w:bookmarkEnd w:id="42"/>
    </w:p>
    <w:p w14:paraId="7955C635" w14:textId="77777777" w:rsidR="00D060A7" w:rsidRDefault="00D060A7" w:rsidP="00D060A7">
      <w:r>
        <w:t>Vedle mobilitních příležitostí, které skýtají projekty MSCA, mohou čeští vysokoškolští pracovníci</w:t>
      </w:r>
      <w:r w:rsidR="009B66B5">
        <w:t xml:space="preserve"> i </w:t>
      </w:r>
      <w:r>
        <w:t>studenti doktorských studijních programů využívat</w:t>
      </w:r>
      <w:r w:rsidR="009B66B5">
        <w:t xml:space="preserve"> k </w:t>
      </w:r>
      <w:r>
        <w:t>získání mezinárodních zkuše</w:t>
      </w:r>
      <w:r w:rsidR="006648FD">
        <w:t>ností další významný program EU</w:t>
      </w:r>
      <w:r>
        <w:t xml:space="preserve"> </w:t>
      </w:r>
      <w:r w:rsidR="006648FD">
        <w:t xml:space="preserve">– </w:t>
      </w:r>
      <w:r>
        <w:t>Erasmus+. S ohledem na primární účel toho</w:t>
      </w:r>
      <w:r w:rsidR="0040318E">
        <w:t>to</w:t>
      </w:r>
      <w:r>
        <w:t xml:space="preserve"> unijního nástroje, tedy posilování spolupráce ve vzdělávání, jsou možnosti zapojení nepedagogických (neuniverzitních) pracovníků do těchto výzev limitované. Výjimkou jsou tzv. </w:t>
      </w:r>
      <w:r w:rsidR="006648FD">
        <w:t>p</w:t>
      </w:r>
      <w:r w:rsidRPr="008207DB">
        <w:t>artnerství pro spolupráci</w:t>
      </w:r>
      <w:r>
        <w:t>. O projekt se mohou ucházet organizace jakéhokoli</w:t>
      </w:r>
      <w:r w:rsidR="0040318E">
        <w:t>v</w:t>
      </w:r>
      <w:r>
        <w:t xml:space="preserve"> typu, včetně výzkumných institucí. </w:t>
      </w:r>
    </w:p>
    <w:p w14:paraId="6AA1E67F" w14:textId="77777777" w:rsidR="00D060A7" w:rsidRDefault="00D060A7" w:rsidP="00D060A7">
      <w:r>
        <w:t xml:space="preserve">Významnou novou komponentu programu Erasmus+ představují </w:t>
      </w:r>
      <w:r w:rsidRPr="002C5DA0">
        <w:t>tzv. evropsk</w:t>
      </w:r>
      <w:r>
        <w:t>é</w:t>
      </w:r>
      <w:r w:rsidRPr="002C5DA0">
        <w:t xml:space="preserve"> univerzitní alianc</w:t>
      </w:r>
      <w:r>
        <w:t>e</w:t>
      </w:r>
      <w:r>
        <w:rPr>
          <w:rStyle w:val="Znakapoznpodarou"/>
        </w:rPr>
        <w:footnoteReference w:id="38"/>
      </w:r>
      <w:r>
        <w:t>, které jsou hlavním instrumentem EU</w:t>
      </w:r>
      <w:r w:rsidR="009B66B5">
        <w:t xml:space="preserve"> k </w:t>
      </w:r>
      <w:r>
        <w:t>prohloubení vazeb napříč vysokoškolskými institucemi</w:t>
      </w:r>
      <w:r w:rsidR="009B66B5">
        <w:t xml:space="preserve"> v </w:t>
      </w:r>
      <w:r>
        <w:t>zemích EU</w:t>
      </w:r>
      <w:r w:rsidR="009B66B5">
        <w:t xml:space="preserve"> i s </w:t>
      </w:r>
      <w:r>
        <w:t xml:space="preserve">dalšími partnerskými univerzitami zapojenými do tzv. Boloňského procesu. Iniciativu synergicky </w:t>
      </w:r>
      <w:r w:rsidR="006648FD">
        <w:t>podporuje také Horizont Evropa</w:t>
      </w:r>
      <w:r w:rsidR="009B66B5">
        <w:t xml:space="preserve"> v </w:t>
      </w:r>
      <w:r>
        <w:t>části Rozšiřování účasti</w:t>
      </w:r>
      <w:r w:rsidR="009B66B5">
        <w:t xml:space="preserve"> a </w:t>
      </w:r>
      <w:r>
        <w:t>posilování Evropského výzkumného prostoru. Výzva „</w:t>
      </w:r>
      <w:r w:rsidRPr="00320A31">
        <w:t>European Excellence Initiative</w:t>
      </w:r>
      <w:r>
        <w:t>“, která byla vyhlášena pilotně</w:t>
      </w:r>
      <w:r w:rsidR="009B66B5">
        <w:t xml:space="preserve"> v </w:t>
      </w:r>
      <w:r>
        <w:t>roce 2021, má za cíl napomoci posílit celkový ekosystém, ve kterém vysoké školy působí. V projektech se tak vítá zapojení širokého spektra d</w:t>
      </w:r>
      <w:r w:rsidR="006648FD">
        <w:t xml:space="preserve">alších relevantních aktérů </w:t>
      </w:r>
      <w:r>
        <w:t>od institucí neuniverzitního vý</w:t>
      </w:r>
      <w:r w:rsidR="006648FD">
        <w:t>zkumného typu, aplikační sféry až po</w:t>
      </w:r>
      <w:r>
        <w:t xml:space="preserve"> občanské společnosti.</w:t>
      </w:r>
      <w:r>
        <w:rPr>
          <w:rStyle w:val="Znakapoznpodarou"/>
        </w:rPr>
        <w:footnoteReference w:id="39"/>
      </w:r>
      <w:r>
        <w:t xml:space="preserve"> Schéma je jedním</w:t>
      </w:r>
      <w:r w:rsidR="009B66B5">
        <w:t xml:space="preserve"> z </w:t>
      </w:r>
      <w:r>
        <w:t>prvních hmatatelných kroků</w:t>
      </w:r>
      <w:r w:rsidR="009B66B5">
        <w:t xml:space="preserve"> v </w:t>
      </w:r>
      <w:r>
        <w:t>rámci synergického propojování dvou strategických konceptů EU – Evropského výzkumného prostoru (ERA)</w:t>
      </w:r>
      <w:r w:rsidR="009B66B5">
        <w:t xml:space="preserve"> a </w:t>
      </w:r>
      <w:r>
        <w:t>Evropského vzdělávacího prostoru (EEA).</w:t>
      </w:r>
    </w:p>
    <w:p w14:paraId="2FA4DDD6" w14:textId="77777777" w:rsidR="00D060A7" w:rsidRDefault="0049077C" w:rsidP="005C25C6">
      <w:pPr>
        <w:pStyle w:val="Nadpis3"/>
      </w:pPr>
      <w:bookmarkStart w:id="43" w:name="_Toc114572328"/>
      <w:r>
        <w:t>Nástroje „Widening“</w:t>
      </w:r>
      <w:bookmarkEnd w:id="43"/>
    </w:p>
    <w:p w14:paraId="62DF351B" w14:textId="77777777" w:rsidR="00E962FD" w:rsidRDefault="00E962FD" w:rsidP="00E962FD">
      <w:r>
        <w:t xml:space="preserve">Řada českých </w:t>
      </w:r>
      <w:r w:rsidR="0040318E">
        <w:t xml:space="preserve">výzkumných organizací </w:t>
      </w:r>
      <w:r>
        <w:t>úspěšně využila možností</w:t>
      </w:r>
      <w:r w:rsidR="009B66B5">
        <w:t xml:space="preserve"> a </w:t>
      </w:r>
      <w:r>
        <w:t xml:space="preserve">nástrojů, které nabízel </w:t>
      </w:r>
      <w:r w:rsidR="00493F5A">
        <w:t xml:space="preserve">RP </w:t>
      </w:r>
      <w:r>
        <w:t>Horizont 2020</w:t>
      </w:r>
      <w:r w:rsidR="009B66B5">
        <w:t xml:space="preserve"> v </w:t>
      </w:r>
      <w:r>
        <w:t>oblasti Šíření excelence</w:t>
      </w:r>
      <w:r w:rsidR="009B66B5">
        <w:t xml:space="preserve"> a </w:t>
      </w:r>
      <w:r>
        <w:t xml:space="preserve">rozšiřování účasti. </w:t>
      </w:r>
      <w:r w:rsidR="00772E35">
        <w:t>Cílem této</w:t>
      </w:r>
      <w:r>
        <w:t xml:space="preserve"> část</w:t>
      </w:r>
      <w:r w:rsidR="00772E35">
        <w:t xml:space="preserve">i </w:t>
      </w:r>
      <w:r w:rsidR="0040318E">
        <w:t xml:space="preserve">RP </w:t>
      </w:r>
      <w:r w:rsidR="00772E35">
        <w:t xml:space="preserve">je </w:t>
      </w:r>
      <w:r>
        <w:t>snižování přetrvávajících rozdílů ve výkonnosti výzkumu</w:t>
      </w:r>
      <w:r w:rsidR="009B66B5">
        <w:t xml:space="preserve"> a </w:t>
      </w:r>
      <w:r>
        <w:t>inovací</w:t>
      </w:r>
      <w:r w:rsidR="009B66B5">
        <w:t xml:space="preserve"> v </w:t>
      </w:r>
      <w:r w:rsidR="0040318E">
        <w:t>Evropě</w:t>
      </w:r>
      <w:r>
        <w:t xml:space="preserve"> prostřednictvím sdílení znalostí</w:t>
      </w:r>
      <w:r w:rsidR="009B66B5">
        <w:t xml:space="preserve"> a </w:t>
      </w:r>
      <w:r>
        <w:t>odborných poznatků napříč EU. Čtyři hlavní nástroje známé již</w:t>
      </w:r>
      <w:r w:rsidR="009B66B5">
        <w:t xml:space="preserve"> z </w:t>
      </w:r>
      <w:r>
        <w:t>H</w:t>
      </w:r>
      <w:r w:rsidR="0040318E">
        <w:t xml:space="preserve">orizontu </w:t>
      </w:r>
      <w:r>
        <w:t>2020 (TEAMING, TWINNING, ERA Chairs</w:t>
      </w:r>
      <w:r w:rsidR="009B66B5">
        <w:t xml:space="preserve"> a </w:t>
      </w:r>
      <w:r>
        <w:t>program COST) jsou</w:t>
      </w:r>
      <w:r w:rsidR="009B66B5">
        <w:t xml:space="preserve"> v </w:t>
      </w:r>
      <w:r w:rsidR="0040318E">
        <w:t xml:space="preserve">Horizontu Evropa </w:t>
      </w:r>
      <w:r>
        <w:t>doplněny</w:t>
      </w:r>
      <w:r w:rsidR="009B66B5">
        <w:t xml:space="preserve"> o </w:t>
      </w:r>
      <w:r>
        <w:t>nové aktivity</w:t>
      </w:r>
      <w:r w:rsidR="009B66B5">
        <w:t xml:space="preserve"> a </w:t>
      </w:r>
      <w:r>
        <w:t>služby, které jsou financovány</w:t>
      </w:r>
      <w:r w:rsidR="009B66B5">
        <w:t xml:space="preserve"> z </w:t>
      </w:r>
      <w:r>
        <w:t>části „Rozšiřování účasti</w:t>
      </w:r>
      <w:r w:rsidR="009B66B5">
        <w:t xml:space="preserve"> a </w:t>
      </w:r>
      <w:r>
        <w:t xml:space="preserve">šíření excelence“. Nástroje </w:t>
      </w:r>
      <w:r w:rsidR="0040318E">
        <w:t xml:space="preserve">tzv. </w:t>
      </w:r>
      <w:r>
        <w:t>Widening slouží</w:t>
      </w:r>
      <w:r w:rsidR="009B66B5">
        <w:t xml:space="preserve"> k </w:t>
      </w:r>
      <w:r>
        <w:t>většímu otevření evropských sítí výzkumu</w:t>
      </w:r>
      <w:r w:rsidR="009B66B5">
        <w:t xml:space="preserve"> a </w:t>
      </w:r>
      <w:r>
        <w:t>inovací</w:t>
      </w:r>
      <w:r w:rsidR="009B66B5">
        <w:t xml:space="preserve"> a </w:t>
      </w:r>
      <w:r>
        <w:t>přispívají ke zkvalitnění kapacit</w:t>
      </w:r>
      <w:r w:rsidR="009B66B5">
        <w:t xml:space="preserve"> v </w:t>
      </w:r>
      <w:r>
        <w:t xml:space="preserve">oblasti řízení </w:t>
      </w:r>
      <w:r w:rsidR="0040318E">
        <w:t>VaVaI</w:t>
      </w:r>
      <w:r w:rsidR="009B66B5">
        <w:t xml:space="preserve"> v </w:t>
      </w:r>
      <w:r>
        <w:t>zemích způsobilých ucházet se</w:t>
      </w:r>
      <w:r w:rsidR="009B66B5">
        <w:t xml:space="preserve"> o </w:t>
      </w:r>
      <w:r>
        <w:t>granty pro rozšiřování účasti. Způsobilými zeměmi je 13</w:t>
      </w:r>
      <w:r w:rsidR="00E3015B">
        <w:t xml:space="preserve"> tzv.</w:t>
      </w:r>
      <w:r w:rsidR="00772E35">
        <w:t xml:space="preserve"> nových členských států </w:t>
      </w:r>
      <w:r w:rsidR="00E3015B">
        <w:t>EU</w:t>
      </w:r>
      <w:r w:rsidR="009B66B5">
        <w:t xml:space="preserve"> a </w:t>
      </w:r>
      <w:r>
        <w:t>Portugalsko</w:t>
      </w:r>
      <w:r w:rsidR="009B66B5">
        <w:t xml:space="preserve"> a </w:t>
      </w:r>
      <w:r>
        <w:t>Řecko, 9 nejvzdálenějších regionů EU</w:t>
      </w:r>
      <w:r w:rsidR="009B66B5">
        <w:t xml:space="preserve"> a </w:t>
      </w:r>
      <w:r>
        <w:t>vybrané třetí země přidružené</w:t>
      </w:r>
      <w:r w:rsidR="009B66B5">
        <w:t xml:space="preserve"> k </w:t>
      </w:r>
      <w:r w:rsidR="00E3015B">
        <w:t>Horizontu Evropa</w:t>
      </w:r>
      <w:r>
        <w:t>. Cílem nastavených opatření je mj.</w:t>
      </w:r>
      <w:r w:rsidR="00772E35">
        <w:t xml:space="preserve"> zvrátit trend uzavřených forem/</w:t>
      </w:r>
      <w:r>
        <w:t>klubů spolupráce, které mohou vyloučit velký počet slibných institucí</w:t>
      </w:r>
      <w:r w:rsidR="009B66B5">
        <w:t xml:space="preserve"> a </w:t>
      </w:r>
      <w:r>
        <w:t xml:space="preserve">jednotlivců, včetně nováčků. </w:t>
      </w:r>
    </w:p>
    <w:p w14:paraId="280528E6" w14:textId="77777777" w:rsidR="00E962FD" w:rsidRDefault="00E962FD" w:rsidP="00E962FD">
      <w:r>
        <w:t xml:space="preserve">Hlavními nástroji </w:t>
      </w:r>
      <w:r w:rsidR="00193E5B">
        <w:t xml:space="preserve">tzv. </w:t>
      </w:r>
      <w:r>
        <w:t>Widening jsou:</w:t>
      </w:r>
    </w:p>
    <w:p w14:paraId="68FEBC18" w14:textId="77777777" w:rsidR="00E962FD" w:rsidRDefault="00E962FD" w:rsidP="00E962FD">
      <w:r w:rsidRPr="00E351F8">
        <w:rPr>
          <w:b/>
          <w:bCs/>
        </w:rPr>
        <w:lastRenderedPageBreak/>
        <w:t>Teaming</w:t>
      </w:r>
      <w:r>
        <w:t>: cílem je vytvořit nová nebo modernizovat stávající centra excelence ve způsobilých zemích</w:t>
      </w:r>
      <w:r w:rsidR="009B66B5">
        <w:t xml:space="preserve"> a </w:t>
      </w:r>
      <w:r>
        <w:t>stavět na partnerstvích mezi předními vědeckými institucemi</w:t>
      </w:r>
      <w:r w:rsidR="009B66B5">
        <w:t xml:space="preserve"> a </w:t>
      </w:r>
      <w:r>
        <w:t>partnerskými institucemi ve způsobilých zemích</w:t>
      </w:r>
      <w:r w:rsidR="00EF2813">
        <w:t>,</w:t>
      </w:r>
    </w:p>
    <w:p w14:paraId="0F82DBEF" w14:textId="77777777" w:rsidR="00E962FD" w:rsidRDefault="00E962FD" w:rsidP="00E962FD">
      <w:r w:rsidRPr="00E351F8">
        <w:rPr>
          <w:b/>
          <w:bCs/>
        </w:rPr>
        <w:t>Twinning</w:t>
      </w:r>
      <w:r>
        <w:t>: výrazně posílí vysoké školy nebo výzkumné instituce ze způsobilých zemí ve vybraném oboru prostřednictvím propojení</w:t>
      </w:r>
      <w:r w:rsidR="009B66B5">
        <w:t xml:space="preserve"> s </w:t>
      </w:r>
      <w:r>
        <w:t>předními výzkumnými institucemi</w:t>
      </w:r>
      <w:r w:rsidR="009B66B5">
        <w:t xml:space="preserve"> v </w:t>
      </w:r>
      <w:r>
        <w:t>jiných členských státech nebo zemí</w:t>
      </w:r>
      <w:r w:rsidR="00EF2813">
        <w:t>ch</w:t>
      </w:r>
      <w:r>
        <w:t xml:space="preserve"> přidružených</w:t>
      </w:r>
      <w:r w:rsidR="009B66B5">
        <w:t xml:space="preserve"> k </w:t>
      </w:r>
      <w:r w:rsidR="00E3015B">
        <w:t>Horizontu Evropa</w:t>
      </w:r>
      <w:r w:rsidR="00EF2813">
        <w:t>,</w:t>
      </w:r>
    </w:p>
    <w:p w14:paraId="2A3C12ED" w14:textId="77777777" w:rsidR="00E962FD" w:rsidRDefault="00E962FD" w:rsidP="00E962FD">
      <w:r w:rsidRPr="00E351F8">
        <w:rPr>
          <w:b/>
          <w:bCs/>
        </w:rPr>
        <w:t>ERA Chairs</w:t>
      </w:r>
      <w:r>
        <w:t>: nástroj napomůže vysokým školám nebo výzkumným institucím ze způsobilých zemí přilákat</w:t>
      </w:r>
      <w:r w:rsidR="009B66B5">
        <w:t xml:space="preserve"> a </w:t>
      </w:r>
      <w:r>
        <w:t>udržet si vysoce kvalitní lidské zdroje pod vedením vynikajícího výzkumného pracovníka</w:t>
      </w:r>
      <w:r w:rsidR="009B66B5">
        <w:t xml:space="preserve"> s </w:t>
      </w:r>
      <w:r>
        <w:t>manažerskými dovednostmi</w:t>
      </w:r>
      <w:r w:rsidR="009B66B5">
        <w:t xml:space="preserve"> a </w:t>
      </w:r>
      <w:r>
        <w:t>provést trvalé strukturální změny pro dosažení excelence</w:t>
      </w:r>
      <w:r w:rsidR="00EF2813">
        <w:t>,</w:t>
      </w:r>
    </w:p>
    <w:p w14:paraId="5DAEE34A" w14:textId="77777777" w:rsidR="00E962FD" w:rsidRDefault="00E962FD" w:rsidP="00E962FD">
      <w:r w:rsidRPr="00E351F8">
        <w:rPr>
          <w:b/>
          <w:bCs/>
        </w:rPr>
        <w:t>COST</w:t>
      </w:r>
      <w:r>
        <w:t>: program evropské spolupráce</w:t>
      </w:r>
      <w:r w:rsidR="009B66B5">
        <w:t xml:space="preserve"> v </w:t>
      </w:r>
      <w:r>
        <w:t>oblasti vědy</w:t>
      </w:r>
      <w:r w:rsidR="009B66B5">
        <w:t xml:space="preserve"> a </w:t>
      </w:r>
      <w:r>
        <w:t>techniky, zahrnuje opatření pro začlenění způsobilých zemí</w:t>
      </w:r>
      <w:r w:rsidR="009B66B5">
        <w:t xml:space="preserve"> a </w:t>
      </w:r>
      <w:r>
        <w:t>podmínky pro navazování vědeckých kontaktů, budování kapacit</w:t>
      </w:r>
      <w:r w:rsidR="009B66B5">
        <w:t xml:space="preserve"> a </w:t>
      </w:r>
      <w:r>
        <w:t>kariérní rozvoj mladých</w:t>
      </w:r>
      <w:r w:rsidR="009B66B5">
        <w:t xml:space="preserve"> i </w:t>
      </w:r>
      <w:r>
        <w:t>zkušených výzkumných pracovníků</w:t>
      </w:r>
      <w:r w:rsidR="009B66B5">
        <w:t xml:space="preserve"> z </w:t>
      </w:r>
      <w:r>
        <w:t>těchto zemí; na uvedená opatření bude věnováno 80</w:t>
      </w:r>
      <w:r w:rsidR="00EF2813">
        <w:t xml:space="preserve"> </w:t>
      </w:r>
      <w:r>
        <w:t>% celkového rozpočtu programu COST</w:t>
      </w:r>
      <w:r w:rsidR="00EF2813">
        <w:t>,</w:t>
      </w:r>
    </w:p>
    <w:p w14:paraId="19527BE1" w14:textId="77777777" w:rsidR="00E962FD" w:rsidRDefault="00E962FD" w:rsidP="00E962FD">
      <w:r w:rsidRPr="00E351F8">
        <w:rPr>
          <w:b/>
          <w:bCs/>
        </w:rPr>
        <w:t>Hop On</w:t>
      </w:r>
      <w:r>
        <w:t>: umožňuje přizvání jednoho partnera</w:t>
      </w:r>
      <w:r w:rsidR="009B66B5">
        <w:t xml:space="preserve"> z </w:t>
      </w:r>
      <w:r w:rsidR="00E3015B">
        <w:t xml:space="preserve">tzv. </w:t>
      </w:r>
      <w:r>
        <w:t>Widening země ke konsorciu projektu typu výzkumná</w:t>
      </w:r>
      <w:r w:rsidR="009B66B5">
        <w:t xml:space="preserve"> a </w:t>
      </w:r>
      <w:r>
        <w:t>inovační akce (RIA), které ve výzvách klastrů Pilíře 2 či nástroje EIC Pathfinder uspělo, má podepsanou grantovou dohodu</w:t>
      </w:r>
      <w:r w:rsidR="009B66B5">
        <w:t xml:space="preserve"> a </w:t>
      </w:r>
      <w:r>
        <w:t>nemá dosud ž</w:t>
      </w:r>
      <w:r w:rsidR="00EF2813">
        <w:t>ádného partnera</w:t>
      </w:r>
      <w:r w:rsidR="009B66B5">
        <w:t xml:space="preserve"> z </w:t>
      </w:r>
      <w:r w:rsidR="00E3015B">
        <w:t xml:space="preserve">tzv. </w:t>
      </w:r>
      <w:r w:rsidR="00EF2813">
        <w:t>Widening země,</w:t>
      </w:r>
    </w:p>
    <w:p w14:paraId="0C673318" w14:textId="77777777" w:rsidR="00E962FD" w:rsidRDefault="00E962FD" w:rsidP="00E962FD">
      <w:r w:rsidRPr="00E351F8">
        <w:rPr>
          <w:b/>
          <w:bCs/>
        </w:rPr>
        <w:t>Iniciativa pro evropskou excelenci</w:t>
      </w:r>
      <w:r>
        <w:t xml:space="preserve"> na vysokoškolských institucích: napomůže budování kapacit pro posílení sítí </w:t>
      </w:r>
      <w:r w:rsidR="00E3015B">
        <w:t>vysokých škol</w:t>
      </w:r>
      <w:r w:rsidR="009B66B5">
        <w:t xml:space="preserve"> a </w:t>
      </w:r>
      <w:r>
        <w:t>spolupráci</w:t>
      </w:r>
      <w:r w:rsidR="009B66B5">
        <w:t xml:space="preserve"> s </w:t>
      </w:r>
      <w:r>
        <w:t>okolními ekosystémy</w:t>
      </w:r>
      <w:r w:rsidR="00EF2813">
        <w:t>,</w:t>
      </w:r>
    </w:p>
    <w:p w14:paraId="6E1FD6B7" w14:textId="77777777" w:rsidR="00E962FD" w:rsidRDefault="00E962FD" w:rsidP="00E962FD">
      <w:r w:rsidRPr="00E351F8">
        <w:rPr>
          <w:b/>
          <w:bCs/>
        </w:rPr>
        <w:t>Huby excelence</w:t>
      </w:r>
      <w:r>
        <w:rPr>
          <w:b/>
          <w:bCs/>
        </w:rPr>
        <w:t>:</w:t>
      </w:r>
      <w:r>
        <w:t xml:space="preserve"> přispějí</w:t>
      </w:r>
      <w:r w:rsidR="009B66B5">
        <w:t xml:space="preserve"> k </w:t>
      </w:r>
      <w:r>
        <w:t>propojení inovačních ekosystémů</w:t>
      </w:r>
      <w:r w:rsidR="00E3015B">
        <w:t xml:space="preserve"> tzv.</w:t>
      </w:r>
      <w:r>
        <w:t xml:space="preserve"> Widening zemí</w:t>
      </w:r>
      <w:r w:rsidR="009B66B5">
        <w:t xml:space="preserve"> a </w:t>
      </w:r>
      <w:r>
        <w:t>vytvoření užší vazby mezi akademickou obcí, podnikatelskou sférou, veřejnými orgány</w:t>
      </w:r>
      <w:r w:rsidR="009B66B5">
        <w:t xml:space="preserve"> a </w:t>
      </w:r>
      <w:r>
        <w:t>společností</w:t>
      </w:r>
      <w:r w:rsidR="00EF2813">
        <w:t>,</w:t>
      </w:r>
    </w:p>
    <w:p w14:paraId="567D10C2" w14:textId="77777777" w:rsidR="00E962FD" w:rsidRDefault="00E962FD" w:rsidP="00E962FD">
      <w:r w:rsidRPr="00E351F8">
        <w:rPr>
          <w:b/>
          <w:bCs/>
        </w:rPr>
        <w:t>ERA Fellowships</w:t>
      </w:r>
      <w:r>
        <w:rPr>
          <w:b/>
          <w:bCs/>
        </w:rPr>
        <w:t>:</w:t>
      </w:r>
      <w:r>
        <w:t xml:space="preserve"> podporují individuální granty pro postdoktorandy realizované</w:t>
      </w:r>
      <w:r w:rsidR="009B66B5">
        <w:t xml:space="preserve"> v </w:t>
      </w:r>
      <w:r w:rsidR="00E3015B">
        <w:t>tzv.</w:t>
      </w:r>
      <w:r>
        <w:t xml:space="preserve"> Widening zemích, žádosti se podávají do výzev MSCA Postdoctoral Fellowships</w:t>
      </w:r>
      <w:r w:rsidR="00EF2813">
        <w:t>,</w:t>
      </w:r>
    </w:p>
    <w:p w14:paraId="16F8BA12" w14:textId="77777777" w:rsidR="00E962FD" w:rsidRDefault="00E962FD" w:rsidP="00E962FD">
      <w:r w:rsidRPr="00E351F8">
        <w:rPr>
          <w:b/>
          <w:bCs/>
        </w:rPr>
        <w:t>ERA Talents</w:t>
      </w:r>
      <w:r w:rsidR="00CD1DC1">
        <w:t xml:space="preserve">: </w:t>
      </w:r>
      <w:r>
        <w:t xml:space="preserve">posílení </w:t>
      </w:r>
      <w:r w:rsidR="0038703A">
        <w:t>mezisektorové spolupráce</w:t>
      </w:r>
      <w:r w:rsidR="005B46B3">
        <w:t xml:space="preserve"> mezi akademickým</w:t>
      </w:r>
      <w:r w:rsidR="009B66B5">
        <w:t xml:space="preserve"> a </w:t>
      </w:r>
      <w:r w:rsidR="005B46B3">
        <w:t>neakademickým sektorem</w:t>
      </w:r>
      <w:r w:rsidR="009B66B5">
        <w:t xml:space="preserve"> a </w:t>
      </w:r>
      <w:r w:rsidR="005F13BC">
        <w:t>př</w:t>
      </w:r>
      <w:r w:rsidR="00586F28">
        <w:t>il</w:t>
      </w:r>
      <w:r w:rsidR="005F13BC">
        <w:t>ákání talentů</w:t>
      </w:r>
      <w:r w:rsidR="00586F28">
        <w:t xml:space="preserve"> </w:t>
      </w:r>
      <w:r w:rsidR="00B85D4A">
        <w:t xml:space="preserve">do </w:t>
      </w:r>
      <w:r w:rsidR="00E3015B">
        <w:t xml:space="preserve">tzv. </w:t>
      </w:r>
      <w:r w:rsidR="0062055D">
        <w:t>W</w:t>
      </w:r>
      <w:r w:rsidR="00B85D4A">
        <w:t>idening</w:t>
      </w:r>
      <w:r>
        <w:t xml:space="preserve"> </w:t>
      </w:r>
      <w:r w:rsidR="00E3015B">
        <w:t xml:space="preserve">zemí </w:t>
      </w:r>
      <w:r>
        <w:t>(nástroj</w:t>
      </w:r>
      <w:r w:rsidR="009B66B5">
        <w:t xml:space="preserve"> v </w:t>
      </w:r>
      <w:r>
        <w:t>přípravě).</w:t>
      </w:r>
    </w:p>
    <w:p w14:paraId="5F0704FA" w14:textId="77777777" w:rsidR="005C25C6" w:rsidRPr="005C25C6" w:rsidRDefault="005C25C6" w:rsidP="005515AB">
      <w:pPr>
        <w:pStyle w:val="Nadpis2"/>
      </w:pPr>
      <w:bookmarkStart w:id="44" w:name="_Toc114572329"/>
      <w:r>
        <w:t>Závěr</w:t>
      </w:r>
      <w:bookmarkEnd w:id="44"/>
    </w:p>
    <w:p w14:paraId="3BF9CB1A" w14:textId="77777777" w:rsidR="00672C90" w:rsidRPr="00672C90" w:rsidRDefault="00672C90" w:rsidP="00672C90">
      <w:r w:rsidRPr="00672C90">
        <w:t>Dostatečná motivace výzkumných subjektů</w:t>
      </w:r>
      <w:r w:rsidR="009B66B5">
        <w:t xml:space="preserve"> i </w:t>
      </w:r>
      <w:r w:rsidRPr="00672C90">
        <w:t>samotných výzkumníků</w:t>
      </w:r>
      <w:r w:rsidR="009B66B5">
        <w:t xml:space="preserve"> k </w:t>
      </w:r>
      <w:r w:rsidRPr="00672C90">
        <w:t>zapojení do mezinárodní spolupráce je základním předpokladem pro zvýšení účasti ČR</w:t>
      </w:r>
      <w:r w:rsidR="009B66B5">
        <w:t xml:space="preserve"> v </w:t>
      </w:r>
      <w:r w:rsidRPr="00672C90">
        <w:t xml:space="preserve"> Horizont</w:t>
      </w:r>
      <w:r w:rsidR="00E3015B">
        <w:t>u</w:t>
      </w:r>
      <w:r w:rsidRPr="00672C90">
        <w:t xml:space="preserve"> Evropa. Posouzení systémů hodnocení podle Metodiky 17+ ukazuje, že rozsah</w:t>
      </w:r>
      <w:r w:rsidR="009B66B5">
        <w:t xml:space="preserve"> a </w:t>
      </w:r>
      <w:r w:rsidRPr="00672C90">
        <w:t>kvalita mezinárodní spolupráce</w:t>
      </w:r>
      <w:r w:rsidR="009B66B5">
        <w:t xml:space="preserve"> a </w:t>
      </w:r>
      <w:r w:rsidRPr="00672C90">
        <w:t>internacionalizace sice patří mezi hodnocená kritéria jak</w:t>
      </w:r>
      <w:r w:rsidR="009B66B5">
        <w:t xml:space="preserve"> v </w:t>
      </w:r>
      <w:r w:rsidRPr="00672C90">
        <w:t>případě hodnocení vysokých škol, tak</w:t>
      </w:r>
      <w:r w:rsidR="009B66B5">
        <w:t xml:space="preserve"> i v </w:t>
      </w:r>
      <w:r w:rsidRPr="00672C90">
        <w:t>hodnocení výzkumně orientovaných pracovišť AV ČR</w:t>
      </w:r>
      <w:r w:rsidR="009B66B5">
        <w:t xml:space="preserve"> a </w:t>
      </w:r>
      <w:r w:rsidRPr="00672C90">
        <w:t>jednotlivých vědeckých týmů, ale význam mezinárodní spolupráce</w:t>
      </w:r>
      <w:r w:rsidR="009B66B5">
        <w:t xml:space="preserve"> v </w:t>
      </w:r>
      <w:r w:rsidRPr="00672C90">
        <w:t xml:space="preserve">souboru hodnocených kritérií je velmi omezený. </w:t>
      </w:r>
    </w:p>
    <w:p w14:paraId="78F166C1" w14:textId="77777777" w:rsidR="00672C90" w:rsidRPr="00672C90" w:rsidRDefault="00672C90" w:rsidP="00672C90">
      <w:r w:rsidRPr="00672C90">
        <w:t>Hodnocení obou typů institucí klade dominantně důraz na posuzování kvality</w:t>
      </w:r>
      <w:r w:rsidR="009B66B5">
        <w:t xml:space="preserve"> a </w:t>
      </w:r>
      <w:r w:rsidRPr="00672C90">
        <w:t>společenské relevance výsledků VaV</w:t>
      </w:r>
      <w:r w:rsidR="00E3015B">
        <w:t>aI</w:t>
      </w:r>
      <w:r w:rsidRPr="00672C90">
        <w:t>,</w:t>
      </w:r>
      <w:r w:rsidR="009B66B5">
        <w:t xml:space="preserve"> k </w:t>
      </w:r>
      <w:r w:rsidRPr="00672C90">
        <w:t>čemuž internacionalizace výzkumných aktivit bezesporu přispívá (viz také závěry analýzy</w:t>
      </w:r>
      <w:r w:rsidR="009B66B5">
        <w:t xml:space="preserve"> v </w:t>
      </w:r>
      <w:r w:rsidRPr="00672C90">
        <w:t>kap. 2). V souhrnném hodnocení vysokých škol má dominantní vliv hodnocení</w:t>
      </w:r>
      <w:r w:rsidR="009B66B5">
        <w:t xml:space="preserve"> v </w:t>
      </w:r>
      <w:r w:rsidRPr="00672C90">
        <w:t>M1</w:t>
      </w:r>
      <w:r w:rsidR="009B66B5">
        <w:t xml:space="preserve"> a </w:t>
      </w:r>
      <w:r w:rsidRPr="00672C90">
        <w:t xml:space="preserve">M2, tedy hodnocení výsledků </w:t>
      </w:r>
      <w:r w:rsidR="00E3015B">
        <w:t>VaVaI</w:t>
      </w:r>
      <w:r w:rsidRPr="00672C90">
        <w:t>. Mezinárodní spolupráce je zohledněna primárně</w:t>
      </w:r>
      <w:r w:rsidR="009B66B5">
        <w:t xml:space="preserve"> v </w:t>
      </w:r>
      <w:r w:rsidRPr="00672C90">
        <w:t>M4,</w:t>
      </w:r>
      <w:r w:rsidR="009B66B5">
        <w:t xml:space="preserve"> i </w:t>
      </w:r>
      <w:r w:rsidRPr="00672C90">
        <w:t>zde je však hodnocení mezinárodní spolupráce</w:t>
      </w:r>
      <w:r w:rsidR="009B66B5">
        <w:t xml:space="preserve"> a </w:t>
      </w:r>
      <w:r w:rsidRPr="00672C90">
        <w:t>internaci</w:t>
      </w:r>
      <w:r w:rsidRPr="00672C90">
        <w:lastRenderedPageBreak/>
        <w:t>onalizace výzkumu spíše marginální. V případě hodnocení výzkumně orientovaných pracovišť AV ČR nepatří mezinárodní spolupráce</w:t>
      </w:r>
      <w:r w:rsidR="009B66B5">
        <w:t xml:space="preserve"> a </w:t>
      </w:r>
      <w:r w:rsidRPr="00672C90">
        <w:t>internacionalizace mezi hlavní hodnocená kritéria. Malý důraz na hodnocení rozsahu</w:t>
      </w:r>
      <w:r w:rsidR="009B66B5">
        <w:t xml:space="preserve"> a </w:t>
      </w:r>
      <w:r w:rsidRPr="00672C90">
        <w:t>kvality mezinárodní spolupráce</w:t>
      </w:r>
      <w:r w:rsidR="009B66B5">
        <w:t xml:space="preserve"> v </w:t>
      </w:r>
      <w:r w:rsidRPr="00672C90">
        <w:t>systémech hodnocení vysokých škol</w:t>
      </w:r>
      <w:r w:rsidR="009B66B5">
        <w:t xml:space="preserve"> i </w:t>
      </w:r>
      <w:r w:rsidRPr="00672C90">
        <w:t>výzkumně orientovaných pracovišť AV ČR tak nevytváří jasný impuls pro větší</w:t>
      </w:r>
      <w:r w:rsidR="00EF1829">
        <w:t xml:space="preserve"> otevřenost</w:t>
      </w:r>
      <w:r w:rsidR="009B66B5">
        <w:t xml:space="preserve"> a </w:t>
      </w:r>
      <w:r w:rsidR="00EF1829">
        <w:t>internacionalizaci</w:t>
      </w:r>
      <w:r w:rsidRPr="00672C90">
        <w:t xml:space="preserve"> prostředí</w:t>
      </w:r>
      <w:r w:rsidR="009B66B5">
        <w:t xml:space="preserve"> v </w:t>
      </w:r>
      <w:r w:rsidRPr="00672C90">
        <w:t>těchto výzkumných organizacích, které tvoří dominantní část systému veřejného výzkum</w:t>
      </w:r>
      <w:r w:rsidR="00E3015B">
        <w:t>ného sektoru</w:t>
      </w:r>
      <w:r w:rsidR="009B66B5">
        <w:t xml:space="preserve"> v </w:t>
      </w:r>
      <w:r w:rsidRPr="00672C90">
        <w:t xml:space="preserve">ČR. </w:t>
      </w:r>
    </w:p>
    <w:p w14:paraId="5FFFF0CC" w14:textId="77777777" w:rsidR="00672C90" w:rsidRPr="00672C90" w:rsidRDefault="00672C90" w:rsidP="00672C90">
      <w:r w:rsidRPr="00672C90">
        <w:t xml:space="preserve">Z dotazníkového šetření provedeného mezi </w:t>
      </w:r>
      <w:r w:rsidR="00A73492">
        <w:t>výzkumnými organizacemi</w:t>
      </w:r>
      <w:r w:rsidR="00A73492" w:rsidRPr="00672C90">
        <w:t xml:space="preserve"> </w:t>
      </w:r>
      <w:r w:rsidRPr="00672C90">
        <w:t>vyplynulo, že nejvýznamnějším motivem pro účast</w:t>
      </w:r>
      <w:r w:rsidR="009B66B5">
        <w:t xml:space="preserve"> v </w:t>
      </w:r>
      <w:r w:rsidR="00A73492">
        <w:t>RP</w:t>
      </w:r>
      <w:r w:rsidRPr="00672C90">
        <w:t xml:space="preserve"> je získání finančních prostředků na </w:t>
      </w:r>
      <w:r w:rsidR="00A73492">
        <w:t>VaVaI</w:t>
      </w:r>
      <w:r w:rsidRPr="00672C90">
        <w:t>. Velký význam má</w:t>
      </w:r>
      <w:r w:rsidR="009B66B5">
        <w:t xml:space="preserve"> i </w:t>
      </w:r>
      <w:r w:rsidRPr="00672C90">
        <w:t>rozvoj stávajících aktivit VaV</w:t>
      </w:r>
      <w:r w:rsidR="00A73492">
        <w:t>aI</w:t>
      </w:r>
      <w:r w:rsidRPr="00672C90">
        <w:t>, rozšiřování stávající spolupráce se zahraničním partnery či navázání spolupráce</w:t>
      </w:r>
      <w:r w:rsidR="009B66B5">
        <w:t xml:space="preserve"> s </w:t>
      </w:r>
      <w:r w:rsidRPr="00672C90">
        <w:t>novými partnery. Ve většině institucí je také již vytvořen interní systém, kter</w:t>
      </w:r>
      <w:r w:rsidR="00BD208C">
        <w:t>ý výzkumné pracovníky motivuje</w:t>
      </w:r>
      <w:r w:rsidR="009B66B5">
        <w:t xml:space="preserve"> k </w:t>
      </w:r>
      <w:r w:rsidRPr="00672C90">
        <w:t>zapojení do mezinárodní spolupráce ve VaV</w:t>
      </w:r>
      <w:r w:rsidR="00A73492">
        <w:t>aI</w:t>
      </w:r>
      <w:r w:rsidRPr="00672C90">
        <w:t>. Kromě finanční odměny za účast</w:t>
      </w:r>
      <w:r w:rsidR="009B66B5">
        <w:t xml:space="preserve"> v </w:t>
      </w:r>
      <w:r w:rsidRPr="00672C90">
        <w:t>mezinárodním projektu je</w:t>
      </w:r>
      <w:r w:rsidR="009B66B5">
        <w:t xml:space="preserve"> v </w:t>
      </w:r>
      <w:r w:rsidRPr="00672C90">
        <w:t>některých institucích podání mezinárodního projektu zohledněno</w:t>
      </w:r>
      <w:r w:rsidR="009B66B5">
        <w:t xml:space="preserve"> v </w:t>
      </w:r>
      <w:r w:rsidRPr="00672C90">
        <w:t xml:space="preserve">hodnocení výzkumných pracovníků. </w:t>
      </w:r>
    </w:p>
    <w:p w14:paraId="78C5B785" w14:textId="77777777" w:rsidR="00672C90" w:rsidRPr="00672C90" w:rsidRDefault="00672C90" w:rsidP="00672C90">
      <w:r w:rsidRPr="00672C90">
        <w:t>Na druhou stranu se ukázalo, že pouze necelá třetina dotazovaných institucí má oblast mezinárodní spolupráce zařazenou do samostatného strategického dokumentu. Některé instituce mají problematiku mezinárodního VaV</w:t>
      </w:r>
      <w:r w:rsidR="00A73492">
        <w:t>aI</w:t>
      </w:r>
      <w:r w:rsidRPr="00672C90">
        <w:t xml:space="preserve"> zapracovánu</w:t>
      </w:r>
      <w:r w:rsidR="009B66B5">
        <w:t xml:space="preserve"> v </w:t>
      </w:r>
      <w:r w:rsidRPr="00672C90">
        <w:t>jiných strategicko-koncepčních dokumentech. V necelé polovině institucí není strategie mezinárodní výzkumné spolupráce zatím formalizována.</w:t>
      </w:r>
    </w:p>
    <w:p w14:paraId="541E5B5B" w14:textId="77777777" w:rsidR="00672C90" w:rsidRPr="00672C90" w:rsidRDefault="00672C90" w:rsidP="00672C90">
      <w:r w:rsidRPr="00672C90">
        <w:t xml:space="preserve">Pouze necelá pětina institucí má vytvořeno samostatné oddělení pro administraci mezinárodní výzkumné spolupráce, na dvou pětinách institucí je pro tyto činnosti </w:t>
      </w:r>
      <w:r w:rsidR="00A73492">
        <w:t>alespoň</w:t>
      </w:r>
      <w:r w:rsidRPr="00672C90">
        <w:t xml:space="preserve"> vytvořena samostatná pozice. Z šetření zároveň vyplynulo, že vytvoření tohoto administrativního zázemí může mít významný vliv na účast</w:t>
      </w:r>
      <w:r w:rsidR="009B66B5">
        <w:t xml:space="preserve"> v </w:t>
      </w:r>
      <w:r w:rsidRPr="00672C90">
        <w:t>mezinárodních projektech, neboť se ukázalo, že přibližně ve třech čtvrtinách institucí jsou překážkou pro zapojení do mezinárodní výzkumné spolupráce nedostatečné časové kapacity výzkumných pracovníků nebo jejich malé předcházející zkušenosti</w:t>
      </w:r>
      <w:r w:rsidR="009B66B5">
        <w:t xml:space="preserve"> s </w:t>
      </w:r>
      <w:r w:rsidRPr="00672C90">
        <w:t>realizací mezinárodních projektů.</w:t>
      </w:r>
    </w:p>
    <w:p w14:paraId="2BA39D95" w14:textId="77777777" w:rsidR="00672C90" w:rsidRPr="00672C90" w:rsidRDefault="00672C90" w:rsidP="00672C90">
      <w:r w:rsidRPr="00672C90">
        <w:t>Výzvou, před kterou ČR stojí, je také jak posílit svoji atraktivitu</w:t>
      </w:r>
      <w:r w:rsidR="009B66B5">
        <w:t xml:space="preserve"> v </w:t>
      </w:r>
      <w:r w:rsidRPr="00672C90">
        <w:t>evropském/světovém měřítku, ale</w:t>
      </w:r>
      <w:r w:rsidR="009B66B5">
        <w:t xml:space="preserve"> i </w:t>
      </w:r>
      <w:r w:rsidRPr="00672C90">
        <w:t>hledat cesty, jak motivovat své vědecké pracovníky</w:t>
      </w:r>
      <w:r w:rsidR="009B66B5">
        <w:t xml:space="preserve"> k </w:t>
      </w:r>
      <w:r w:rsidRPr="00672C90">
        <w:t>vědeckým pobytům</w:t>
      </w:r>
      <w:r w:rsidR="009B66B5">
        <w:t xml:space="preserve"> v </w:t>
      </w:r>
      <w:r w:rsidRPr="00672C90">
        <w:t>zahraničí, které obohatí jejich profesní životopis</w:t>
      </w:r>
      <w:r w:rsidR="009B66B5">
        <w:t xml:space="preserve"> a </w:t>
      </w:r>
      <w:r w:rsidRPr="00672C90">
        <w:t>otevřou dveře</w:t>
      </w:r>
      <w:r w:rsidR="009B66B5">
        <w:t xml:space="preserve"> k </w:t>
      </w:r>
      <w:r w:rsidRPr="00672C90">
        <w:t>dalším úspěchům</w:t>
      </w:r>
      <w:r w:rsidR="009B66B5">
        <w:t xml:space="preserve"> v </w:t>
      </w:r>
      <w:r w:rsidRPr="00672C90">
        <w:t>prestižních mezinárodních grantových soutěžích. Zároveň je nezbytné dbát na to, aby ti, kteří se rozhodnou načerpat zkušenosti</w:t>
      </w:r>
      <w:r w:rsidR="009B66B5">
        <w:t xml:space="preserve"> v </w:t>
      </w:r>
      <w:r w:rsidRPr="00672C90">
        <w:t>jiné zemi, měli zájem</w:t>
      </w:r>
      <w:r w:rsidR="009B66B5">
        <w:t xml:space="preserve"> o </w:t>
      </w:r>
      <w:r w:rsidRPr="00672C90">
        <w:t>návrat zpět do ČR.</w:t>
      </w:r>
    </w:p>
    <w:p w14:paraId="3EE129B5" w14:textId="77777777" w:rsidR="00672C90" w:rsidRPr="00672C90" w:rsidRDefault="00672C90" w:rsidP="00672C90">
      <w:r w:rsidRPr="00672C90">
        <w:t>Příležitostí pro zlepšení integrace zdejších výzkumných organizací do Evropského výzkumného prostoru je také využití nástrojů Horizontu Evropa</w:t>
      </w:r>
      <w:r w:rsidR="009B66B5">
        <w:t xml:space="preserve"> v </w:t>
      </w:r>
      <w:r w:rsidRPr="00672C90">
        <w:t xml:space="preserve">oblasti </w:t>
      </w:r>
      <w:r w:rsidR="00A73492">
        <w:t xml:space="preserve">tzv. </w:t>
      </w:r>
      <w:r w:rsidRPr="00672C90">
        <w:t>Widening, které slouží ke zkvalitnění vlastních výzkumných kapacit</w:t>
      </w:r>
      <w:r w:rsidR="009B66B5">
        <w:t xml:space="preserve"> a k </w:t>
      </w:r>
      <w:r w:rsidRPr="00672C90">
        <w:t>vyššímu zapojení do projektů Horizont</w:t>
      </w:r>
      <w:r w:rsidR="00A73492">
        <w:t>u</w:t>
      </w:r>
      <w:r w:rsidRPr="00672C90">
        <w:t xml:space="preserve"> Evropa</w:t>
      </w:r>
      <w:r w:rsidR="009B66B5">
        <w:t xml:space="preserve"> a </w:t>
      </w:r>
      <w:r w:rsidRPr="00672C90">
        <w:t>plnějšímu využití evropského talentového potenciálu.</w:t>
      </w:r>
    </w:p>
    <w:p w14:paraId="5F09D0A8" w14:textId="77777777" w:rsidR="00672C90" w:rsidRPr="00672C90" w:rsidRDefault="00672C90" w:rsidP="00672C90"/>
    <w:p w14:paraId="169696F3" w14:textId="77777777" w:rsidR="00672C90" w:rsidRDefault="00672C90" w:rsidP="0056050D"/>
    <w:p w14:paraId="2A299A8E" w14:textId="77777777" w:rsidR="0055562B" w:rsidRDefault="0055562B" w:rsidP="005515AB">
      <w:pPr>
        <w:pStyle w:val="Nadpis1"/>
      </w:pPr>
      <w:bookmarkStart w:id="45" w:name="_Toc114572330"/>
      <w:r>
        <w:lastRenderedPageBreak/>
        <w:t>Spolupráce</w:t>
      </w:r>
      <w:r w:rsidR="009B66B5">
        <w:t xml:space="preserve"> v </w:t>
      </w:r>
      <w:r>
        <w:t>rámci evropských partnerství, evropských platforem</w:t>
      </w:r>
      <w:r w:rsidR="009B66B5">
        <w:t xml:space="preserve"> a </w:t>
      </w:r>
      <w:r>
        <w:t>rad</w:t>
      </w:r>
      <w:bookmarkEnd w:id="45"/>
      <w:r>
        <w:t xml:space="preserve"> </w:t>
      </w:r>
    </w:p>
    <w:p w14:paraId="191B0EDB" w14:textId="77777777" w:rsidR="00AB5EB2" w:rsidRDefault="008444FF" w:rsidP="008444FF">
      <w:pPr>
        <w:spacing w:line="257" w:lineRule="auto"/>
      </w:pPr>
      <w:r w:rsidRPr="00633C0D">
        <w:rPr>
          <w:rFonts w:cs="Calibri"/>
        </w:rPr>
        <w:t xml:space="preserve">Evropská partnerství </w:t>
      </w:r>
      <w:r>
        <w:rPr>
          <w:rFonts w:cs="Calibri"/>
        </w:rPr>
        <w:t>j</w:t>
      </w:r>
      <w:r w:rsidRPr="00633C0D">
        <w:rPr>
          <w:rFonts w:cs="Calibri"/>
        </w:rPr>
        <w:t>sou klíčovým nástrojem realizace Horizont</w:t>
      </w:r>
      <w:r w:rsidR="001042B3">
        <w:rPr>
          <w:rFonts w:cs="Calibri"/>
        </w:rPr>
        <w:t>u</w:t>
      </w:r>
      <w:r w:rsidRPr="00633C0D">
        <w:rPr>
          <w:rFonts w:cs="Calibri"/>
        </w:rPr>
        <w:t xml:space="preserve"> Evropa</w:t>
      </w:r>
      <w:r w:rsidR="009B66B5">
        <w:rPr>
          <w:rFonts w:cs="Calibri"/>
        </w:rPr>
        <w:t xml:space="preserve"> a </w:t>
      </w:r>
      <w:r w:rsidRPr="00633C0D">
        <w:rPr>
          <w:rFonts w:cs="Calibri"/>
        </w:rPr>
        <w:t>významně přispívají</w:t>
      </w:r>
      <w:r w:rsidR="009B66B5">
        <w:rPr>
          <w:rFonts w:cs="Calibri"/>
        </w:rPr>
        <w:t xml:space="preserve"> k </w:t>
      </w:r>
      <w:r w:rsidRPr="00633C0D">
        <w:rPr>
          <w:rFonts w:cs="Calibri"/>
        </w:rPr>
        <w:t xml:space="preserve">dosažení politických priorit EU. Tím, že evropská partnerství spojují </w:t>
      </w:r>
      <w:r w:rsidR="001042B3">
        <w:rPr>
          <w:rFonts w:cs="Calibri"/>
        </w:rPr>
        <w:t xml:space="preserve">partnery ze </w:t>
      </w:r>
      <w:r w:rsidRPr="00633C0D">
        <w:rPr>
          <w:rFonts w:cs="Calibri"/>
        </w:rPr>
        <w:t>soukromé</w:t>
      </w:r>
      <w:r w:rsidR="009B66B5">
        <w:rPr>
          <w:rFonts w:cs="Calibri"/>
        </w:rPr>
        <w:t xml:space="preserve"> a </w:t>
      </w:r>
      <w:r w:rsidRPr="00633C0D">
        <w:rPr>
          <w:rFonts w:cs="Calibri"/>
        </w:rPr>
        <w:t xml:space="preserve">veřejné </w:t>
      </w:r>
      <w:r w:rsidR="001042B3">
        <w:rPr>
          <w:rFonts w:cs="Calibri"/>
        </w:rPr>
        <w:t>scény</w:t>
      </w:r>
      <w:r w:rsidRPr="00633C0D">
        <w:rPr>
          <w:rFonts w:cs="Calibri"/>
        </w:rPr>
        <w:t>, pomáhají přispívají ke snížení roztříštěnosti výzkumného</w:t>
      </w:r>
      <w:r w:rsidR="009B66B5">
        <w:rPr>
          <w:rFonts w:cs="Calibri"/>
        </w:rPr>
        <w:t xml:space="preserve"> a </w:t>
      </w:r>
      <w:r w:rsidRPr="00633C0D">
        <w:rPr>
          <w:rFonts w:cs="Calibri"/>
        </w:rPr>
        <w:t>inovačního prostředí</w:t>
      </w:r>
      <w:r w:rsidR="009B66B5">
        <w:rPr>
          <w:rFonts w:cs="Calibri"/>
        </w:rPr>
        <w:t xml:space="preserve"> v </w:t>
      </w:r>
      <w:r w:rsidRPr="00633C0D">
        <w:rPr>
          <w:rFonts w:cs="Calibri"/>
        </w:rPr>
        <w:t>EU</w:t>
      </w:r>
      <w:r w:rsidR="009B66B5">
        <w:rPr>
          <w:rFonts w:cs="Calibri"/>
        </w:rPr>
        <w:t xml:space="preserve"> a </w:t>
      </w:r>
      <w:r w:rsidR="001042B3">
        <w:rPr>
          <w:rFonts w:cs="Calibri"/>
        </w:rPr>
        <w:t>koncentraci kapacit VaVaI</w:t>
      </w:r>
      <w:r w:rsidRPr="00633C0D">
        <w:rPr>
          <w:rFonts w:cs="Calibri"/>
        </w:rPr>
        <w:t>.</w:t>
      </w:r>
      <w:r w:rsidR="00AB5EB2">
        <w:rPr>
          <w:rFonts w:cs="Calibri"/>
        </w:rPr>
        <w:t xml:space="preserve"> </w:t>
      </w:r>
      <w:r w:rsidRPr="3E8665BB">
        <w:rPr>
          <w:rFonts w:cs="Calibri"/>
        </w:rPr>
        <w:t xml:space="preserve">Evropská partnerství představují významnou složku implementace aktivit </w:t>
      </w:r>
      <w:r>
        <w:rPr>
          <w:rFonts w:cs="Calibri"/>
        </w:rPr>
        <w:t>především</w:t>
      </w:r>
      <w:r w:rsidR="009B66B5">
        <w:rPr>
          <w:rFonts w:cs="Calibri"/>
        </w:rPr>
        <w:t xml:space="preserve"> v </w:t>
      </w:r>
      <w:r w:rsidRPr="3E8665BB">
        <w:rPr>
          <w:rFonts w:cs="Calibri"/>
        </w:rPr>
        <w:t xml:space="preserve">průmyslovém </w:t>
      </w:r>
      <w:r w:rsidR="001042B3">
        <w:rPr>
          <w:rFonts w:cs="Calibri"/>
        </w:rPr>
        <w:t>p</w:t>
      </w:r>
      <w:r w:rsidRPr="3E8665BB">
        <w:rPr>
          <w:rFonts w:cs="Calibri"/>
        </w:rPr>
        <w:t xml:space="preserve">ilíři </w:t>
      </w:r>
      <w:r w:rsidR="001042B3">
        <w:rPr>
          <w:rFonts w:cs="Calibri"/>
        </w:rPr>
        <w:t>RP</w:t>
      </w:r>
      <w:r w:rsidRPr="3E8665BB">
        <w:rPr>
          <w:rFonts w:cs="Calibri"/>
        </w:rPr>
        <w:t xml:space="preserve">. </w:t>
      </w:r>
      <w:r>
        <w:rPr>
          <w:rFonts w:cs="Calibri"/>
        </w:rPr>
        <w:t>V Horizont</w:t>
      </w:r>
      <w:r w:rsidR="001042B3">
        <w:rPr>
          <w:rFonts w:cs="Calibri"/>
        </w:rPr>
        <w:t>u</w:t>
      </w:r>
      <w:r>
        <w:rPr>
          <w:rFonts w:cs="Calibri"/>
        </w:rPr>
        <w:t xml:space="preserve"> Evropa dosahuje finanční alokace pro evropská partnerství přibližně 25 %</w:t>
      </w:r>
      <w:r w:rsidR="009B66B5">
        <w:rPr>
          <w:rFonts w:cs="Calibri"/>
        </w:rPr>
        <w:t xml:space="preserve"> z </w:t>
      </w:r>
      <w:r>
        <w:rPr>
          <w:rFonts w:cs="Calibri"/>
        </w:rPr>
        <w:t xml:space="preserve">celkového rozpočtu </w:t>
      </w:r>
      <w:r w:rsidRPr="3E8665BB">
        <w:rPr>
          <w:rFonts w:cs="Calibri"/>
        </w:rPr>
        <w:t xml:space="preserve">95,5 mld. </w:t>
      </w:r>
      <w:r w:rsidR="00227887">
        <w:rPr>
          <w:rFonts w:cs="Calibri"/>
        </w:rPr>
        <w:t>eur</w:t>
      </w:r>
      <w:r>
        <w:rPr>
          <w:rFonts w:cs="Calibri"/>
        </w:rPr>
        <w:t>, přičemž</w:t>
      </w:r>
      <w:r w:rsidR="009B66B5">
        <w:rPr>
          <w:rFonts w:cs="Calibri"/>
        </w:rPr>
        <w:t xml:space="preserve"> v </w:t>
      </w:r>
      <w:r>
        <w:rPr>
          <w:rFonts w:cs="Calibri"/>
        </w:rPr>
        <w:t xml:space="preserve">samotném pilíři </w:t>
      </w:r>
      <w:r w:rsidRPr="3E8665BB">
        <w:rPr>
          <w:rFonts w:cs="Calibri"/>
        </w:rPr>
        <w:t>Global Challenges and European Industrial Competitivenes</w:t>
      </w:r>
      <w:r>
        <w:rPr>
          <w:rFonts w:cs="Calibri"/>
        </w:rPr>
        <w:t xml:space="preserve"> je</w:t>
      </w:r>
      <w:r w:rsidR="009B66B5">
        <w:rPr>
          <w:rFonts w:cs="Calibri"/>
        </w:rPr>
        <w:t xml:space="preserve"> v </w:t>
      </w:r>
      <w:r>
        <w:rPr>
          <w:rFonts w:cs="Calibri"/>
        </w:rPr>
        <w:t xml:space="preserve">rámci 6 klastrů pro </w:t>
      </w:r>
      <w:r w:rsidR="00227887">
        <w:rPr>
          <w:rFonts w:cs="Calibri"/>
        </w:rPr>
        <w:t xml:space="preserve">evropská partnerství vyčleněno </w:t>
      </w:r>
      <w:r>
        <w:rPr>
          <w:rFonts w:cs="Calibri"/>
        </w:rPr>
        <w:t xml:space="preserve">přibližně 23,9 mld. </w:t>
      </w:r>
      <w:r w:rsidR="00227887">
        <w:rPr>
          <w:rFonts w:cs="Calibri"/>
        </w:rPr>
        <w:t>eur</w:t>
      </w:r>
      <w:r>
        <w:rPr>
          <w:rFonts w:cs="Calibri"/>
        </w:rPr>
        <w:t xml:space="preserve">, tj. téměř 38 % rozpočtu tohoto průmyslového pilíře. Dalších 31,4 mld. </w:t>
      </w:r>
      <w:r w:rsidRPr="3E8665BB">
        <w:rPr>
          <w:rFonts w:cs="Calibri"/>
        </w:rPr>
        <w:t>€</w:t>
      </w:r>
      <w:r>
        <w:rPr>
          <w:rFonts w:cs="Calibri"/>
        </w:rPr>
        <w:t xml:space="preserve"> pak tvoří závazky spolufinancování těchto partnerství členskými zeměmi (9 mld. </w:t>
      </w:r>
      <w:r w:rsidR="00227887">
        <w:rPr>
          <w:rFonts w:cs="Calibri"/>
        </w:rPr>
        <w:t>eur</w:t>
      </w:r>
      <w:r>
        <w:rPr>
          <w:rFonts w:cs="Calibri"/>
        </w:rPr>
        <w:t>)</w:t>
      </w:r>
      <w:r w:rsidR="009B66B5">
        <w:rPr>
          <w:rFonts w:cs="Calibri"/>
        </w:rPr>
        <w:t xml:space="preserve"> a </w:t>
      </w:r>
      <w:r>
        <w:rPr>
          <w:rFonts w:cs="Calibri"/>
        </w:rPr>
        <w:t xml:space="preserve">průmyslovými partnery (22,4 mld. </w:t>
      </w:r>
      <w:r w:rsidR="00227887">
        <w:rPr>
          <w:rFonts w:cs="Calibri"/>
        </w:rPr>
        <w:t>eur</w:t>
      </w:r>
      <w:r>
        <w:rPr>
          <w:rFonts w:cs="Calibri"/>
        </w:rPr>
        <w:t>).</w:t>
      </w:r>
      <w:r w:rsidR="00061FE8">
        <w:rPr>
          <w:rFonts w:cs="Calibri"/>
        </w:rPr>
        <w:t xml:space="preserve"> </w:t>
      </w:r>
      <w:r w:rsidR="00AB5EB2">
        <w:rPr>
          <w:rFonts w:cs="Calibri"/>
        </w:rPr>
        <w:t xml:space="preserve">V této kapitole jsou popsány </w:t>
      </w:r>
      <w:r w:rsidR="00A22B4D">
        <w:rPr>
          <w:rFonts w:cs="Calibri"/>
        </w:rPr>
        <w:t xml:space="preserve">jednotlivé typy evropských partnerství </w:t>
      </w:r>
      <w:r w:rsidR="00444A52">
        <w:rPr>
          <w:rFonts w:cs="Calibri"/>
        </w:rPr>
        <w:t>RP</w:t>
      </w:r>
      <w:r w:rsidR="009B66B5">
        <w:rPr>
          <w:rFonts w:cs="Calibri"/>
        </w:rPr>
        <w:t xml:space="preserve"> a </w:t>
      </w:r>
      <w:r w:rsidR="0026241A">
        <w:rPr>
          <w:rFonts w:cs="Calibri"/>
        </w:rPr>
        <w:t xml:space="preserve">zdůrazněn </w:t>
      </w:r>
      <w:r w:rsidR="002F5AEF">
        <w:rPr>
          <w:rFonts w:cs="Calibri"/>
        </w:rPr>
        <w:t xml:space="preserve">význam intenzivnějšího zapojení ČR do těchto partnerství </w:t>
      </w:r>
      <w:r w:rsidR="0026241A">
        <w:rPr>
          <w:rFonts w:cs="Calibri"/>
        </w:rPr>
        <w:t xml:space="preserve">pro rozvoj mezinárodní spolupráce </w:t>
      </w:r>
      <w:r w:rsidR="003A63DE">
        <w:rPr>
          <w:rFonts w:cs="Calibri"/>
        </w:rPr>
        <w:t>v</w:t>
      </w:r>
      <w:r w:rsidR="00ED5B4A">
        <w:rPr>
          <w:rFonts w:cs="Calibri"/>
        </w:rPr>
        <w:t> </w:t>
      </w:r>
      <w:r w:rsidR="00FD3E31">
        <w:rPr>
          <w:rFonts w:cs="Calibri"/>
        </w:rPr>
        <w:t>klíčových segmentech</w:t>
      </w:r>
      <w:r w:rsidR="009B66B5">
        <w:rPr>
          <w:rFonts w:cs="Calibri"/>
        </w:rPr>
        <w:t xml:space="preserve"> a </w:t>
      </w:r>
      <w:r w:rsidR="00FD3E31">
        <w:rPr>
          <w:rFonts w:cs="Calibri"/>
        </w:rPr>
        <w:t xml:space="preserve">tématech evropského </w:t>
      </w:r>
      <w:r w:rsidR="003A63DE">
        <w:rPr>
          <w:rFonts w:cs="Calibri"/>
        </w:rPr>
        <w:t>výzkumu</w:t>
      </w:r>
      <w:r w:rsidR="009B66B5">
        <w:rPr>
          <w:rFonts w:cs="Calibri"/>
        </w:rPr>
        <w:t xml:space="preserve"> a </w:t>
      </w:r>
      <w:r w:rsidR="003A63DE">
        <w:rPr>
          <w:rFonts w:cs="Calibri"/>
        </w:rPr>
        <w:t>inovací.</w:t>
      </w:r>
    </w:p>
    <w:p w14:paraId="3E15B629" w14:textId="77777777" w:rsidR="008444FF" w:rsidRDefault="008444FF" w:rsidP="008444FF">
      <w:pPr>
        <w:pStyle w:val="Nadpis2"/>
      </w:pPr>
      <w:bookmarkStart w:id="46" w:name="_Toc114572331"/>
      <w:r>
        <w:t>Typy evropských partnerství</w:t>
      </w:r>
      <w:bookmarkEnd w:id="46"/>
    </w:p>
    <w:p w14:paraId="61FA0B20" w14:textId="77777777" w:rsidR="008444FF" w:rsidRDefault="008444FF" w:rsidP="008444FF">
      <w:pPr>
        <w:spacing w:line="257" w:lineRule="auto"/>
        <w:rPr>
          <w:rFonts w:cs="Calibri"/>
        </w:rPr>
      </w:pPr>
      <w:r w:rsidRPr="3E8665BB">
        <w:rPr>
          <w:rFonts w:cs="Calibri"/>
        </w:rPr>
        <w:t>Evropská komise se na přechodu od H</w:t>
      </w:r>
      <w:r w:rsidR="00444A52">
        <w:rPr>
          <w:rFonts w:cs="Calibri"/>
        </w:rPr>
        <w:t xml:space="preserve">orizontu </w:t>
      </w:r>
      <w:r w:rsidRPr="3E8665BB">
        <w:rPr>
          <w:rFonts w:cs="Calibri"/>
        </w:rPr>
        <w:t>2020</w:t>
      </w:r>
      <w:r w:rsidR="009B66B5">
        <w:rPr>
          <w:rFonts w:cs="Calibri"/>
        </w:rPr>
        <w:t xml:space="preserve"> k </w:t>
      </w:r>
      <w:r w:rsidRPr="3E8665BB">
        <w:rPr>
          <w:rFonts w:cs="Calibri"/>
        </w:rPr>
        <w:t>H</w:t>
      </w:r>
      <w:r w:rsidR="00444A52">
        <w:rPr>
          <w:rFonts w:cs="Calibri"/>
        </w:rPr>
        <w:t xml:space="preserve">orizontu </w:t>
      </w:r>
      <w:r w:rsidRPr="3E8665BB">
        <w:rPr>
          <w:rFonts w:cs="Calibri"/>
        </w:rPr>
        <w:t>E</w:t>
      </w:r>
      <w:r w:rsidR="00444A52">
        <w:rPr>
          <w:rFonts w:cs="Calibri"/>
        </w:rPr>
        <w:t>vropa</w:t>
      </w:r>
      <w:r w:rsidRPr="3E8665BB">
        <w:rPr>
          <w:rFonts w:cs="Calibri"/>
        </w:rPr>
        <w:t xml:space="preserve"> snažila racionalizovat dřívější portfolio partnerství (7 typů</w:t>
      </w:r>
      <w:r w:rsidR="009B66B5">
        <w:rPr>
          <w:rFonts w:cs="Calibri"/>
        </w:rPr>
        <w:t xml:space="preserve"> a </w:t>
      </w:r>
      <w:r w:rsidRPr="3E8665BB">
        <w:rPr>
          <w:rFonts w:cs="Calibri"/>
        </w:rPr>
        <w:t>téměř 120 partnerství) na současné 3 typy</w:t>
      </w:r>
      <w:r w:rsidR="009B66B5">
        <w:rPr>
          <w:rFonts w:cs="Calibri"/>
        </w:rPr>
        <w:t xml:space="preserve"> a </w:t>
      </w:r>
      <w:r w:rsidRPr="3E8665BB">
        <w:rPr>
          <w:rFonts w:cs="Calibri"/>
        </w:rPr>
        <w:t xml:space="preserve">celkový počet </w:t>
      </w:r>
      <w:r w:rsidR="00943EAE">
        <w:rPr>
          <w:rFonts w:cs="Calibri"/>
        </w:rPr>
        <w:t>49</w:t>
      </w:r>
      <w:r w:rsidR="00ED5B4A">
        <w:rPr>
          <w:rFonts w:cs="Calibri"/>
        </w:rPr>
        <w:t> </w:t>
      </w:r>
      <w:r w:rsidR="00943EAE">
        <w:rPr>
          <w:rFonts w:cs="Calibri"/>
        </w:rPr>
        <w:t xml:space="preserve">partnerství </w:t>
      </w:r>
      <w:r w:rsidR="00943EAE" w:rsidRPr="00943EAE">
        <w:rPr>
          <w:rFonts w:cs="Calibri"/>
        </w:rPr>
        <w:t>(obr.</w:t>
      </w:r>
      <w:r w:rsidRPr="00943EAE">
        <w:rPr>
          <w:rFonts w:cs="Calibri"/>
        </w:rPr>
        <w:t xml:space="preserve"> 1).</w:t>
      </w:r>
      <w:r w:rsidRPr="3E8665BB">
        <w:rPr>
          <w:rFonts w:cs="Calibri"/>
        </w:rPr>
        <w:t xml:space="preserve"> V</w:t>
      </w:r>
      <w:r>
        <w:rPr>
          <w:rFonts w:cs="Calibri"/>
        </w:rPr>
        <w:t> </w:t>
      </w:r>
      <w:r w:rsidR="00444A52">
        <w:rPr>
          <w:rFonts w:cs="Calibri"/>
        </w:rPr>
        <w:t>RP</w:t>
      </w:r>
      <w:r>
        <w:rPr>
          <w:rFonts w:cs="Calibri"/>
        </w:rPr>
        <w:t xml:space="preserve"> jsou tak </w:t>
      </w:r>
      <w:r w:rsidR="00444A52">
        <w:rPr>
          <w:rFonts w:cs="Calibri"/>
        </w:rPr>
        <w:t xml:space="preserve">nyní </w:t>
      </w:r>
      <w:r>
        <w:rPr>
          <w:rFonts w:cs="Calibri"/>
        </w:rPr>
        <w:t xml:space="preserve">podporovány následující tři typy partnerství: </w:t>
      </w:r>
    </w:p>
    <w:p w14:paraId="5089A85C" w14:textId="77777777" w:rsidR="008444FF" w:rsidRDefault="008444FF">
      <w:pPr>
        <w:pStyle w:val="Odstavecseseznamem"/>
        <w:numPr>
          <w:ilvl w:val="0"/>
          <w:numId w:val="28"/>
        </w:numPr>
        <w:spacing w:line="257" w:lineRule="auto"/>
        <w:rPr>
          <w:rFonts w:cs="Calibri"/>
        </w:rPr>
      </w:pPr>
      <w:r w:rsidRPr="00F719B8">
        <w:rPr>
          <w:rFonts w:cs="Calibri"/>
        </w:rPr>
        <w:t>společně programovaná (co-programmed)</w:t>
      </w:r>
      <w:r>
        <w:rPr>
          <w:rFonts w:cs="Calibri"/>
        </w:rPr>
        <w:t xml:space="preserve"> partnerství</w:t>
      </w:r>
      <w:r w:rsidRPr="00F719B8">
        <w:rPr>
          <w:rFonts w:cs="Calibri"/>
        </w:rPr>
        <w:t xml:space="preserve">, </w:t>
      </w:r>
    </w:p>
    <w:p w14:paraId="4C0CB42D" w14:textId="77777777" w:rsidR="008444FF" w:rsidRDefault="008444FF">
      <w:pPr>
        <w:pStyle w:val="Odstavecseseznamem"/>
        <w:numPr>
          <w:ilvl w:val="0"/>
          <w:numId w:val="28"/>
        </w:numPr>
        <w:spacing w:line="257" w:lineRule="auto"/>
        <w:rPr>
          <w:rFonts w:cs="Calibri"/>
        </w:rPr>
      </w:pPr>
      <w:r w:rsidRPr="00F719B8">
        <w:rPr>
          <w:rFonts w:cs="Calibri"/>
        </w:rPr>
        <w:t xml:space="preserve">institucionalizovaná (institutionalised) </w:t>
      </w:r>
      <w:r>
        <w:rPr>
          <w:rFonts w:cs="Calibri"/>
        </w:rPr>
        <w:t>partnerství</w:t>
      </w:r>
      <w:r w:rsidR="009B66B5">
        <w:rPr>
          <w:rFonts w:cs="Calibri"/>
        </w:rPr>
        <w:t xml:space="preserve"> a </w:t>
      </w:r>
    </w:p>
    <w:p w14:paraId="1E690BA0" w14:textId="77777777" w:rsidR="008444FF" w:rsidRPr="00F719B8" w:rsidRDefault="008444FF">
      <w:pPr>
        <w:pStyle w:val="Odstavecseseznamem"/>
        <w:numPr>
          <w:ilvl w:val="0"/>
          <w:numId w:val="28"/>
        </w:numPr>
        <w:spacing w:line="257" w:lineRule="auto"/>
        <w:rPr>
          <w:rFonts w:cs="Calibri"/>
        </w:rPr>
      </w:pPr>
      <w:r w:rsidRPr="00F719B8">
        <w:rPr>
          <w:rFonts w:cs="Calibri"/>
        </w:rPr>
        <w:t>společně financovaná (co-funded)</w:t>
      </w:r>
      <w:r>
        <w:rPr>
          <w:rFonts w:cs="Calibri"/>
        </w:rPr>
        <w:t xml:space="preserve"> partnerství</w:t>
      </w:r>
      <w:r w:rsidRPr="00F719B8">
        <w:rPr>
          <w:rFonts w:cs="Calibri"/>
        </w:rPr>
        <w:t xml:space="preserve">. </w:t>
      </w:r>
    </w:p>
    <w:p w14:paraId="3EEFB478" w14:textId="77777777" w:rsidR="008444FF" w:rsidRDefault="008444FF" w:rsidP="008444FF">
      <w:pPr>
        <w:spacing w:line="257" w:lineRule="auto"/>
      </w:pPr>
      <w:r w:rsidRPr="3E8665BB">
        <w:rPr>
          <w:rFonts w:cs="Calibri"/>
        </w:rPr>
        <w:t xml:space="preserve">I přes deklarovanou snahu </w:t>
      </w:r>
      <w:r w:rsidR="00AA2026">
        <w:rPr>
          <w:rFonts w:cs="Calibri"/>
        </w:rPr>
        <w:t>Evropské komise</w:t>
      </w:r>
      <w:r w:rsidR="009B66B5">
        <w:rPr>
          <w:rFonts w:cs="Calibri"/>
        </w:rPr>
        <w:t xml:space="preserve"> o </w:t>
      </w:r>
      <w:r w:rsidRPr="3E8665BB">
        <w:rPr>
          <w:rFonts w:cs="Calibri"/>
        </w:rPr>
        <w:t>sjednocení forem implementace partnerství zůstávají mezi jednotlivými partnerstvími značné rozdíly</w:t>
      </w:r>
      <w:r>
        <w:rPr>
          <w:rFonts w:cs="Calibri"/>
        </w:rPr>
        <w:t xml:space="preserve">, což je nutné zohlednit při realizaci opatření pro </w:t>
      </w:r>
      <w:r w:rsidRPr="3E8665BB">
        <w:rPr>
          <w:rFonts w:cs="Calibri"/>
        </w:rPr>
        <w:t>zlepšení účasti ČR</w:t>
      </w:r>
      <w:r w:rsidR="009B66B5">
        <w:rPr>
          <w:rFonts w:cs="Calibri"/>
        </w:rPr>
        <w:t xml:space="preserve"> v </w:t>
      </w:r>
      <w:r w:rsidR="00444A52">
        <w:rPr>
          <w:rFonts w:cs="Calibri"/>
        </w:rPr>
        <w:t>RP</w:t>
      </w:r>
      <w:r w:rsidRPr="3E8665BB">
        <w:rPr>
          <w:rFonts w:cs="Calibri"/>
        </w:rPr>
        <w:t>.</w:t>
      </w:r>
    </w:p>
    <w:p w14:paraId="0CEB340B" w14:textId="77777777" w:rsidR="00DE44BF" w:rsidRDefault="00DE44BF" w:rsidP="008444FF">
      <w:pPr>
        <w:spacing w:line="257" w:lineRule="auto"/>
        <w:rPr>
          <w:rFonts w:cs="Calibri"/>
          <w:b/>
          <w:sz w:val="20"/>
          <w:szCs w:val="20"/>
        </w:rPr>
      </w:pPr>
      <w:r w:rsidRPr="00DE44BF">
        <w:rPr>
          <w:rFonts w:cs="Calibri"/>
          <w:b/>
          <w:sz w:val="20"/>
          <w:szCs w:val="20"/>
        </w:rPr>
        <w:t>Obr. 1</w:t>
      </w:r>
    </w:p>
    <w:p w14:paraId="3638324F" w14:textId="77777777" w:rsidR="00DE44BF" w:rsidRDefault="00DE44BF" w:rsidP="008444FF">
      <w:pPr>
        <w:spacing w:line="257" w:lineRule="auto"/>
        <w:rPr>
          <w:rFonts w:cs="Calibri"/>
          <w:sz w:val="20"/>
          <w:szCs w:val="20"/>
        </w:rPr>
      </w:pPr>
      <w:r>
        <w:rPr>
          <w:noProof/>
          <w:lang w:eastAsia="cs-CZ"/>
        </w:rPr>
        <w:lastRenderedPageBreak/>
        <w:drawing>
          <wp:inline distT="0" distB="0" distL="0" distR="0" wp14:anchorId="7C370BCE" wp14:editId="66CCD51F">
            <wp:extent cx="3561234" cy="3127761"/>
            <wp:effectExtent l="0" t="0" r="127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561234" cy="3127761"/>
                    </a:xfrm>
                    <a:prstGeom prst="rect">
                      <a:avLst/>
                    </a:prstGeom>
                  </pic:spPr>
                </pic:pic>
              </a:graphicData>
            </a:graphic>
          </wp:inline>
        </w:drawing>
      </w:r>
    </w:p>
    <w:p w14:paraId="24EECFE7" w14:textId="77777777" w:rsidR="008444FF" w:rsidRPr="009305DA" w:rsidRDefault="008444FF" w:rsidP="008444FF">
      <w:pPr>
        <w:spacing w:line="257" w:lineRule="auto"/>
      </w:pPr>
      <w:r w:rsidRPr="00173AD7">
        <w:rPr>
          <w:rFonts w:cs="Calibri"/>
          <w:sz w:val="20"/>
          <w:szCs w:val="20"/>
        </w:rPr>
        <w:t>Zdroj: European Commission, Directorate-General for Research and Innovation, Performance of European Partnerships : Biennial Monitoring</w:t>
      </w:r>
      <w:r w:rsidR="009305DA">
        <w:rPr>
          <w:rFonts w:cs="Calibri"/>
          <w:sz w:val="20"/>
          <w:szCs w:val="20"/>
        </w:rPr>
        <w:t xml:space="preserve"> </w:t>
      </w:r>
      <w:r w:rsidRPr="00173AD7">
        <w:rPr>
          <w:rFonts w:cs="Calibri"/>
          <w:sz w:val="20"/>
          <w:szCs w:val="20"/>
        </w:rPr>
        <w:t xml:space="preserve">Report (BMR) 2022 on partnerships in Horizon Europe, Publications Office of the European Union, 2022, </w:t>
      </w:r>
      <w:hyperlink r:id="rId16" w:history="1">
        <w:r w:rsidRPr="00173AD7">
          <w:rPr>
            <w:rStyle w:val="Hypertextovodkaz"/>
            <w:rFonts w:cs="Calibri"/>
            <w:sz w:val="20"/>
            <w:szCs w:val="20"/>
          </w:rPr>
          <w:t>https://data.europa.eu/doi/10.2777/144363</w:t>
        </w:r>
      </w:hyperlink>
      <w:r w:rsidRPr="004845A1">
        <w:rPr>
          <w:rFonts w:cs="Calibri"/>
          <w:sz w:val="20"/>
          <w:szCs w:val="20"/>
        </w:rPr>
        <w:t xml:space="preserve">. </w:t>
      </w:r>
    </w:p>
    <w:p w14:paraId="78AA842A" w14:textId="77777777" w:rsidR="008444FF" w:rsidRDefault="008444FF" w:rsidP="008444FF">
      <w:pPr>
        <w:spacing w:line="257" w:lineRule="auto"/>
        <w:rPr>
          <w:rFonts w:cs="Calibri"/>
        </w:rPr>
      </w:pPr>
    </w:p>
    <w:p w14:paraId="409D48C0" w14:textId="77777777" w:rsidR="008444FF" w:rsidRDefault="008444FF" w:rsidP="008444FF">
      <w:pPr>
        <w:spacing w:line="257" w:lineRule="auto"/>
        <w:rPr>
          <w:rFonts w:cs="Calibri"/>
        </w:rPr>
      </w:pPr>
      <w:r w:rsidRPr="00173AD7">
        <w:rPr>
          <w:rFonts w:cs="Calibri"/>
        </w:rPr>
        <w:t>Konkrétní evropská partnerství</w:t>
      </w:r>
      <w:r w:rsidR="009B66B5">
        <w:rPr>
          <w:rFonts w:cs="Calibri"/>
        </w:rPr>
        <w:t xml:space="preserve"> v </w:t>
      </w:r>
      <w:r w:rsidRPr="00173AD7">
        <w:rPr>
          <w:rFonts w:cs="Calibri"/>
        </w:rPr>
        <w:t xml:space="preserve">jednotlivých klastrech průmyslového pilíře </w:t>
      </w:r>
      <w:r w:rsidR="00444A52">
        <w:rPr>
          <w:rFonts w:cs="Calibri"/>
        </w:rPr>
        <w:t>RP</w:t>
      </w:r>
      <w:r w:rsidR="00444A52" w:rsidRPr="00173AD7">
        <w:rPr>
          <w:rFonts w:cs="Calibri"/>
        </w:rPr>
        <w:t xml:space="preserve"> </w:t>
      </w:r>
      <w:r w:rsidRPr="00173AD7">
        <w:rPr>
          <w:rFonts w:cs="Calibri"/>
        </w:rPr>
        <w:t xml:space="preserve">znázorňuje </w:t>
      </w:r>
      <w:r w:rsidR="00943EAE" w:rsidRPr="00173AD7">
        <w:rPr>
          <w:rFonts w:cs="Calibri"/>
        </w:rPr>
        <w:t>obr.</w:t>
      </w:r>
      <w:r w:rsidRPr="00173AD7">
        <w:rPr>
          <w:rFonts w:cs="Calibri"/>
        </w:rPr>
        <w:t xml:space="preserve"> 2. V</w:t>
      </w:r>
      <w:r w:rsidR="00ED5B4A">
        <w:rPr>
          <w:rFonts w:cs="Calibri"/>
        </w:rPr>
        <w:t> </w:t>
      </w:r>
      <w:r w:rsidRPr="00173AD7">
        <w:rPr>
          <w:rFonts w:cs="Calibri"/>
        </w:rPr>
        <w:t xml:space="preserve">uvedeném schématu nalezneme dále ještě partnerství Evropského </w:t>
      </w:r>
      <w:r w:rsidR="00173AD7" w:rsidRPr="00173AD7">
        <w:rPr>
          <w:rFonts w:cs="Calibri"/>
        </w:rPr>
        <w:t>inovačního</w:t>
      </w:r>
      <w:r w:rsidR="009B66B5">
        <w:rPr>
          <w:rFonts w:cs="Calibri"/>
        </w:rPr>
        <w:t xml:space="preserve"> a </w:t>
      </w:r>
      <w:r w:rsidR="00173AD7" w:rsidRPr="00173AD7">
        <w:rPr>
          <w:rFonts w:cs="Calibri"/>
        </w:rPr>
        <w:t xml:space="preserve">technologického institutu </w:t>
      </w:r>
      <w:r w:rsidRPr="00173AD7">
        <w:rPr>
          <w:rFonts w:cs="Calibri"/>
        </w:rPr>
        <w:t xml:space="preserve">(European Institute of Innovation </w:t>
      </w:r>
      <w:r w:rsidR="00444A52">
        <w:rPr>
          <w:rFonts w:cs="Calibri"/>
        </w:rPr>
        <w:t>and</w:t>
      </w:r>
      <w:r w:rsidRPr="00173AD7">
        <w:rPr>
          <w:rFonts w:cs="Calibri"/>
        </w:rPr>
        <w:t xml:space="preserve"> Technology, EIT) spadající</w:t>
      </w:r>
      <w:r w:rsidR="009B66B5">
        <w:rPr>
          <w:rFonts w:cs="Calibri"/>
        </w:rPr>
        <w:t xml:space="preserve"> s </w:t>
      </w:r>
      <w:r w:rsidRPr="00173AD7">
        <w:rPr>
          <w:rFonts w:cs="Calibri"/>
        </w:rPr>
        <w:t>partnerstvím Innovative SMEs do Pilíře III (Innovative Europe)</w:t>
      </w:r>
      <w:r w:rsidR="009B66B5">
        <w:rPr>
          <w:rFonts w:cs="Calibri"/>
        </w:rPr>
        <w:t xml:space="preserve"> a </w:t>
      </w:r>
      <w:r w:rsidRPr="3E8665BB">
        <w:rPr>
          <w:rFonts w:cs="Calibri"/>
        </w:rPr>
        <w:t xml:space="preserve">průřezové partnerství European Open Science Cloud (EOSC).  </w:t>
      </w:r>
    </w:p>
    <w:p w14:paraId="6CFCD393" w14:textId="77777777" w:rsidR="00DE44BF" w:rsidRDefault="00DE44BF" w:rsidP="008444FF">
      <w:pPr>
        <w:spacing w:line="257" w:lineRule="auto"/>
      </w:pPr>
    </w:p>
    <w:p w14:paraId="3A4DA8D6" w14:textId="77777777" w:rsidR="008444FF" w:rsidRPr="009305DA" w:rsidRDefault="00DE44BF" w:rsidP="00DE44BF">
      <w:pPr>
        <w:spacing w:line="257" w:lineRule="auto"/>
        <w:jc w:val="left"/>
        <w:rPr>
          <w:rFonts w:cs="Calibri"/>
          <w:b/>
        </w:rPr>
      </w:pPr>
      <w:r w:rsidRPr="00DE44BF">
        <w:rPr>
          <w:rFonts w:cs="Calibri"/>
          <w:b/>
        </w:rPr>
        <w:lastRenderedPageBreak/>
        <w:t>Obr. 2</w:t>
      </w:r>
      <w:r w:rsidR="008444FF" w:rsidRPr="3E8665BB">
        <w:rPr>
          <w:rFonts w:cs="Calibri"/>
        </w:rPr>
        <w:t xml:space="preserve"> </w:t>
      </w:r>
      <w:r w:rsidR="004402A6" w:rsidRPr="009305DA">
        <w:rPr>
          <w:b/>
          <w:noProof/>
          <w:lang w:eastAsia="cs-CZ"/>
        </w:rPr>
        <w:drawing>
          <wp:inline distT="0" distB="0" distL="0" distR="0" wp14:anchorId="775D0873" wp14:editId="481CB20E">
            <wp:extent cx="5759450" cy="5273040"/>
            <wp:effectExtent l="0" t="0" r="0" b="3810"/>
            <wp:docPr id="8" name="Obrázek 8" descr="Obsah obrázku stů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ázek 8" descr="Obsah obrázku stůl&#10;&#10;Popis byl vytvořen automaticky"/>
                    <pic:cNvPicPr/>
                  </pic:nvPicPr>
                  <pic:blipFill>
                    <a:blip r:embed="rId17"/>
                    <a:stretch>
                      <a:fillRect/>
                    </a:stretch>
                  </pic:blipFill>
                  <pic:spPr>
                    <a:xfrm>
                      <a:off x="0" y="0"/>
                      <a:ext cx="5759450" cy="5273040"/>
                    </a:xfrm>
                    <a:prstGeom prst="rect">
                      <a:avLst/>
                    </a:prstGeom>
                  </pic:spPr>
                </pic:pic>
              </a:graphicData>
            </a:graphic>
          </wp:inline>
        </w:drawing>
      </w:r>
    </w:p>
    <w:p w14:paraId="5052EC16" w14:textId="77777777" w:rsidR="008444FF" w:rsidRPr="004845A1" w:rsidRDefault="008444FF" w:rsidP="008444FF">
      <w:pPr>
        <w:spacing w:line="257" w:lineRule="auto"/>
        <w:rPr>
          <w:rFonts w:cs="Calibri"/>
          <w:sz w:val="20"/>
          <w:szCs w:val="20"/>
        </w:rPr>
      </w:pPr>
      <w:r w:rsidRPr="00DE44BF">
        <w:rPr>
          <w:rFonts w:cs="Calibri"/>
          <w:sz w:val="20"/>
          <w:szCs w:val="20"/>
        </w:rPr>
        <w:t xml:space="preserve">Zdroj: European Commission, Directorate-General for Research and Innovation, Performance of European Partnerships : Biennial Monitoring Report (BMR) 2022 on partnerships in Horizon Europe, Publications Office of the European Union, 2022, </w:t>
      </w:r>
      <w:hyperlink r:id="rId18" w:history="1">
        <w:r w:rsidRPr="00DE44BF">
          <w:rPr>
            <w:rStyle w:val="Hypertextovodkaz"/>
            <w:rFonts w:cs="Calibri"/>
            <w:sz w:val="20"/>
            <w:szCs w:val="20"/>
          </w:rPr>
          <w:t>https://data.europa.eu/doi/10.2777/144363</w:t>
        </w:r>
      </w:hyperlink>
      <w:r w:rsidRPr="004845A1">
        <w:rPr>
          <w:rFonts w:cs="Calibri"/>
          <w:sz w:val="20"/>
          <w:szCs w:val="20"/>
        </w:rPr>
        <w:t xml:space="preserve">. </w:t>
      </w:r>
    </w:p>
    <w:p w14:paraId="1837F9BC" w14:textId="77777777" w:rsidR="008444FF" w:rsidRDefault="008444FF" w:rsidP="008444FF">
      <w:pPr>
        <w:spacing w:line="257" w:lineRule="auto"/>
      </w:pPr>
    </w:p>
    <w:p w14:paraId="367470CC" w14:textId="77777777" w:rsidR="008444FF" w:rsidRDefault="008444FF" w:rsidP="008444FF">
      <w:pPr>
        <w:pStyle w:val="Nadpis2"/>
      </w:pPr>
      <w:bookmarkStart w:id="47" w:name="_Toc114572332"/>
      <w:r w:rsidRPr="3E8665BB">
        <w:t>Společně programovaná partnerství</w:t>
      </w:r>
      <w:bookmarkEnd w:id="47"/>
    </w:p>
    <w:p w14:paraId="2C18113C" w14:textId="77777777" w:rsidR="00ED5B4A" w:rsidRDefault="008444FF" w:rsidP="008444FF">
      <w:pPr>
        <w:spacing w:line="257" w:lineRule="auto"/>
        <w:rPr>
          <w:rFonts w:cs="Calibri"/>
        </w:rPr>
      </w:pPr>
      <w:r w:rsidRPr="3E8665BB">
        <w:rPr>
          <w:rFonts w:cs="Calibri"/>
        </w:rPr>
        <w:t xml:space="preserve">Tento typ partnerství má nejjednotnější formu implementace, protože výzvy všech společně programovaných partnerství jsou součástí výzev </w:t>
      </w:r>
      <w:r w:rsidR="00444A52">
        <w:rPr>
          <w:rFonts w:cs="Calibri"/>
        </w:rPr>
        <w:t>RP</w:t>
      </w:r>
      <w:r w:rsidRPr="3E8665BB">
        <w:rPr>
          <w:rFonts w:cs="Calibri"/>
        </w:rPr>
        <w:t>. Ve velké míře zde panuje transparentní kontinuita</w:t>
      </w:r>
      <w:r w:rsidR="009B66B5">
        <w:rPr>
          <w:rFonts w:cs="Calibri"/>
        </w:rPr>
        <w:t xml:space="preserve"> z </w:t>
      </w:r>
      <w:r w:rsidRPr="3E8665BB">
        <w:rPr>
          <w:rFonts w:cs="Calibri"/>
        </w:rPr>
        <w:t>předchozího období. V dřívějším období byl tento typ partnerství označován jako smluvní partnerství veřejného</w:t>
      </w:r>
      <w:r w:rsidR="009B66B5">
        <w:rPr>
          <w:rFonts w:cs="Calibri"/>
        </w:rPr>
        <w:t xml:space="preserve"> a </w:t>
      </w:r>
      <w:r w:rsidRPr="3E8665BB">
        <w:rPr>
          <w:rFonts w:cs="Calibri"/>
        </w:rPr>
        <w:t xml:space="preserve">soukromého sektoru (Contractual Public-Private Partnerships, cPPP). Motivací vzniku partnerství tohoto typu byla snaha </w:t>
      </w:r>
      <w:r w:rsidR="00AA2026">
        <w:rPr>
          <w:rFonts w:cs="Calibri"/>
        </w:rPr>
        <w:t>Evropské komise</w:t>
      </w:r>
      <w:r w:rsidR="009B66B5">
        <w:rPr>
          <w:rFonts w:cs="Calibri"/>
        </w:rPr>
        <w:t xml:space="preserve"> o </w:t>
      </w:r>
      <w:r w:rsidRPr="3E8665BB">
        <w:rPr>
          <w:rFonts w:cs="Calibri"/>
        </w:rPr>
        <w:t>posílení spolupráce mezi výzkumným</w:t>
      </w:r>
      <w:r w:rsidR="009B66B5">
        <w:rPr>
          <w:rFonts w:cs="Calibri"/>
        </w:rPr>
        <w:t xml:space="preserve"> a </w:t>
      </w:r>
      <w:r w:rsidRPr="3E8665BB">
        <w:rPr>
          <w:rFonts w:cs="Calibri"/>
        </w:rPr>
        <w:t>průmyslovým sektorem</w:t>
      </w:r>
      <w:r w:rsidR="009B66B5">
        <w:rPr>
          <w:rFonts w:cs="Calibri"/>
        </w:rPr>
        <w:t xml:space="preserve"> a </w:t>
      </w:r>
      <w:r w:rsidRPr="3E8665BB">
        <w:rPr>
          <w:rFonts w:cs="Calibri"/>
        </w:rPr>
        <w:t>posouváním aktivit projektů blíže</w:t>
      </w:r>
      <w:r w:rsidR="009B66B5">
        <w:rPr>
          <w:rFonts w:cs="Calibri"/>
        </w:rPr>
        <w:t xml:space="preserve"> k </w:t>
      </w:r>
      <w:r w:rsidRPr="3E8665BB">
        <w:rPr>
          <w:rFonts w:cs="Calibri"/>
        </w:rPr>
        <w:t>inovativnímu tržnímu uplatnění jejich výsledků, charakterizované vyššími hodnotami tzv. technologické zralosti (</w:t>
      </w:r>
      <w:r w:rsidR="00444A52">
        <w:rPr>
          <w:rFonts w:cs="Calibri"/>
        </w:rPr>
        <w:t>T</w:t>
      </w:r>
      <w:r w:rsidRPr="3E8665BB">
        <w:rPr>
          <w:rFonts w:cs="Calibri"/>
        </w:rPr>
        <w:t xml:space="preserve">echnology </w:t>
      </w:r>
      <w:r w:rsidR="00444A52">
        <w:rPr>
          <w:rFonts w:cs="Calibri"/>
        </w:rPr>
        <w:t>R</w:t>
      </w:r>
      <w:r w:rsidRPr="3E8665BB">
        <w:rPr>
          <w:rFonts w:cs="Calibri"/>
        </w:rPr>
        <w:t xml:space="preserve">eadiness </w:t>
      </w:r>
      <w:r w:rsidR="00444A52">
        <w:rPr>
          <w:rFonts w:cs="Calibri"/>
        </w:rPr>
        <w:t>L</w:t>
      </w:r>
      <w:r w:rsidRPr="3E8665BB">
        <w:rPr>
          <w:rFonts w:cs="Calibri"/>
        </w:rPr>
        <w:t>evel, TRL). Silnější zapojení průmyslových partnerů do projektů má</w:t>
      </w:r>
      <w:r w:rsidR="009B66B5">
        <w:rPr>
          <w:rFonts w:cs="Calibri"/>
        </w:rPr>
        <w:t xml:space="preserve"> i </w:t>
      </w:r>
      <w:r w:rsidRPr="3E8665BB">
        <w:rPr>
          <w:rFonts w:cs="Calibri"/>
        </w:rPr>
        <w:t>rovinu finanční. Zatímco u aktivit blíže výzkumu, tzv. Re</w:t>
      </w:r>
      <w:r w:rsidRPr="3E8665BB">
        <w:rPr>
          <w:rFonts w:cs="Calibri"/>
        </w:rPr>
        <w:lastRenderedPageBreak/>
        <w:t>search and Innovation Actions (RIA)</w:t>
      </w:r>
      <w:r w:rsidR="00FF2E3A">
        <w:rPr>
          <w:rFonts w:cs="Calibri"/>
        </w:rPr>
        <w:t>,</w:t>
      </w:r>
      <w:r w:rsidRPr="3E8665BB">
        <w:rPr>
          <w:rFonts w:cs="Calibri"/>
        </w:rPr>
        <w:t xml:space="preserve"> jsou uznatelné náklady veřejným</w:t>
      </w:r>
      <w:r w:rsidR="009B66B5">
        <w:rPr>
          <w:rFonts w:cs="Calibri"/>
        </w:rPr>
        <w:t xml:space="preserve"> i </w:t>
      </w:r>
      <w:r w:rsidRPr="3E8665BB">
        <w:rPr>
          <w:rFonts w:cs="Calibri"/>
        </w:rPr>
        <w:t xml:space="preserve">soukromým subjektům účastnících se projektů hrazeny </w:t>
      </w:r>
      <w:r w:rsidR="00444A52">
        <w:rPr>
          <w:rFonts w:cs="Calibri"/>
        </w:rPr>
        <w:t xml:space="preserve">až </w:t>
      </w:r>
      <w:r w:rsidRPr="3E8665BB">
        <w:rPr>
          <w:rFonts w:cs="Calibri"/>
        </w:rPr>
        <w:t>do výše 100</w:t>
      </w:r>
      <w:r>
        <w:rPr>
          <w:rFonts w:cs="Calibri"/>
        </w:rPr>
        <w:t xml:space="preserve"> </w:t>
      </w:r>
      <w:r w:rsidRPr="3E8665BB">
        <w:rPr>
          <w:rFonts w:cs="Calibri"/>
        </w:rPr>
        <w:t>%, u tzv. Innovation Actions (IA)</w:t>
      </w:r>
      <w:r w:rsidR="009B66B5">
        <w:rPr>
          <w:rFonts w:cs="Calibri"/>
        </w:rPr>
        <w:t xml:space="preserve"> s </w:t>
      </w:r>
      <w:r w:rsidRPr="3E8665BB">
        <w:rPr>
          <w:rFonts w:cs="Calibri"/>
        </w:rPr>
        <w:t>aktivitami blíže</w:t>
      </w:r>
      <w:r w:rsidR="009B66B5">
        <w:rPr>
          <w:rFonts w:cs="Calibri"/>
        </w:rPr>
        <w:t xml:space="preserve"> k </w:t>
      </w:r>
      <w:r w:rsidRPr="3E8665BB">
        <w:rPr>
          <w:rFonts w:cs="Calibri"/>
        </w:rPr>
        <w:t>tržnímu uplatnění jsou uznatelné náklady soukromým subjektům hrazeny do výše 70</w:t>
      </w:r>
      <w:r>
        <w:rPr>
          <w:rFonts w:cs="Calibri"/>
        </w:rPr>
        <w:t xml:space="preserve"> </w:t>
      </w:r>
      <w:r w:rsidRPr="3E8665BB">
        <w:rPr>
          <w:rFonts w:cs="Calibri"/>
        </w:rPr>
        <w:t>%. V</w:t>
      </w:r>
      <w:r w:rsidR="00ED5B4A">
        <w:rPr>
          <w:rFonts w:cs="Calibri"/>
        </w:rPr>
        <w:t> </w:t>
      </w:r>
      <w:r w:rsidRPr="3E8665BB">
        <w:rPr>
          <w:rFonts w:cs="Calibri"/>
        </w:rPr>
        <w:t>novém programovém období se u vybraných témat implementovaných</w:t>
      </w:r>
      <w:r w:rsidR="009B66B5">
        <w:rPr>
          <w:rFonts w:cs="Calibri"/>
        </w:rPr>
        <w:t xml:space="preserve"> v </w:t>
      </w:r>
      <w:r w:rsidRPr="3E8665BB">
        <w:rPr>
          <w:rFonts w:cs="Calibri"/>
        </w:rPr>
        <w:t>rámci společně financovaných partnerství snižuje míra podpory na 60</w:t>
      </w:r>
      <w:r>
        <w:rPr>
          <w:rFonts w:cs="Calibri"/>
        </w:rPr>
        <w:t xml:space="preserve"> </w:t>
      </w:r>
      <w:r w:rsidRPr="3E8665BB">
        <w:rPr>
          <w:rFonts w:cs="Calibri"/>
        </w:rPr>
        <w:t>%. Zbývajících 30</w:t>
      </w:r>
      <w:r>
        <w:rPr>
          <w:rFonts w:cs="Calibri"/>
        </w:rPr>
        <w:t xml:space="preserve"> </w:t>
      </w:r>
      <w:r w:rsidRPr="3E8665BB">
        <w:rPr>
          <w:rFonts w:cs="Calibri"/>
        </w:rPr>
        <w:t>%</w:t>
      </w:r>
      <w:r w:rsidR="00FF2E3A">
        <w:rPr>
          <w:rFonts w:cs="Calibri"/>
        </w:rPr>
        <w:t>,</w:t>
      </w:r>
      <w:r w:rsidRPr="3E8665BB">
        <w:rPr>
          <w:rFonts w:cs="Calibri"/>
        </w:rPr>
        <w:t xml:space="preserve"> resp. 40</w:t>
      </w:r>
      <w:r>
        <w:rPr>
          <w:rFonts w:cs="Calibri"/>
        </w:rPr>
        <w:t xml:space="preserve"> </w:t>
      </w:r>
      <w:r w:rsidRPr="3E8665BB">
        <w:rPr>
          <w:rFonts w:cs="Calibri"/>
        </w:rPr>
        <w:t>% lze chápat jako příspěvek průmyslových partnerů</w:t>
      </w:r>
      <w:r w:rsidR="009B66B5">
        <w:rPr>
          <w:rFonts w:cs="Calibri"/>
        </w:rPr>
        <w:t xml:space="preserve"> k </w:t>
      </w:r>
      <w:r w:rsidRPr="3E8665BB">
        <w:rPr>
          <w:rFonts w:cs="Calibri"/>
        </w:rPr>
        <w:t xml:space="preserve">naplňování průmyslových strategií </w:t>
      </w:r>
      <w:r w:rsidR="00AA2026">
        <w:rPr>
          <w:rFonts w:cs="Calibri"/>
        </w:rPr>
        <w:t>Evropské komise</w:t>
      </w:r>
      <w:r w:rsidRPr="3E8665BB">
        <w:rPr>
          <w:rFonts w:cs="Calibri"/>
        </w:rPr>
        <w:t>, představovaný např. poskytováním vývojových</w:t>
      </w:r>
      <w:r w:rsidR="009B66B5">
        <w:rPr>
          <w:rFonts w:cs="Calibri"/>
        </w:rPr>
        <w:t xml:space="preserve"> a </w:t>
      </w:r>
      <w:r w:rsidRPr="3E8665BB">
        <w:rPr>
          <w:rFonts w:cs="Calibri"/>
        </w:rPr>
        <w:t>výrobních kapacit</w:t>
      </w:r>
      <w:r w:rsidR="009B66B5">
        <w:rPr>
          <w:rFonts w:cs="Calibri"/>
        </w:rPr>
        <w:t xml:space="preserve"> v </w:t>
      </w:r>
      <w:r w:rsidRPr="3E8665BB">
        <w:rPr>
          <w:rFonts w:cs="Calibri"/>
        </w:rPr>
        <w:t>pilotních</w:t>
      </w:r>
      <w:r w:rsidR="009B66B5">
        <w:rPr>
          <w:rFonts w:cs="Calibri"/>
        </w:rPr>
        <w:t xml:space="preserve"> a </w:t>
      </w:r>
      <w:r w:rsidRPr="3E8665BB">
        <w:rPr>
          <w:rFonts w:cs="Calibri"/>
        </w:rPr>
        <w:t xml:space="preserve">demonstračních aktivitách projektů. </w:t>
      </w:r>
      <w:r w:rsidR="00AA2026">
        <w:rPr>
          <w:rFonts w:cs="Calibri"/>
        </w:rPr>
        <w:t>Evropská komise</w:t>
      </w:r>
      <w:r w:rsidRPr="3E8665BB">
        <w:rPr>
          <w:rFonts w:cs="Calibri"/>
        </w:rPr>
        <w:t xml:space="preserve"> se zároveň snažila</w:t>
      </w:r>
      <w:r w:rsidR="009B66B5">
        <w:rPr>
          <w:rFonts w:cs="Calibri"/>
        </w:rPr>
        <w:t xml:space="preserve"> k </w:t>
      </w:r>
      <w:r w:rsidRPr="3E8665BB">
        <w:rPr>
          <w:rFonts w:cs="Calibri"/>
        </w:rPr>
        <w:t>účasti přitáhnout</w:t>
      </w:r>
      <w:r w:rsidR="009B66B5">
        <w:rPr>
          <w:rFonts w:cs="Calibri"/>
        </w:rPr>
        <w:t xml:space="preserve"> i </w:t>
      </w:r>
      <w:r w:rsidRPr="3E8665BB">
        <w:rPr>
          <w:rFonts w:cs="Calibri"/>
        </w:rPr>
        <w:t>malé</w:t>
      </w:r>
      <w:r w:rsidR="009B66B5">
        <w:rPr>
          <w:rFonts w:cs="Calibri"/>
        </w:rPr>
        <w:t xml:space="preserve"> a </w:t>
      </w:r>
      <w:r w:rsidR="00F15417">
        <w:rPr>
          <w:rFonts w:cs="Calibri"/>
        </w:rPr>
        <w:t xml:space="preserve">střední podniky </w:t>
      </w:r>
      <w:r w:rsidRPr="3E8665BB">
        <w:rPr>
          <w:rFonts w:cs="Calibri"/>
        </w:rPr>
        <w:t>mj. tím, že počet tohoto typu partnerů</w:t>
      </w:r>
      <w:r w:rsidR="009B66B5">
        <w:rPr>
          <w:rFonts w:cs="Calibri"/>
        </w:rPr>
        <w:t xml:space="preserve"> a </w:t>
      </w:r>
      <w:r w:rsidR="00173AD7" w:rsidRPr="00173AD7">
        <w:rPr>
          <w:rFonts w:cs="Calibri"/>
        </w:rPr>
        <w:t xml:space="preserve">výše </w:t>
      </w:r>
      <w:r w:rsidRPr="00173AD7">
        <w:rPr>
          <w:rFonts w:cs="Calibri"/>
        </w:rPr>
        <w:t>jejich podílu</w:t>
      </w:r>
      <w:r w:rsidRPr="3E8665BB">
        <w:rPr>
          <w:rFonts w:cs="Calibri"/>
        </w:rPr>
        <w:t xml:space="preserve"> na rozpočtu projektů byly jedním</w:t>
      </w:r>
      <w:r w:rsidR="009B66B5">
        <w:rPr>
          <w:rFonts w:cs="Calibri"/>
        </w:rPr>
        <w:t xml:space="preserve"> z </w:t>
      </w:r>
      <w:r w:rsidRPr="3E8665BB">
        <w:rPr>
          <w:rFonts w:cs="Calibri"/>
        </w:rPr>
        <w:t>dílčích kritérií hodnocení projektových návrhů.</w:t>
      </w:r>
    </w:p>
    <w:p w14:paraId="3259FD72" w14:textId="77777777" w:rsidR="008444FF" w:rsidRDefault="008444FF" w:rsidP="008444FF">
      <w:pPr>
        <w:spacing w:line="257" w:lineRule="auto"/>
        <w:rPr>
          <w:rFonts w:cs="Calibri"/>
        </w:rPr>
      </w:pPr>
      <w:r w:rsidRPr="11F5AA33">
        <w:rPr>
          <w:rFonts w:cs="Calibri"/>
        </w:rPr>
        <w:t xml:space="preserve">Partnerem </w:t>
      </w:r>
      <w:r w:rsidR="00AA2026">
        <w:rPr>
          <w:rFonts w:cs="Calibri"/>
        </w:rPr>
        <w:t>Evropské komise</w:t>
      </w:r>
      <w:r w:rsidR="009B66B5">
        <w:rPr>
          <w:rFonts w:cs="Calibri"/>
        </w:rPr>
        <w:t xml:space="preserve"> v </w:t>
      </w:r>
      <w:r w:rsidRPr="11F5AA33">
        <w:rPr>
          <w:rFonts w:cs="Calibri"/>
        </w:rPr>
        <w:t>přípravě strategií programů</w:t>
      </w:r>
      <w:r w:rsidR="009B66B5">
        <w:rPr>
          <w:rFonts w:cs="Calibri"/>
        </w:rPr>
        <w:t xml:space="preserve"> a </w:t>
      </w:r>
      <w:r w:rsidRPr="11F5AA33">
        <w:rPr>
          <w:rFonts w:cs="Calibri"/>
        </w:rPr>
        <w:t>návrhů konkrétních témat do výzev jsou průmyslové asociace</w:t>
      </w:r>
      <w:r w:rsidR="009B66B5">
        <w:rPr>
          <w:rFonts w:cs="Calibri"/>
        </w:rPr>
        <w:t xml:space="preserve"> a </w:t>
      </w:r>
      <w:r w:rsidRPr="11F5AA33">
        <w:rPr>
          <w:rFonts w:cs="Calibri"/>
        </w:rPr>
        <w:t>platformy, které</w:t>
      </w:r>
      <w:r w:rsidR="009B66B5">
        <w:rPr>
          <w:rFonts w:cs="Calibri"/>
        </w:rPr>
        <w:t xml:space="preserve"> s </w:t>
      </w:r>
      <w:r w:rsidR="00AA2026">
        <w:rPr>
          <w:rFonts w:cs="Calibri"/>
        </w:rPr>
        <w:t>Evropskou komisí</w:t>
      </w:r>
      <w:r w:rsidRPr="11F5AA33">
        <w:rPr>
          <w:rFonts w:cs="Calibri"/>
        </w:rPr>
        <w:t xml:space="preserve"> spolupracují</w:t>
      </w:r>
      <w:r w:rsidR="009B66B5">
        <w:rPr>
          <w:rFonts w:cs="Calibri"/>
        </w:rPr>
        <w:t xml:space="preserve"> v </w:t>
      </w:r>
      <w:r w:rsidRPr="11F5AA33">
        <w:rPr>
          <w:rFonts w:cs="Calibri"/>
        </w:rPr>
        <w:t>rámci Partnership Boards. Tyto asociace</w:t>
      </w:r>
      <w:r w:rsidR="009B66B5">
        <w:rPr>
          <w:rFonts w:cs="Calibri"/>
        </w:rPr>
        <w:t xml:space="preserve"> a </w:t>
      </w:r>
      <w:r w:rsidR="00FF2E3A">
        <w:rPr>
          <w:rFonts w:cs="Calibri"/>
        </w:rPr>
        <w:t>platformy sdružují obvykle 100</w:t>
      </w:r>
      <w:r w:rsidR="00FF2E3A">
        <w:t>–</w:t>
      </w:r>
      <w:r w:rsidRPr="11F5AA33">
        <w:rPr>
          <w:rFonts w:cs="Calibri"/>
        </w:rPr>
        <w:t>200 významných evropských hráčů</w:t>
      </w:r>
      <w:r w:rsidR="009B66B5">
        <w:rPr>
          <w:rFonts w:cs="Calibri"/>
        </w:rPr>
        <w:t xml:space="preserve"> z </w:t>
      </w:r>
      <w:r w:rsidRPr="11F5AA33">
        <w:rPr>
          <w:rFonts w:cs="Calibri"/>
        </w:rPr>
        <w:t>průmyslu</w:t>
      </w:r>
      <w:r w:rsidR="00444A52">
        <w:rPr>
          <w:rFonts w:cs="Calibri"/>
        </w:rPr>
        <w:t>,</w:t>
      </w:r>
      <w:r w:rsidRPr="11F5AA33">
        <w:rPr>
          <w:rFonts w:cs="Calibri"/>
        </w:rPr>
        <w:t xml:space="preserve"> ale</w:t>
      </w:r>
      <w:r w:rsidR="009B66B5">
        <w:rPr>
          <w:rFonts w:cs="Calibri"/>
        </w:rPr>
        <w:t xml:space="preserve"> i </w:t>
      </w:r>
      <w:r w:rsidRPr="11F5AA33">
        <w:rPr>
          <w:rFonts w:cs="Calibri"/>
        </w:rPr>
        <w:t>výzkumu. Přehled současných partnerství, jejich návaznost na partnerství</w:t>
      </w:r>
      <w:r w:rsidR="009B66B5">
        <w:rPr>
          <w:rFonts w:cs="Calibri"/>
        </w:rPr>
        <w:t xml:space="preserve"> z </w:t>
      </w:r>
      <w:r w:rsidRPr="11F5AA33">
        <w:rPr>
          <w:rFonts w:cs="Calibri"/>
        </w:rPr>
        <w:t>období H</w:t>
      </w:r>
      <w:r w:rsidR="00444A52">
        <w:rPr>
          <w:rFonts w:cs="Calibri"/>
        </w:rPr>
        <w:t xml:space="preserve">orizontu </w:t>
      </w:r>
      <w:r w:rsidRPr="11F5AA33">
        <w:rPr>
          <w:rFonts w:cs="Calibri"/>
        </w:rPr>
        <w:t>2020</w:t>
      </w:r>
      <w:r w:rsidR="009B66B5">
        <w:rPr>
          <w:rFonts w:cs="Calibri"/>
        </w:rPr>
        <w:t xml:space="preserve"> a </w:t>
      </w:r>
      <w:r w:rsidRPr="11F5AA33">
        <w:rPr>
          <w:rFonts w:cs="Calibri"/>
        </w:rPr>
        <w:t xml:space="preserve">příslušné </w:t>
      </w:r>
      <w:r w:rsidR="00FF2E3A">
        <w:rPr>
          <w:rFonts w:cs="Calibri"/>
        </w:rPr>
        <w:t>asociace</w:t>
      </w:r>
      <w:r w:rsidR="009B66B5">
        <w:rPr>
          <w:rFonts w:cs="Calibri"/>
        </w:rPr>
        <w:t xml:space="preserve"> a </w:t>
      </w:r>
      <w:r w:rsidR="00FF2E3A">
        <w:rPr>
          <w:rFonts w:cs="Calibri"/>
        </w:rPr>
        <w:t>platformy zachycuje t</w:t>
      </w:r>
      <w:r w:rsidR="00173AD7">
        <w:rPr>
          <w:rFonts w:cs="Calibri"/>
        </w:rPr>
        <w:t>abulka 1 níže:</w:t>
      </w:r>
    </w:p>
    <w:p w14:paraId="415CBF4D" w14:textId="77777777" w:rsidR="00173AD7" w:rsidRPr="009305DA" w:rsidRDefault="009305DA" w:rsidP="008444FF">
      <w:pPr>
        <w:spacing w:line="257" w:lineRule="auto"/>
        <w:rPr>
          <w:b/>
        </w:rPr>
      </w:pPr>
      <w:r w:rsidRPr="009305DA">
        <w:rPr>
          <w:b/>
        </w:rPr>
        <w:t>Tabulka 1</w:t>
      </w:r>
    </w:p>
    <w:tbl>
      <w:tblPr>
        <w:tblStyle w:val="Svtltabulkasmkou1zvraznn5"/>
        <w:tblW w:w="5000" w:type="pct"/>
        <w:tblLook w:val="04A0" w:firstRow="1" w:lastRow="0" w:firstColumn="1" w:lastColumn="0" w:noHBand="0" w:noVBand="1"/>
      </w:tblPr>
      <w:tblGrid>
        <w:gridCol w:w="2487"/>
        <w:gridCol w:w="770"/>
        <w:gridCol w:w="622"/>
        <w:gridCol w:w="823"/>
        <w:gridCol w:w="702"/>
        <w:gridCol w:w="1305"/>
        <w:gridCol w:w="671"/>
        <w:gridCol w:w="637"/>
        <w:gridCol w:w="1043"/>
      </w:tblGrid>
      <w:tr w:rsidR="00170CAD" w:rsidRPr="00170CAD" w14:paraId="336BC0D2" w14:textId="77777777" w:rsidTr="00E1709E">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373" w:type="pct"/>
            <w:hideMark/>
          </w:tcPr>
          <w:p w14:paraId="1E23D25A" w14:textId="77777777" w:rsidR="00170CAD" w:rsidRPr="00170CAD" w:rsidRDefault="00170CAD" w:rsidP="00170CAD">
            <w:pPr>
              <w:spacing w:before="0" w:after="0"/>
              <w:jc w:val="left"/>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 xml:space="preserve">  Partnerství </w:t>
            </w:r>
          </w:p>
        </w:tc>
        <w:tc>
          <w:tcPr>
            <w:tcW w:w="425" w:type="pct"/>
            <w:hideMark/>
          </w:tcPr>
          <w:p w14:paraId="5F499751" w14:textId="77777777" w:rsidR="00170CAD" w:rsidRPr="00170CAD" w:rsidRDefault="00170CAD" w:rsidP="00170CAD">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 xml:space="preserve">Celkem  mil. € </w:t>
            </w:r>
          </w:p>
        </w:tc>
        <w:tc>
          <w:tcPr>
            <w:tcW w:w="343" w:type="pct"/>
            <w:hideMark/>
          </w:tcPr>
          <w:p w14:paraId="253EE95A" w14:textId="77777777" w:rsidR="00170CAD" w:rsidRPr="00170CAD" w:rsidRDefault="00170CAD" w:rsidP="00170CAD">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 xml:space="preserve">EU             mil. € </w:t>
            </w:r>
          </w:p>
        </w:tc>
        <w:tc>
          <w:tcPr>
            <w:tcW w:w="454" w:type="pct"/>
            <w:hideMark/>
          </w:tcPr>
          <w:p w14:paraId="798ADCE3" w14:textId="77777777" w:rsidR="00170CAD" w:rsidRPr="00170CAD" w:rsidRDefault="00170CAD" w:rsidP="00170CAD">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 xml:space="preserve">Partneři   mil. € </w:t>
            </w:r>
          </w:p>
        </w:tc>
        <w:tc>
          <w:tcPr>
            <w:tcW w:w="387" w:type="pct"/>
            <w:hideMark/>
          </w:tcPr>
          <w:p w14:paraId="5F48DD56" w14:textId="77777777" w:rsidR="00170CAD" w:rsidRPr="00170CAD" w:rsidRDefault="00170CAD" w:rsidP="00170CAD">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Oblast HE</w:t>
            </w:r>
          </w:p>
        </w:tc>
        <w:tc>
          <w:tcPr>
            <w:tcW w:w="720" w:type="pct"/>
            <w:hideMark/>
          </w:tcPr>
          <w:p w14:paraId="0960033D" w14:textId="77777777" w:rsidR="00170CAD" w:rsidRPr="00170CAD" w:rsidRDefault="00170CAD" w:rsidP="00170CAD">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Partnerská asociace</w:t>
            </w:r>
          </w:p>
        </w:tc>
        <w:tc>
          <w:tcPr>
            <w:tcW w:w="370" w:type="pct"/>
            <w:hideMark/>
          </w:tcPr>
          <w:p w14:paraId="4368EA37" w14:textId="77777777" w:rsidR="00170CAD" w:rsidRPr="00170CAD" w:rsidRDefault="00170CAD" w:rsidP="00170CAD">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Počet členů</w:t>
            </w:r>
          </w:p>
        </w:tc>
        <w:tc>
          <w:tcPr>
            <w:tcW w:w="352" w:type="pct"/>
            <w:hideMark/>
          </w:tcPr>
          <w:p w14:paraId="2AEE1C85" w14:textId="77777777" w:rsidR="00170CAD" w:rsidRPr="00170CAD" w:rsidRDefault="00170CAD" w:rsidP="00170CAD">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Počet CZ členů</w:t>
            </w:r>
          </w:p>
        </w:tc>
        <w:tc>
          <w:tcPr>
            <w:tcW w:w="576" w:type="pct"/>
            <w:hideMark/>
          </w:tcPr>
          <w:p w14:paraId="0BC8DA4F" w14:textId="77777777" w:rsidR="00170CAD" w:rsidRPr="00170CAD" w:rsidRDefault="00170CAD" w:rsidP="00170CAD">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Návaznost na partnerství</w:t>
            </w:r>
            <w:r w:rsidR="009B66B5">
              <w:rPr>
                <w:rFonts w:asciiTheme="minorHAnsi" w:eastAsia="Times New Roman" w:hAnsiTheme="minorHAnsi" w:cstheme="minorHAnsi"/>
                <w:sz w:val="18"/>
                <w:szCs w:val="18"/>
                <w:lang w:eastAsia="cs-CZ"/>
              </w:rPr>
              <w:t xml:space="preserve"> v </w:t>
            </w:r>
            <w:r w:rsidRPr="00170CAD">
              <w:rPr>
                <w:rFonts w:asciiTheme="minorHAnsi" w:eastAsia="Times New Roman" w:hAnsiTheme="minorHAnsi" w:cstheme="minorHAnsi"/>
                <w:sz w:val="18"/>
                <w:szCs w:val="18"/>
                <w:lang w:eastAsia="cs-CZ"/>
              </w:rPr>
              <w:t>H2020</w:t>
            </w:r>
          </w:p>
        </w:tc>
      </w:tr>
      <w:tr w:rsidR="00170CAD" w:rsidRPr="00170CAD" w14:paraId="1EE60EF4" w14:textId="77777777" w:rsidTr="00E1709E">
        <w:trPr>
          <w:trHeight w:val="567"/>
        </w:trPr>
        <w:tc>
          <w:tcPr>
            <w:cnfStyle w:val="001000000000" w:firstRow="0" w:lastRow="0" w:firstColumn="1" w:lastColumn="0" w:oddVBand="0" w:evenVBand="0" w:oddHBand="0" w:evenHBand="0" w:firstRowFirstColumn="0" w:firstRowLastColumn="0" w:lastRowFirstColumn="0" w:lastRowLastColumn="0"/>
            <w:tcW w:w="1373" w:type="pct"/>
            <w:hideMark/>
          </w:tcPr>
          <w:p w14:paraId="47D11400" w14:textId="77777777" w:rsidR="00170CAD" w:rsidRPr="00170CAD" w:rsidRDefault="00170CAD" w:rsidP="00170CAD">
            <w:pPr>
              <w:spacing w:before="0" w:after="0"/>
              <w:jc w:val="left"/>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Artifical Intelligence, Data and Robotics</w:t>
            </w:r>
          </w:p>
        </w:tc>
        <w:tc>
          <w:tcPr>
            <w:tcW w:w="425" w:type="pct"/>
            <w:noWrap/>
            <w:hideMark/>
          </w:tcPr>
          <w:p w14:paraId="3AF92A6D"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bCs/>
                <w:sz w:val="18"/>
                <w:szCs w:val="18"/>
                <w:lang w:eastAsia="cs-CZ"/>
              </w:rPr>
            </w:pPr>
            <w:r w:rsidRPr="00170CAD">
              <w:rPr>
                <w:rFonts w:asciiTheme="minorHAnsi" w:eastAsia="Times New Roman" w:hAnsiTheme="minorHAnsi" w:cstheme="minorHAnsi"/>
                <w:b/>
                <w:bCs/>
                <w:sz w:val="18"/>
                <w:szCs w:val="18"/>
                <w:lang w:eastAsia="cs-CZ"/>
              </w:rPr>
              <w:t>2 600</w:t>
            </w:r>
          </w:p>
        </w:tc>
        <w:tc>
          <w:tcPr>
            <w:tcW w:w="343" w:type="pct"/>
            <w:noWrap/>
            <w:hideMark/>
          </w:tcPr>
          <w:p w14:paraId="03DD7D0E"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1 300</w:t>
            </w:r>
          </w:p>
        </w:tc>
        <w:tc>
          <w:tcPr>
            <w:tcW w:w="454" w:type="pct"/>
            <w:noWrap/>
            <w:hideMark/>
          </w:tcPr>
          <w:p w14:paraId="63133350"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1 300</w:t>
            </w:r>
          </w:p>
        </w:tc>
        <w:tc>
          <w:tcPr>
            <w:tcW w:w="387" w:type="pct"/>
            <w:vMerge w:val="restart"/>
            <w:noWrap/>
            <w:hideMark/>
          </w:tcPr>
          <w:p w14:paraId="72A46ADD"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Cl-4</w:t>
            </w:r>
          </w:p>
        </w:tc>
        <w:tc>
          <w:tcPr>
            <w:tcW w:w="720" w:type="pct"/>
            <w:noWrap/>
            <w:hideMark/>
          </w:tcPr>
          <w:p w14:paraId="28A48238" w14:textId="77777777" w:rsidR="00170CAD" w:rsidRPr="00170CAD" w:rsidRDefault="00FA7752"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2E74B5" w:themeColor="accent1" w:themeShade="BF"/>
                <w:sz w:val="18"/>
                <w:szCs w:val="18"/>
                <w:u w:val="single"/>
                <w:lang w:eastAsia="cs-CZ"/>
              </w:rPr>
            </w:pPr>
            <w:hyperlink r:id="rId19" w:history="1">
              <w:r w:rsidR="00170CAD" w:rsidRPr="00170CAD">
                <w:rPr>
                  <w:rFonts w:asciiTheme="minorHAnsi" w:eastAsia="Times New Roman" w:hAnsiTheme="minorHAnsi" w:cstheme="minorHAnsi"/>
                  <w:color w:val="2E74B5" w:themeColor="accent1" w:themeShade="BF"/>
                  <w:sz w:val="18"/>
                  <w:szCs w:val="18"/>
                  <w:u w:val="single"/>
                  <w:lang w:eastAsia="cs-CZ"/>
                </w:rPr>
                <w:t>ADRA</w:t>
              </w:r>
            </w:hyperlink>
          </w:p>
        </w:tc>
        <w:tc>
          <w:tcPr>
            <w:tcW w:w="370" w:type="pct"/>
            <w:noWrap/>
            <w:hideMark/>
          </w:tcPr>
          <w:p w14:paraId="4A246167"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700+</w:t>
            </w:r>
          </w:p>
        </w:tc>
        <w:tc>
          <w:tcPr>
            <w:tcW w:w="352" w:type="pct"/>
            <w:noWrap/>
            <w:hideMark/>
          </w:tcPr>
          <w:p w14:paraId="70B99C0F"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13</w:t>
            </w:r>
          </w:p>
        </w:tc>
        <w:tc>
          <w:tcPr>
            <w:tcW w:w="576" w:type="pct"/>
            <w:hideMark/>
          </w:tcPr>
          <w:p w14:paraId="1BA4DE04"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Robotics</w:t>
            </w:r>
            <w:r w:rsidRPr="00170CAD">
              <w:rPr>
                <w:rFonts w:asciiTheme="minorHAnsi" w:eastAsia="Times New Roman" w:hAnsiTheme="minorHAnsi" w:cstheme="minorHAnsi"/>
                <w:sz w:val="18"/>
                <w:szCs w:val="18"/>
                <w:lang w:eastAsia="cs-CZ"/>
              </w:rPr>
              <w:br/>
              <w:t xml:space="preserve">Big Data </w:t>
            </w:r>
          </w:p>
        </w:tc>
      </w:tr>
      <w:tr w:rsidR="00170CAD" w:rsidRPr="00170CAD" w14:paraId="3DEF8DAD" w14:textId="77777777" w:rsidTr="00E1709E">
        <w:trPr>
          <w:trHeight w:val="567"/>
        </w:trPr>
        <w:tc>
          <w:tcPr>
            <w:cnfStyle w:val="001000000000" w:firstRow="0" w:lastRow="0" w:firstColumn="1" w:lastColumn="0" w:oddVBand="0" w:evenVBand="0" w:oddHBand="0" w:evenHBand="0" w:firstRowFirstColumn="0" w:firstRowLastColumn="0" w:lastRowFirstColumn="0" w:lastRowLastColumn="0"/>
            <w:tcW w:w="1373" w:type="pct"/>
            <w:hideMark/>
          </w:tcPr>
          <w:p w14:paraId="7AD875C3" w14:textId="77777777" w:rsidR="00170CAD" w:rsidRPr="00170CAD" w:rsidRDefault="00170CAD" w:rsidP="00170CAD">
            <w:pPr>
              <w:spacing w:before="0" w:after="0"/>
              <w:jc w:val="left"/>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 xml:space="preserve">Made in Europe </w:t>
            </w:r>
          </w:p>
        </w:tc>
        <w:tc>
          <w:tcPr>
            <w:tcW w:w="425" w:type="pct"/>
            <w:noWrap/>
            <w:hideMark/>
          </w:tcPr>
          <w:p w14:paraId="5D2AB2D9"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bCs/>
                <w:sz w:val="18"/>
                <w:szCs w:val="18"/>
                <w:lang w:eastAsia="cs-CZ"/>
              </w:rPr>
            </w:pPr>
            <w:r w:rsidRPr="00170CAD">
              <w:rPr>
                <w:rFonts w:asciiTheme="minorHAnsi" w:eastAsia="Times New Roman" w:hAnsiTheme="minorHAnsi" w:cstheme="minorHAnsi"/>
                <w:b/>
                <w:bCs/>
                <w:sz w:val="18"/>
                <w:szCs w:val="18"/>
                <w:lang w:eastAsia="cs-CZ"/>
              </w:rPr>
              <w:t>1 800</w:t>
            </w:r>
          </w:p>
        </w:tc>
        <w:tc>
          <w:tcPr>
            <w:tcW w:w="343" w:type="pct"/>
            <w:noWrap/>
            <w:hideMark/>
          </w:tcPr>
          <w:p w14:paraId="4A1C1628"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900</w:t>
            </w:r>
          </w:p>
        </w:tc>
        <w:tc>
          <w:tcPr>
            <w:tcW w:w="454" w:type="pct"/>
            <w:noWrap/>
            <w:hideMark/>
          </w:tcPr>
          <w:p w14:paraId="328AE8E1"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900</w:t>
            </w:r>
          </w:p>
        </w:tc>
        <w:tc>
          <w:tcPr>
            <w:tcW w:w="387" w:type="pct"/>
            <w:vMerge/>
            <w:hideMark/>
          </w:tcPr>
          <w:p w14:paraId="1614CC3E" w14:textId="77777777" w:rsidR="00170CAD" w:rsidRPr="00170CAD" w:rsidRDefault="00170CAD" w:rsidP="00170CAD">
            <w:pPr>
              <w:spacing w:before="0" w:after="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p>
        </w:tc>
        <w:tc>
          <w:tcPr>
            <w:tcW w:w="720" w:type="pct"/>
            <w:noWrap/>
            <w:hideMark/>
          </w:tcPr>
          <w:p w14:paraId="36EC2B75" w14:textId="77777777" w:rsidR="00170CAD" w:rsidRPr="00170CAD" w:rsidRDefault="00FA7752"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2E74B5" w:themeColor="accent1" w:themeShade="BF"/>
                <w:sz w:val="18"/>
                <w:szCs w:val="18"/>
                <w:u w:val="single"/>
                <w:lang w:eastAsia="cs-CZ"/>
              </w:rPr>
            </w:pPr>
            <w:hyperlink r:id="rId20" w:history="1">
              <w:r w:rsidR="00170CAD" w:rsidRPr="00170CAD">
                <w:rPr>
                  <w:rFonts w:asciiTheme="minorHAnsi" w:eastAsia="Times New Roman" w:hAnsiTheme="minorHAnsi" w:cstheme="minorHAnsi"/>
                  <w:color w:val="2E74B5" w:themeColor="accent1" w:themeShade="BF"/>
                  <w:sz w:val="18"/>
                  <w:szCs w:val="18"/>
                  <w:u w:val="single"/>
                  <w:lang w:eastAsia="cs-CZ"/>
                </w:rPr>
                <w:t>EFFRA</w:t>
              </w:r>
            </w:hyperlink>
          </w:p>
        </w:tc>
        <w:tc>
          <w:tcPr>
            <w:tcW w:w="370" w:type="pct"/>
            <w:noWrap/>
            <w:hideMark/>
          </w:tcPr>
          <w:p w14:paraId="1D4C058B"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199</w:t>
            </w:r>
          </w:p>
        </w:tc>
        <w:tc>
          <w:tcPr>
            <w:tcW w:w="352" w:type="pct"/>
            <w:noWrap/>
            <w:hideMark/>
          </w:tcPr>
          <w:p w14:paraId="087D5767"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1</w:t>
            </w:r>
          </w:p>
        </w:tc>
        <w:tc>
          <w:tcPr>
            <w:tcW w:w="576" w:type="pct"/>
            <w:hideMark/>
          </w:tcPr>
          <w:p w14:paraId="4B8EBCD8"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Factories of the Future</w:t>
            </w:r>
          </w:p>
        </w:tc>
      </w:tr>
      <w:tr w:rsidR="00170CAD" w:rsidRPr="00170CAD" w14:paraId="510AA27D" w14:textId="77777777" w:rsidTr="00E1709E">
        <w:trPr>
          <w:trHeight w:val="567"/>
        </w:trPr>
        <w:tc>
          <w:tcPr>
            <w:cnfStyle w:val="001000000000" w:firstRow="0" w:lastRow="0" w:firstColumn="1" w:lastColumn="0" w:oddVBand="0" w:evenVBand="0" w:oddHBand="0" w:evenHBand="0" w:firstRowFirstColumn="0" w:firstRowLastColumn="0" w:lastRowFirstColumn="0" w:lastRowLastColumn="0"/>
            <w:tcW w:w="1373" w:type="pct"/>
            <w:hideMark/>
          </w:tcPr>
          <w:p w14:paraId="2A1AEC35" w14:textId="77777777" w:rsidR="00170CAD" w:rsidRPr="00170CAD" w:rsidRDefault="00170CAD" w:rsidP="00170CAD">
            <w:pPr>
              <w:spacing w:before="0" w:after="0"/>
              <w:jc w:val="left"/>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 xml:space="preserve">Processes4Planet </w:t>
            </w:r>
          </w:p>
        </w:tc>
        <w:tc>
          <w:tcPr>
            <w:tcW w:w="425" w:type="pct"/>
            <w:noWrap/>
            <w:hideMark/>
          </w:tcPr>
          <w:p w14:paraId="65E4763B"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bCs/>
                <w:sz w:val="18"/>
                <w:szCs w:val="18"/>
                <w:lang w:eastAsia="cs-CZ"/>
              </w:rPr>
            </w:pPr>
            <w:r w:rsidRPr="00170CAD">
              <w:rPr>
                <w:rFonts w:asciiTheme="minorHAnsi" w:eastAsia="Times New Roman" w:hAnsiTheme="minorHAnsi" w:cstheme="minorHAnsi"/>
                <w:b/>
                <w:bCs/>
                <w:sz w:val="18"/>
                <w:szCs w:val="18"/>
                <w:lang w:eastAsia="cs-CZ"/>
              </w:rPr>
              <w:t>2 600</w:t>
            </w:r>
          </w:p>
        </w:tc>
        <w:tc>
          <w:tcPr>
            <w:tcW w:w="343" w:type="pct"/>
            <w:noWrap/>
            <w:hideMark/>
          </w:tcPr>
          <w:p w14:paraId="0898B27E"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1 300</w:t>
            </w:r>
          </w:p>
        </w:tc>
        <w:tc>
          <w:tcPr>
            <w:tcW w:w="454" w:type="pct"/>
            <w:noWrap/>
            <w:hideMark/>
          </w:tcPr>
          <w:p w14:paraId="65044551"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1 300</w:t>
            </w:r>
          </w:p>
        </w:tc>
        <w:tc>
          <w:tcPr>
            <w:tcW w:w="387" w:type="pct"/>
            <w:vMerge/>
            <w:hideMark/>
          </w:tcPr>
          <w:p w14:paraId="6FE42172" w14:textId="77777777" w:rsidR="00170CAD" w:rsidRPr="00170CAD" w:rsidRDefault="00170CAD" w:rsidP="00170CAD">
            <w:pPr>
              <w:spacing w:before="0" w:after="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p>
        </w:tc>
        <w:tc>
          <w:tcPr>
            <w:tcW w:w="720" w:type="pct"/>
            <w:noWrap/>
            <w:hideMark/>
          </w:tcPr>
          <w:p w14:paraId="1DE3F745" w14:textId="77777777" w:rsidR="00170CAD" w:rsidRPr="00170CAD" w:rsidRDefault="00FA7752"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2E74B5" w:themeColor="accent1" w:themeShade="BF"/>
                <w:sz w:val="18"/>
                <w:szCs w:val="18"/>
                <w:u w:val="single"/>
                <w:lang w:eastAsia="cs-CZ"/>
              </w:rPr>
            </w:pPr>
            <w:hyperlink r:id="rId21" w:history="1">
              <w:r w:rsidR="00170CAD" w:rsidRPr="00170CAD">
                <w:rPr>
                  <w:rFonts w:asciiTheme="minorHAnsi" w:eastAsia="Times New Roman" w:hAnsiTheme="minorHAnsi" w:cstheme="minorHAnsi"/>
                  <w:color w:val="2E74B5" w:themeColor="accent1" w:themeShade="BF"/>
                  <w:sz w:val="18"/>
                  <w:szCs w:val="18"/>
                  <w:u w:val="single"/>
                  <w:lang w:eastAsia="cs-CZ"/>
                </w:rPr>
                <w:t>A.SPIRE</w:t>
              </w:r>
            </w:hyperlink>
          </w:p>
        </w:tc>
        <w:tc>
          <w:tcPr>
            <w:tcW w:w="370" w:type="pct"/>
            <w:noWrap/>
            <w:hideMark/>
          </w:tcPr>
          <w:p w14:paraId="4D91D86C"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186</w:t>
            </w:r>
          </w:p>
        </w:tc>
        <w:tc>
          <w:tcPr>
            <w:tcW w:w="352" w:type="pct"/>
            <w:noWrap/>
            <w:hideMark/>
          </w:tcPr>
          <w:p w14:paraId="6F289693"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1</w:t>
            </w:r>
          </w:p>
        </w:tc>
        <w:tc>
          <w:tcPr>
            <w:tcW w:w="576" w:type="pct"/>
            <w:hideMark/>
          </w:tcPr>
          <w:p w14:paraId="03258276"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SPIRE</w:t>
            </w:r>
          </w:p>
        </w:tc>
      </w:tr>
      <w:tr w:rsidR="00170CAD" w:rsidRPr="00170CAD" w14:paraId="2CE5D978" w14:textId="77777777" w:rsidTr="00E1709E">
        <w:trPr>
          <w:trHeight w:val="567"/>
        </w:trPr>
        <w:tc>
          <w:tcPr>
            <w:cnfStyle w:val="001000000000" w:firstRow="0" w:lastRow="0" w:firstColumn="1" w:lastColumn="0" w:oddVBand="0" w:evenVBand="0" w:oddHBand="0" w:evenHBand="0" w:firstRowFirstColumn="0" w:firstRowLastColumn="0" w:lastRowFirstColumn="0" w:lastRowLastColumn="0"/>
            <w:tcW w:w="1373" w:type="pct"/>
            <w:hideMark/>
          </w:tcPr>
          <w:p w14:paraId="2008630A" w14:textId="77777777" w:rsidR="00170CAD" w:rsidRPr="00170CAD" w:rsidRDefault="00170CAD" w:rsidP="00170CAD">
            <w:pPr>
              <w:spacing w:before="0" w:after="0"/>
              <w:jc w:val="left"/>
              <w:rPr>
                <w:rFonts w:asciiTheme="minorHAnsi" w:eastAsia="Times New Roman" w:hAnsiTheme="minorHAnsi" w:cstheme="minorHAnsi"/>
                <w:sz w:val="18"/>
                <w:szCs w:val="18"/>
                <w:lang w:eastAsia="cs-CZ"/>
              </w:rPr>
            </w:pPr>
            <w:r w:rsidRPr="00170CAD">
              <w:rPr>
                <w:rFonts w:asciiTheme="minorHAnsi" w:eastAsia="Times New Roman" w:hAnsiTheme="minorHAnsi" w:cstheme="minorHAnsi"/>
                <w:b w:val="0"/>
                <w:bCs w:val="0"/>
                <w:sz w:val="18"/>
                <w:szCs w:val="18"/>
                <w:lang w:eastAsia="cs-CZ"/>
              </w:rPr>
              <w:t>P</w:t>
            </w:r>
            <w:r w:rsidRPr="00170CAD">
              <w:rPr>
                <w:rFonts w:asciiTheme="minorHAnsi" w:eastAsia="Times New Roman" w:hAnsiTheme="minorHAnsi" w:cstheme="minorHAnsi"/>
                <w:sz w:val="18"/>
                <w:szCs w:val="18"/>
                <w:lang w:eastAsia="cs-CZ"/>
              </w:rPr>
              <w:t>hotonics</w:t>
            </w:r>
          </w:p>
        </w:tc>
        <w:tc>
          <w:tcPr>
            <w:tcW w:w="425" w:type="pct"/>
            <w:noWrap/>
            <w:hideMark/>
          </w:tcPr>
          <w:p w14:paraId="7CCC4800"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bCs/>
                <w:sz w:val="18"/>
                <w:szCs w:val="18"/>
                <w:lang w:eastAsia="cs-CZ"/>
              </w:rPr>
            </w:pPr>
            <w:r w:rsidRPr="00170CAD">
              <w:rPr>
                <w:rFonts w:asciiTheme="minorHAnsi" w:eastAsia="Times New Roman" w:hAnsiTheme="minorHAnsi" w:cstheme="minorHAnsi"/>
                <w:b/>
                <w:bCs/>
                <w:sz w:val="18"/>
                <w:szCs w:val="18"/>
                <w:lang w:eastAsia="cs-CZ"/>
              </w:rPr>
              <w:t>680</w:t>
            </w:r>
          </w:p>
        </w:tc>
        <w:tc>
          <w:tcPr>
            <w:tcW w:w="343" w:type="pct"/>
            <w:noWrap/>
            <w:hideMark/>
          </w:tcPr>
          <w:p w14:paraId="43F3323E"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340</w:t>
            </w:r>
          </w:p>
        </w:tc>
        <w:tc>
          <w:tcPr>
            <w:tcW w:w="454" w:type="pct"/>
            <w:noWrap/>
            <w:hideMark/>
          </w:tcPr>
          <w:p w14:paraId="63DB534E"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340</w:t>
            </w:r>
          </w:p>
        </w:tc>
        <w:tc>
          <w:tcPr>
            <w:tcW w:w="387" w:type="pct"/>
            <w:vMerge/>
            <w:hideMark/>
          </w:tcPr>
          <w:p w14:paraId="7017CEEB" w14:textId="77777777" w:rsidR="00170CAD" w:rsidRPr="00170CAD" w:rsidRDefault="00170CAD" w:rsidP="00170CAD">
            <w:pPr>
              <w:spacing w:before="0" w:after="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p>
        </w:tc>
        <w:tc>
          <w:tcPr>
            <w:tcW w:w="720" w:type="pct"/>
            <w:hideMark/>
          </w:tcPr>
          <w:p w14:paraId="5C6A09AD" w14:textId="77777777" w:rsidR="00170CAD" w:rsidRPr="00170CAD" w:rsidRDefault="00FA7752"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2E74B5" w:themeColor="accent1" w:themeShade="BF"/>
                <w:sz w:val="18"/>
                <w:szCs w:val="18"/>
                <w:u w:val="single"/>
                <w:lang w:eastAsia="cs-CZ"/>
              </w:rPr>
            </w:pPr>
            <w:hyperlink r:id="rId22" w:history="1">
              <w:r w:rsidR="00170CAD" w:rsidRPr="00170CAD">
                <w:rPr>
                  <w:rFonts w:asciiTheme="minorHAnsi" w:eastAsia="Times New Roman" w:hAnsiTheme="minorHAnsi" w:cstheme="minorHAnsi"/>
                  <w:color w:val="2E74B5" w:themeColor="accent1" w:themeShade="BF"/>
                  <w:sz w:val="18"/>
                  <w:szCs w:val="18"/>
                  <w:u w:val="single"/>
                  <w:lang w:eastAsia="cs-CZ"/>
                </w:rPr>
                <w:t>ETP Photonics21</w:t>
              </w:r>
            </w:hyperlink>
          </w:p>
        </w:tc>
        <w:tc>
          <w:tcPr>
            <w:tcW w:w="370" w:type="pct"/>
            <w:noWrap/>
            <w:hideMark/>
          </w:tcPr>
          <w:p w14:paraId="6B0218DF"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3000+</w:t>
            </w:r>
          </w:p>
        </w:tc>
        <w:tc>
          <w:tcPr>
            <w:tcW w:w="352" w:type="pct"/>
            <w:noWrap/>
            <w:hideMark/>
          </w:tcPr>
          <w:p w14:paraId="4A8119D9"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n/a</w:t>
            </w:r>
          </w:p>
        </w:tc>
        <w:tc>
          <w:tcPr>
            <w:tcW w:w="576" w:type="pct"/>
            <w:hideMark/>
          </w:tcPr>
          <w:p w14:paraId="55C976F8"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Photonics</w:t>
            </w:r>
          </w:p>
        </w:tc>
      </w:tr>
      <w:tr w:rsidR="00170CAD" w:rsidRPr="00170CAD" w14:paraId="3441608A" w14:textId="77777777" w:rsidTr="00E1709E">
        <w:trPr>
          <w:trHeight w:val="567"/>
        </w:trPr>
        <w:tc>
          <w:tcPr>
            <w:cnfStyle w:val="001000000000" w:firstRow="0" w:lastRow="0" w:firstColumn="1" w:lastColumn="0" w:oddVBand="0" w:evenVBand="0" w:oddHBand="0" w:evenHBand="0" w:firstRowFirstColumn="0" w:firstRowLastColumn="0" w:lastRowFirstColumn="0" w:lastRowLastColumn="0"/>
            <w:tcW w:w="1373" w:type="pct"/>
            <w:hideMark/>
          </w:tcPr>
          <w:p w14:paraId="08D48E1D" w14:textId="77777777" w:rsidR="00170CAD" w:rsidRPr="00170CAD" w:rsidRDefault="00170CAD" w:rsidP="00170CAD">
            <w:pPr>
              <w:spacing w:before="0" w:after="0"/>
              <w:jc w:val="left"/>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Clean Steel - Low Carbon Steelmaking</w:t>
            </w:r>
          </w:p>
        </w:tc>
        <w:tc>
          <w:tcPr>
            <w:tcW w:w="425" w:type="pct"/>
            <w:noWrap/>
            <w:hideMark/>
          </w:tcPr>
          <w:p w14:paraId="5D5CA6E1"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bCs/>
                <w:sz w:val="18"/>
                <w:szCs w:val="18"/>
                <w:lang w:eastAsia="cs-CZ"/>
              </w:rPr>
            </w:pPr>
            <w:r w:rsidRPr="00170CAD">
              <w:rPr>
                <w:rFonts w:asciiTheme="minorHAnsi" w:eastAsia="Times New Roman" w:hAnsiTheme="minorHAnsi" w:cstheme="minorHAnsi"/>
                <w:b/>
                <w:bCs/>
                <w:sz w:val="18"/>
                <w:szCs w:val="18"/>
                <w:lang w:eastAsia="cs-CZ"/>
              </w:rPr>
              <w:t>1 700</w:t>
            </w:r>
          </w:p>
        </w:tc>
        <w:tc>
          <w:tcPr>
            <w:tcW w:w="343" w:type="pct"/>
            <w:noWrap/>
            <w:hideMark/>
          </w:tcPr>
          <w:p w14:paraId="467AF65B"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700</w:t>
            </w:r>
          </w:p>
        </w:tc>
        <w:tc>
          <w:tcPr>
            <w:tcW w:w="454" w:type="pct"/>
            <w:noWrap/>
            <w:hideMark/>
          </w:tcPr>
          <w:p w14:paraId="7649DB1F"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1 000</w:t>
            </w:r>
          </w:p>
        </w:tc>
        <w:tc>
          <w:tcPr>
            <w:tcW w:w="387" w:type="pct"/>
            <w:vMerge/>
            <w:hideMark/>
          </w:tcPr>
          <w:p w14:paraId="0A681AD8" w14:textId="77777777" w:rsidR="00170CAD" w:rsidRPr="00170CAD" w:rsidRDefault="00170CAD" w:rsidP="00170CAD">
            <w:pPr>
              <w:spacing w:before="0" w:after="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p>
        </w:tc>
        <w:tc>
          <w:tcPr>
            <w:tcW w:w="720" w:type="pct"/>
            <w:noWrap/>
            <w:hideMark/>
          </w:tcPr>
          <w:p w14:paraId="56DA7735" w14:textId="77777777" w:rsidR="00170CAD" w:rsidRPr="00170CAD" w:rsidRDefault="00FA7752"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2E74B5" w:themeColor="accent1" w:themeShade="BF"/>
                <w:sz w:val="18"/>
                <w:szCs w:val="18"/>
                <w:u w:val="single"/>
                <w:lang w:eastAsia="cs-CZ"/>
              </w:rPr>
            </w:pPr>
            <w:hyperlink r:id="rId23" w:history="1">
              <w:r w:rsidR="00170CAD" w:rsidRPr="00170CAD">
                <w:rPr>
                  <w:rFonts w:asciiTheme="minorHAnsi" w:eastAsia="Times New Roman" w:hAnsiTheme="minorHAnsi" w:cstheme="minorHAnsi"/>
                  <w:color w:val="2E74B5" w:themeColor="accent1" w:themeShade="BF"/>
                  <w:sz w:val="18"/>
                  <w:szCs w:val="18"/>
                  <w:u w:val="single"/>
                  <w:lang w:eastAsia="cs-CZ"/>
                </w:rPr>
                <w:t>RFCS</w:t>
              </w:r>
            </w:hyperlink>
          </w:p>
        </w:tc>
        <w:tc>
          <w:tcPr>
            <w:tcW w:w="370" w:type="pct"/>
            <w:noWrap/>
            <w:hideMark/>
          </w:tcPr>
          <w:p w14:paraId="161C0293"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n/a</w:t>
            </w:r>
          </w:p>
        </w:tc>
        <w:tc>
          <w:tcPr>
            <w:tcW w:w="352" w:type="pct"/>
            <w:noWrap/>
            <w:hideMark/>
          </w:tcPr>
          <w:p w14:paraId="4B9B7E78"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n/a</w:t>
            </w:r>
          </w:p>
        </w:tc>
        <w:tc>
          <w:tcPr>
            <w:tcW w:w="576" w:type="pct"/>
            <w:hideMark/>
          </w:tcPr>
          <w:p w14:paraId="274F9CDC"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nové</w:t>
            </w:r>
          </w:p>
        </w:tc>
      </w:tr>
      <w:tr w:rsidR="00170CAD" w:rsidRPr="00170CAD" w14:paraId="4E6E606C" w14:textId="77777777" w:rsidTr="00E1709E">
        <w:trPr>
          <w:trHeight w:val="567"/>
        </w:trPr>
        <w:tc>
          <w:tcPr>
            <w:cnfStyle w:val="001000000000" w:firstRow="0" w:lastRow="0" w:firstColumn="1" w:lastColumn="0" w:oddVBand="0" w:evenVBand="0" w:oddHBand="0" w:evenHBand="0" w:firstRowFirstColumn="0" w:firstRowLastColumn="0" w:lastRowFirstColumn="0" w:lastRowLastColumn="0"/>
            <w:tcW w:w="1373" w:type="pct"/>
            <w:hideMark/>
          </w:tcPr>
          <w:p w14:paraId="4B2165F3" w14:textId="77777777" w:rsidR="00170CAD" w:rsidRPr="00170CAD" w:rsidRDefault="00170CAD" w:rsidP="00170CAD">
            <w:pPr>
              <w:spacing w:before="0" w:after="0"/>
              <w:jc w:val="left"/>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People-centric sustainable built environment (Built4People)</w:t>
            </w:r>
          </w:p>
        </w:tc>
        <w:tc>
          <w:tcPr>
            <w:tcW w:w="425" w:type="pct"/>
            <w:noWrap/>
            <w:hideMark/>
          </w:tcPr>
          <w:p w14:paraId="5B50F09F"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bCs/>
                <w:sz w:val="18"/>
                <w:szCs w:val="18"/>
                <w:lang w:eastAsia="cs-CZ"/>
              </w:rPr>
            </w:pPr>
            <w:r w:rsidRPr="00170CAD">
              <w:rPr>
                <w:rFonts w:asciiTheme="minorHAnsi" w:eastAsia="Times New Roman" w:hAnsiTheme="minorHAnsi" w:cstheme="minorHAnsi"/>
                <w:b/>
                <w:bCs/>
                <w:sz w:val="18"/>
                <w:szCs w:val="18"/>
                <w:lang w:eastAsia="cs-CZ"/>
              </w:rPr>
              <w:t>780</w:t>
            </w:r>
          </w:p>
        </w:tc>
        <w:tc>
          <w:tcPr>
            <w:tcW w:w="343" w:type="pct"/>
            <w:noWrap/>
            <w:hideMark/>
          </w:tcPr>
          <w:p w14:paraId="4B2BD954"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380</w:t>
            </w:r>
          </w:p>
        </w:tc>
        <w:tc>
          <w:tcPr>
            <w:tcW w:w="454" w:type="pct"/>
            <w:noWrap/>
            <w:hideMark/>
          </w:tcPr>
          <w:p w14:paraId="6C3D55FD"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400</w:t>
            </w:r>
          </w:p>
        </w:tc>
        <w:tc>
          <w:tcPr>
            <w:tcW w:w="387" w:type="pct"/>
            <w:vMerge w:val="restart"/>
            <w:noWrap/>
            <w:hideMark/>
          </w:tcPr>
          <w:p w14:paraId="0818A906"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Cl-5</w:t>
            </w:r>
          </w:p>
        </w:tc>
        <w:tc>
          <w:tcPr>
            <w:tcW w:w="720" w:type="pct"/>
            <w:noWrap/>
            <w:hideMark/>
          </w:tcPr>
          <w:p w14:paraId="3519040D" w14:textId="77777777" w:rsidR="00170CAD" w:rsidRPr="00170CAD" w:rsidRDefault="00FA7752"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2E74B5" w:themeColor="accent1" w:themeShade="BF"/>
                <w:sz w:val="18"/>
                <w:szCs w:val="18"/>
                <w:u w:val="single"/>
                <w:lang w:eastAsia="cs-CZ"/>
              </w:rPr>
            </w:pPr>
            <w:hyperlink r:id="rId24" w:history="1">
              <w:r w:rsidR="00170CAD" w:rsidRPr="00170CAD">
                <w:rPr>
                  <w:rFonts w:asciiTheme="minorHAnsi" w:eastAsia="Times New Roman" w:hAnsiTheme="minorHAnsi" w:cstheme="minorHAnsi"/>
                  <w:color w:val="2E74B5" w:themeColor="accent1" w:themeShade="BF"/>
                  <w:sz w:val="18"/>
                  <w:szCs w:val="18"/>
                  <w:u w:val="single"/>
                  <w:lang w:eastAsia="cs-CZ"/>
                </w:rPr>
                <w:t>ECTP</w:t>
              </w:r>
            </w:hyperlink>
          </w:p>
        </w:tc>
        <w:tc>
          <w:tcPr>
            <w:tcW w:w="370" w:type="pct"/>
            <w:noWrap/>
            <w:hideMark/>
          </w:tcPr>
          <w:p w14:paraId="1BBD3B65"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180</w:t>
            </w:r>
          </w:p>
        </w:tc>
        <w:tc>
          <w:tcPr>
            <w:tcW w:w="352" w:type="pct"/>
            <w:noWrap/>
            <w:hideMark/>
          </w:tcPr>
          <w:p w14:paraId="459C4EE8"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4</w:t>
            </w:r>
          </w:p>
        </w:tc>
        <w:tc>
          <w:tcPr>
            <w:tcW w:w="576" w:type="pct"/>
            <w:hideMark/>
          </w:tcPr>
          <w:p w14:paraId="188C037C"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Energy-efficient Buildings (EeB)</w:t>
            </w:r>
          </w:p>
        </w:tc>
      </w:tr>
      <w:tr w:rsidR="00170CAD" w:rsidRPr="00170CAD" w14:paraId="6AB143F2" w14:textId="77777777" w:rsidTr="00E1709E">
        <w:trPr>
          <w:trHeight w:val="567"/>
        </w:trPr>
        <w:tc>
          <w:tcPr>
            <w:cnfStyle w:val="001000000000" w:firstRow="0" w:lastRow="0" w:firstColumn="1" w:lastColumn="0" w:oddVBand="0" w:evenVBand="0" w:oddHBand="0" w:evenHBand="0" w:firstRowFirstColumn="0" w:firstRowLastColumn="0" w:lastRowFirstColumn="0" w:lastRowLastColumn="0"/>
            <w:tcW w:w="1373" w:type="pct"/>
            <w:hideMark/>
          </w:tcPr>
          <w:p w14:paraId="7B75E7CC" w14:textId="77777777" w:rsidR="00170CAD" w:rsidRPr="00170CAD" w:rsidRDefault="00170CAD" w:rsidP="00170CAD">
            <w:pPr>
              <w:spacing w:before="0" w:after="0"/>
              <w:jc w:val="left"/>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Industrial Battery Value Chain (BATT4EU)</w:t>
            </w:r>
          </w:p>
        </w:tc>
        <w:tc>
          <w:tcPr>
            <w:tcW w:w="425" w:type="pct"/>
            <w:noWrap/>
            <w:hideMark/>
          </w:tcPr>
          <w:p w14:paraId="754A71C5"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bCs/>
                <w:sz w:val="18"/>
                <w:szCs w:val="18"/>
                <w:lang w:eastAsia="cs-CZ"/>
              </w:rPr>
            </w:pPr>
            <w:r w:rsidRPr="00170CAD">
              <w:rPr>
                <w:rFonts w:asciiTheme="minorHAnsi" w:eastAsia="Times New Roman" w:hAnsiTheme="minorHAnsi" w:cstheme="minorHAnsi"/>
                <w:b/>
                <w:bCs/>
                <w:sz w:val="18"/>
                <w:szCs w:val="18"/>
                <w:lang w:eastAsia="cs-CZ"/>
              </w:rPr>
              <w:t>1 850</w:t>
            </w:r>
          </w:p>
        </w:tc>
        <w:tc>
          <w:tcPr>
            <w:tcW w:w="343" w:type="pct"/>
            <w:noWrap/>
            <w:hideMark/>
          </w:tcPr>
          <w:p w14:paraId="43FB8BBA"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925</w:t>
            </w:r>
          </w:p>
        </w:tc>
        <w:tc>
          <w:tcPr>
            <w:tcW w:w="454" w:type="pct"/>
            <w:noWrap/>
            <w:hideMark/>
          </w:tcPr>
          <w:p w14:paraId="242C2D79"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925</w:t>
            </w:r>
          </w:p>
        </w:tc>
        <w:tc>
          <w:tcPr>
            <w:tcW w:w="387" w:type="pct"/>
            <w:vMerge/>
            <w:hideMark/>
          </w:tcPr>
          <w:p w14:paraId="4DD938B3" w14:textId="77777777" w:rsidR="00170CAD" w:rsidRPr="00170CAD" w:rsidRDefault="00170CAD" w:rsidP="00170CAD">
            <w:pPr>
              <w:spacing w:before="0" w:after="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p>
        </w:tc>
        <w:tc>
          <w:tcPr>
            <w:tcW w:w="720" w:type="pct"/>
            <w:hideMark/>
          </w:tcPr>
          <w:p w14:paraId="2160F848" w14:textId="77777777" w:rsidR="00170CAD" w:rsidRPr="00170CAD" w:rsidRDefault="00FA7752"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2E74B5" w:themeColor="accent1" w:themeShade="BF"/>
                <w:sz w:val="18"/>
                <w:szCs w:val="18"/>
                <w:u w:val="single"/>
                <w:lang w:eastAsia="cs-CZ"/>
              </w:rPr>
            </w:pPr>
            <w:hyperlink r:id="rId25" w:history="1">
              <w:r w:rsidR="00170CAD" w:rsidRPr="00170CAD">
                <w:rPr>
                  <w:rFonts w:asciiTheme="minorHAnsi" w:eastAsia="Times New Roman" w:hAnsiTheme="minorHAnsi" w:cstheme="minorHAnsi"/>
                  <w:color w:val="2E74B5" w:themeColor="accent1" w:themeShade="BF"/>
                  <w:sz w:val="18"/>
                  <w:szCs w:val="18"/>
                  <w:u w:val="single"/>
                  <w:lang w:eastAsia="cs-CZ"/>
                </w:rPr>
                <w:t>BEPA</w:t>
              </w:r>
            </w:hyperlink>
          </w:p>
        </w:tc>
        <w:tc>
          <w:tcPr>
            <w:tcW w:w="370" w:type="pct"/>
            <w:noWrap/>
            <w:hideMark/>
          </w:tcPr>
          <w:p w14:paraId="2021A00D"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150+</w:t>
            </w:r>
          </w:p>
        </w:tc>
        <w:tc>
          <w:tcPr>
            <w:tcW w:w="352" w:type="pct"/>
            <w:noWrap/>
            <w:hideMark/>
          </w:tcPr>
          <w:p w14:paraId="4505C78C"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n/a</w:t>
            </w:r>
          </w:p>
        </w:tc>
        <w:tc>
          <w:tcPr>
            <w:tcW w:w="576" w:type="pct"/>
            <w:hideMark/>
          </w:tcPr>
          <w:p w14:paraId="09C521E0"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Battery 2030+</w:t>
            </w:r>
          </w:p>
        </w:tc>
      </w:tr>
      <w:tr w:rsidR="00170CAD" w:rsidRPr="00170CAD" w14:paraId="1B9EC3A3" w14:textId="77777777" w:rsidTr="00E1709E">
        <w:trPr>
          <w:trHeight w:val="567"/>
        </w:trPr>
        <w:tc>
          <w:tcPr>
            <w:cnfStyle w:val="001000000000" w:firstRow="0" w:lastRow="0" w:firstColumn="1" w:lastColumn="0" w:oddVBand="0" w:evenVBand="0" w:oddHBand="0" w:evenHBand="0" w:firstRowFirstColumn="0" w:firstRowLastColumn="0" w:lastRowFirstColumn="0" w:lastRowLastColumn="0"/>
            <w:tcW w:w="1373" w:type="pct"/>
            <w:hideMark/>
          </w:tcPr>
          <w:p w14:paraId="2D88963F" w14:textId="77777777" w:rsidR="00170CAD" w:rsidRPr="00170CAD" w:rsidRDefault="00170CAD" w:rsidP="00170CAD">
            <w:pPr>
              <w:spacing w:before="0" w:after="0"/>
              <w:jc w:val="left"/>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Towards zero-emission road transport (2ZERO)</w:t>
            </w:r>
          </w:p>
        </w:tc>
        <w:tc>
          <w:tcPr>
            <w:tcW w:w="425" w:type="pct"/>
            <w:noWrap/>
            <w:hideMark/>
          </w:tcPr>
          <w:p w14:paraId="6BF8C7F9"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bCs/>
                <w:sz w:val="18"/>
                <w:szCs w:val="18"/>
                <w:lang w:eastAsia="cs-CZ"/>
              </w:rPr>
            </w:pPr>
            <w:r w:rsidRPr="00170CAD">
              <w:rPr>
                <w:rFonts w:asciiTheme="minorHAnsi" w:eastAsia="Times New Roman" w:hAnsiTheme="minorHAnsi" w:cstheme="minorHAnsi"/>
                <w:b/>
                <w:bCs/>
                <w:sz w:val="18"/>
                <w:szCs w:val="18"/>
                <w:lang w:eastAsia="cs-CZ"/>
              </w:rPr>
              <w:t>1 515</w:t>
            </w:r>
          </w:p>
        </w:tc>
        <w:tc>
          <w:tcPr>
            <w:tcW w:w="343" w:type="pct"/>
            <w:noWrap/>
            <w:hideMark/>
          </w:tcPr>
          <w:p w14:paraId="421C9A89"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615</w:t>
            </w:r>
          </w:p>
        </w:tc>
        <w:tc>
          <w:tcPr>
            <w:tcW w:w="454" w:type="pct"/>
            <w:noWrap/>
            <w:hideMark/>
          </w:tcPr>
          <w:p w14:paraId="5E615601"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900</w:t>
            </w:r>
          </w:p>
        </w:tc>
        <w:tc>
          <w:tcPr>
            <w:tcW w:w="387" w:type="pct"/>
            <w:vMerge/>
            <w:hideMark/>
          </w:tcPr>
          <w:p w14:paraId="572D5534" w14:textId="77777777" w:rsidR="00170CAD" w:rsidRPr="00170CAD" w:rsidRDefault="00170CAD" w:rsidP="00170CAD">
            <w:pPr>
              <w:spacing w:before="0" w:after="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p>
        </w:tc>
        <w:tc>
          <w:tcPr>
            <w:tcW w:w="720" w:type="pct"/>
            <w:hideMark/>
          </w:tcPr>
          <w:p w14:paraId="012A9ADD" w14:textId="77777777" w:rsidR="00170CAD" w:rsidRPr="00170CAD" w:rsidRDefault="00FA7752"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2E74B5" w:themeColor="accent1" w:themeShade="BF"/>
                <w:sz w:val="18"/>
                <w:szCs w:val="18"/>
                <w:u w:val="single"/>
                <w:lang w:eastAsia="cs-CZ"/>
              </w:rPr>
            </w:pPr>
            <w:hyperlink r:id="rId26" w:history="1">
              <w:r w:rsidR="00170CAD" w:rsidRPr="00170CAD">
                <w:rPr>
                  <w:rFonts w:asciiTheme="minorHAnsi" w:eastAsia="Times New Roman" w:hAnsiTheme="minorHAnsi" w:cstheme="minorHAnsi"/>
                  <w:color w:val="2E74B5" w:themeColor="accent1" w:themeShade="BF"/>
                  <w:sz w:val="18"/>
                  <w:szCs w:val="18"/>
                  <w:u w:val="single"/>
                  <w:lang w:eastAsia="cs-CZ"/>
                </w:rPr>
                <w:t>EGVIAfor2Zero</w:t>
              </w:r>
            </w:hyperlink>
          </w:p>
        </w:tc>
        <w:tc>
          <w:tcPr>
            <w:tcW w:w="370" w:type="pct"/>
            <w:noWrap/>
            <w:hideMark/>
          </w:tcPr>
          <w:p w14:paraId="5A83C422"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103</w:t>
            </w:r>
          </w:p>
        </w:tc>
        <w:tc>
          <w:tcPr>
            <w:tcW w:w="352" w:type="pct"/>
            <w:noWrap/>
            <w:hideMark/>
          </w:tcPr>
          <w:p w14:paraId="0C0840DF"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1</w:t>
            </w:r>
          </w:p>
        </w:tc>
        <w:tc>
          <w:tcPr>
            <w:tcW w:w="576" w:type="pct"/>
            <w:hideMark/>
          </w:tcPr>
          <w:p w14:paraId="33AD54E6"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European Green Vehicles Initative</w:t>
            </w:r>
          </w:p>
        </w:tc>
      </w:tr>
      <w:tr w:rsidR="00170CAD" w:rsidRPr="00170CAD" w14:paraId="11C649CF" w14:textId="77777777" w:rsidTr="00E1709E">
        <w:trPr>
          <w:trHeight w:val="567"/>
        </w:trPr>
        <w:tc>
          <w:tcPr>
            <w:cnfStyle w:val="001000000000" w:firstRow="0" w:lastRow="0" w:firstColumn="1" w:lastColumn="0" w:oddVBand="0" w:evenVBand="0" w:oddHBand="0" w:evenHBand="0" w:firstRowFirstColumn="0" w:firstRowLastColumn="0" w:lastRowFirstColumn="0" w:lastRowLastColumn="0"/>
            <w:tcW w:w="1373" w:type="pct"/>
            <w:hideMark/>
          </w:tcPr>
          <w:p w14:paraId="34C41404" w14:textId="77777777" w:rsidR="00170CAD" w:rsidRPr="00170CAD" w:rsidRDefault="00170CAD" w:rsidP="00170CAD">
            <w:pPr>
              <w:spacing w:before="0" w:after="0"/>
              <w:jc w:val="left"/>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Connected and Automated Driving (CCAM)</w:t>
            </w:r>
          </w:p>
        </w:tc>
        <w:tc>
          <w:tcPr>
            <w:tcW w:w="425" w:type="pct"/>
            <w:noWrap/>
            <w:hideMark/>
          </w:tcPr>
          <w:p w14:paraId="6140A216"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bCs/>
                <w:sz w:val="18"/>
                <w:szCs w:val="18"/>
                <w:lang w:eastAsia="cs-CZ"/>
              </w:rPr>
            </w:pPr>
            <w:r w:rsidRPr="00170CAD">
              <w:rPr>
                <w:rFonts w:asciiTheme="minorHAnsi" w:eastAsia="Times New Roman" w:hAnsiTheme="minorHAnsi" w:cstheme="minorHAnsi"/>
                <w:b/>
                <w:bCs/>
                <w:sz w:val="18"/>
                <w:szCs w:val="18"/>
                <w:lang w:eastAsia="cs-CZ"/>
              </w:rPr>
              <w:t>1 000</w:t>
            </w:r>
          </w:p>
        </w:tc>
        <w:tc>
          <w:tcPr>
            <w:tcW w:w="343" w:type="pct"/>
            <w:noWrap/>
            <w:hideMark/>
          </w:tcPr>
          <w:p w14:paraId="07970E85"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500</w:t>
            </w:r>
          </w:p>
        </w:tc>
        <w:tc>
          <w:tcPr>
            <w:tcW w:w="454" w:type="pct"/>
            <w:noWrap/>
            <w:hideMark/>
          </w:tcPr>
          <w:p w14:paraId="4914C6B4"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500</w:t>
            </w:r>
          </w:p>
        </w:tc>
        <w:tc>
          <w:tcPr>
            <w:tcW w:w="387" w:type="pct"/>
            <w:vMerge/>
            <w:hideMark/>
          </w:tcPr>
          <w:p w14:paraId="3D17BEAF" w14:textId="77777777" w:rsidR="00170CAD" w:rsidRPr="00170CAD" w:rsidRDefault="00170CAD" w:rsidP="00170CAD">
            <w:pPr>
              <w:spacing w:before="0" w:after="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p>
        </w:tc>
        <w:tc>
          <w:tcPr>
            <w:tcW w:w="720" w:type="pct"/>
            <w:hideMark/>
          </w:tcPr>
          <w:p w14:paraId="52FB0A80"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2E74B5" w:themeColor="accent1" w:themeShade="BF"/>
                <w:sz w:val="18"/>
                <w:szCs w:val="18"/>
                <w:u w:val="single"/>
                <w:lang w:eastAsia="cs-CZ"/>
              </w:rPr>
            </w:pPr>
            <w:r w:rsidRPr="00170CAD">
              <w:rPr>
                <w:rFonts w:asciiTheme="minorHAnsi" w:eastAsia="Times New Roman" w:hAnsiTheme="minorHAnsi" w:cstheme="minorHAnsi"/>
                <w:color w:val="2E74B5" w:themeColor="accent1" w:themeShade="BF"/>
                <w:sz w:val="18"/>
                <w:szCs w:val="18"/>
                <w:u w:val="single"/>
                <w:lang w:eastAsia="cs-CZ"/>
              </w:rPr>
              <w:t>CCAM Association</w:t>
            </w:r>
          </w:p>
        </w:tc>
        <w:tc>
          <w:tcPr>
            <w:tcW w:w="370" w:type="pct"/>
            <w:noWrap/>
            <w:hideMark/>
          </w:tcPr>
          <w:p w14:paraId="03CEC2EB"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188</w:t>
            </w:r>
          </w:p>
        </w:tc>
        <w:tc>
          <w:tcPr>
            <w:tcW w:w="352" w:type="pct"/>
            <w:noWrap/>
            <w:hideMark/>
          </w:tcPr>
          <w:p w14:paraId="2E1872DC"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2</w:t>
            </w:r>
          </w:p>
        </w:tc>
        <w:tc>
          <w:tcPr>
            <w:tcW w:w="576" w:type="pct"/>
            <w:hideMark/>
          </w:tcPr>
          <w:p w14:paraId="7AFB3251"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nové</w:t>
            </w:r>
          </w:p>
        </w:tc>
      </w:tr>
      <w:tr w:rsidR="00170CAD" w:rsidRPr="00170CAD" w14:paraId="68F21937" w14:textId="77777777" w:rsidTr="00E1709E">
        <w:trPr>
          <w:trHeight w:val="567"/>
        </w:trPr>
        <w:tc>
          <w:tcPr>
            <w:cnfStyle w:val="001000000000" w:firstRow="0" w:lastRow="0" w:firstColumn="1" w:lastColumn="0" w:oddVBand="0" w:evenVBand="0" w:oddHBand="0" w:evenHBand="0" w:firstRowFirstColumn="0" w:firstRowLastColumn="0" w:lastRowFirstColumn="0" w:lastRowLastColumn="0"/>
            <w:tcW w:w="1373" w:type="pct"/>
            <w:hideMark/>
          </w:tcPr>
          <w:p w14:paraId="7F0A51C1" w14:textId="77777777" w:rsidR="00170CAD" w:rsidRPr="00170CAD" w:rsidRDefault="00170CAD" w:rsidP="00170CAD">
            <w:pPr>
              <w:spacing w:before="0" w:after="0"/>
              <w:jc w:val="left"/>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Zero-emission waterborne transport (ZEWT)</w:t>
            </w:r>
          </w:p>
        </w:tc>
        <w:tc>
          <w:tcPr>
            <w:tcW w:w="425" w:type="pct"/>
            <w:noWrap/>
            <w:hideMark/>
          </w:tcPr>
          <w:p w14:paraId="49EF44DC"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bCs/>
                <w:sz w:val="18"/>
                <w:szCs w:val="18"/>
                <w:lang w:eastAsia="cs-CZ"/>
              </w:rPr>
            </w:pPr>
            <w:r w:rsidRPr="00170CAD">
              <w:rPr>
                <w:rFonts w:asciiTheme="minorHAnsi" w:eastAsia="Times New Roman" w:hAnsiTheme="minorHAnsi" w:cstheme="minorHAnsi"/>
                <w:b/>
                <w:bCs/>
                <w:sz w:val="18"/>
                <w:szCs w:val="18"/>
                <w:lang w:eastAsia="cs-CZ"/>
              </w:rPr>
              <w:t>3 830</w:t>
            </w:r>
          </w:p>
        </w:tc>
        <w:tc>
          <w:tcPr>
            <w:tcW w:w="343" w:type="pct"/>
            <w:noWrap/>
            <w:hideMark/>
          </w:tcPr>
          <w:p w14:paraId="7B318D8D"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530</w:t>
            </w:r>
          </w:p>
        </w:tc>
        <w:tc>
          <w:tcPr>
            <w:tcW w:w="454" w:type="pct"/>
            <w:noWrap/>
            <w:hideMark/>
          </w:tcPr>
          <w:p w14:paraId="37104E10"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3 300</w:t>
            </w:r>
          </w:p>
        </w:tc>
        <w:tc>
          <w:tcPr>
            <w:tcW w:w="387" w:type="pct"/>
            <w:vMerge/>
            <w:hideMark/>
          </w:tcPr>
          <w:p w14:paraId="078F8EC3" w14:textId="77777777" w:rsidR="00170CAD" w:rsidRPr="00170CAD" w:rsidRDefault="00170CAD" w:rsidP="00170CAD">
            <w:pPr>
              <w:spacing w:before="0" w:after="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p>
        </w:tc>
        <w:tc>
          <w:tcPr>
            <w:tcW w:w="720" w:type="pct"/>
            <w:hideMark/>
          </w:tcPr>
          <w:p w14:paraId="2964853D" w14:textId="77777777" w:rsidR="00170CAD" w:rsidRPr="00170CAD" w:rsidRDefault="00FA7752"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2E74B5" w:themeColor="accent1" w:themeShade="BF"/>
                <w:sz w:val="18"/>
                <w:szCs w:val="18"/>
                <w:u w:val="single"/>
                <w:lang w:eastAsia="cs-CZ"/>
              </w:rPr>
            </w:pPr>
            <w:hyperlink r:id="rId27" w:history="1">
              <w:r w:rsidR="00170CAD" w:rsidRPr="00170CAD">
                <w:rPr>
                  <w:rFonts w:asciiTheme="minorHAnsi" w:eastAsia="Times New Roman" w:hAnsiTheme="minorHAnsi" w:cstheme="minorHAnsi"/>
                  <w:color w:val="2E74B5" w:themeColor="accent1" w:themeShade="BF"/>
                  <w:sz w:val="18"/>
                  <w:szCs w:val="18"/>
                  <w:u w:val="single"/>
                  <w:lang w:eastAsia="cs-CZ"/>
                </w:rPr>
                <w:t>Waterborne TP</w:t>
              </w:r>
            </w:hyperlink>
          </w:p>
        </w:tc>
        <w:tc>
          <w:tcPr>
            <w:tcW w:w="370" w:type="pct"/>
            <w:noWrap/>
            <w:hideMark/>
          </w:tcPr>
          <w:p w14:paraId="10584A0F"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102</w:t>
            </w:r>
          </w:p>
        </w:tc>
        <w:tc>
          <w:tcPr>
            <w:tcW w:w="352" w:type="pct"/>
            <w:noWrap/>
            <w:hideMark/>
          </w:tcPr>
          <w:p w14:paraId="261DCD36"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5</w:t>
            </w:r>
          </w:p>
        </w:tc>
        <w:tc>
          <w:tcPr>
            <w:tcW w:w="576" w:type="pct"/>
            <w:hideMark/>
          </w:tcPr>
          <w:p w14:paraId="60564717"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nové</w:t>
            </w:r>
          </w:p>
        </w:tc>
      </w:tr>
      <w:tr w:rsidR="00170CAD" w:rsidRPr="00170CAD" w14:paraId="48541167" w14:textId="77777777" w:rsidTr="00E1709E">
        <w:trPr>
          <w:trHeight w:val="567"/>
        </w:trPr>
        <w:tc>
          <w:tcPr>
            <w:cnfStyle w:val="001000000000" w:firstRow="0" w:lastRow="0" w:firstColumn="1" w:lastColumn="0" w:oddVBand="0" w:evenVBand="0" w:oddHBand="0" w:evenHBand="0" w:firstRowFirstColumn="0" w:firstRowLastColumn="0" w:lastRowFirstColumn="0" w:lastRowLastColumn="0"/>
            <w:tcW w:w="1373" w:type="pct"/>
            <w:hideMark/>
          </w:tcPr>
          <w:p w14:paraId="2ABE4759" w14:textId="77777777" w:rsidR="00170CAD" w:rsidRPr="00170CAD" w:rsidRDefault="00170CAD" w:rsidP="00170CAD">
            <w:pPr>
              <w:spacing w:before="0" w:after="0"/>
              <w:jc w:val="left"/>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European Open Science Cloud (EOSC)</w:t>
            </w:r>
          </w:p>
        </w:tc>
        <w:tc>
          <w:tcPr>
            <w:tcW w:w="425" w:type="pct"/>
            <w:noWrap/>
            <w:hideMark/>
          </w:tcPr>
          <w:p w14:paraId="60C3D82E"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bCs/>
                <w:sz w:val="18"/>
                <w:szCs w:val="18"/>
                <w:lang w:eastAsia="cs-CZ"/>
              </w:rPr>
            </w:pPr>
            <w:r w:rsidRPr="00170CAD">
              <w:rPr>
                <w:rFonts w:asciiTheme="minorHAnsi" w:eastAsia="Times New Roman" w:hAnsiTheme="minorHAnsi" w:cstheme="minorHAnsi"/>
                <w:b/>
                <w:bCs/>
                <w:sz w:val="18"/>
                <w:szCs w:val="18"/>
                <w:lang w:eastAsia="cs-CZ"/>
              </w:rPr>
              <w:t>990</w:t>
            </w:r>
          </w:p>
        </w:tc>
        <w:tc>
          <w:tcPr>
            <w:tcW w:w="343" w:type="pct"/>
            <w:noWrap/>
            <w:hideMark/>
          </w:tcPr>
          <w:p w14:paraId="5449350D"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490</w:t>
            </w:r>
          </w:p>
        </w:tc>
        <w:tc>
          <w:tcPr>
            <w:tcW w:w="454" w:type="pct"/>
            <w:noWrap/>
            <w:hideMark/>
          </w:tcPr>
          <w:p w14:paraId="1785137C"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500</w:t>
            </w:r>
          </w:p>
        </w:tc>
        <w:tc>
          <w:tcPr>
            <w:tcW w:w="387" w:type="pct"/>
            <w:noWrap/>
            <w:hideMark/>
          </w:tcPr>
          <w:p w14:paraId="674934C4"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x-cut</w:t>
            </w:r>
          </w:p>
        </w:tc>
        <w:tc>
          <w:tcPr>
            <w:tcW w:w="720" w:type="pct"/>
            <w:noWrap/>
            <w:hideMark/>
          </w:tcPr>
          <w:p w14:paraId="7E7A304C" w14:textId="77777777" w:rsidR="00170CAD" w:rsidRPr="00170CAD" w:rsidRDefault="00FA7752"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2E74B5" w:themeColor="accent1" w:themeShade="BF"/>
                <w:sz w:val="18"/>
                <w:szCs w:val="18"/>
                <w:u w:val="single"/>
                <w:lang w:eastAsia="cs-CZ"/>
              </w:rPr>
            </w:pPr>
            <w:hyperlink r:id="rId28" w:history="1">
              <w:r w:rsidR="00170CAD" w:rsidRPr="00170CAD">
                <w:rPr>
                  <w:rFonts w:asciiTheme="minorHAnsi" w:eastAsia="Times New Roman" w:hAnsiTheme="minorHAnsi" w:cstheme="minorHAnsi"/>
                  <w:color w:val="2E74B5" w:themeColor="accent1" w:themeShade="BF"/>
                  <w:sz w:val="18"/>
                  <w:szCs w:val="18"/>
                  <w:u w:val="single"/>
                  <w:lang w:eastAsia="cs-CZ"/>
                </w:rPr>
                <w:t>EOSC</w:t>
              </w:r>
            </w:hyperlink>
          </w:p>
        </w:tc>
        <w:tc>
          <w:tcPr>
            <w:tcW w:w="370" w:type="pct"/>
            <w:noWrap/>
            <w:hideMark/>
          </w:tcPr>
          <w:p w14:paraId="309BBF6F"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241</w:t>
            </w:r>
          </w:p>
        </w:tc>
        <w:tc>
          <w:tcPr>
            <w:tcW w:w="352" w:type="pct"/>
            <w:noWrap/>
            <w:hideMark/>
          </w:tcPr>
          <w:p w14:paraId="620BC77C"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5</w:t>
            </w:r>
          </w:p>
        </w:tc>
        <w:tc>
          <w:tcPr>
            <w:tcW w:w="576" w:type="pct"/>
            <w:hideMark/>
          </w:tcPr>
          <w:p w14:paraId="78F0C8CB"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EOSC</w:t>
            </w:r>
          </w:p>
        </w:tc>
      </w:tr>
      <w:tr w:rsidR="00170CAD" w:rsidRPr="00170CAD" w14:paraId="40A786A9" w14:textId="77777777" w:rsidTr="00E1709E">
        <w:trPr>
          <w:trHeight w:val="567"/>
        </w:trPr>
        <w:tc>
          <w:tcPr>
            <w:cnfStyle w:val="001000000000" w:firstRow="0" w:lastRow="0" w:firstColumn="1" w:lastColumn="0" w:oddVBand="0" w:evenVBand="0" w:oddHBand="0" w:evenHBand="0" w:firstRowFirstColumn="0" w:firstRowLastColumn="0" w:lastRowFirstColumn="0" w:lastRowLastColumn="0"/>
            <w:tcW w:w="1373" w:type="pct"/>
            <w:noWrap/>
            <w:hideMark/>
          </w:tcPr>
          <w:p w14:paraId="5C2C676B" w14:textId="77777777" w:rsidR="00170CAD" w:rsidRPr="00170CAD" w:rsidRDefault="00170CAD" w:rsidP="00170CAD">
            <w:pPr>
              <w:spacing w:before="0" w:after="0"/>
              <w:ind w:firstLineChars="100" w:firstLine="180"/>
              <w:jc w:val="right"/>
              <w:rPr>
                <w:rFonts w:asciiTheme="minorHAnsi" w:eastAsia="Times New Roman" w:hAnsiTheme="minorHAnsi" w:cstheme="minorHAnsi"/>
                <w:sz w:val="18"/>
                <w:szCs w:val="18"/>
                <w:lang w:eastAsia="cs-CZ"/>
              </w:rPr>
            </w:pPr>
            <w:r w:rsidRPr="00170CAD">
              <w:rPr>
                <w:rFonts w:asciiTheme="minorHAnsi" w:eastAsia="Times New Roman" w:hAnsiTheme="minorHAnsi" w:cstheme="minorHAnsi"/>
                <w:sz w:val="18"/>
                <w:szCs w:val="18"/>
                <w:lang w:eastAsia="cs-CZ"/>
              </w:rPr>
              <w:t xml:space="preserve">Celkem </w:t>
            </w:r>
          </w:p>
        </w:tc>
        <w:tc>
          <w:tcPr>
            <w:tcW w:w="425" w:type="pct"/>
            <w:noWrap/>
            <w:hideMark/>
          </w:tcPr>
          <w:p w14:paraId="2E886D42"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bCs/>
                <w:sz w:val="18"/>
                <w:szCs w:val="18"/>
                <w:lang w:eastAsia="cs-CZ"/>
              </w:rPr>
            </w:pPr>
            <w:r w:rsidRPr="00170CAD">
              <w:rPr>
                <w:rFonts w:asciiTheme="minorHAnsi" w:eastAsia="Times New Roman" w:hAnsiTheme="minorHAnsi" w:cstheme="minorHAnsi"/>
                <w:b/>
                <w:bCs/>
                <w:sz w:val="18"/>
                <w:szCs w:val="18"/>
                <w:lang w:eastAsia="cs-CZ"/>
              </w:rPr>
              <w:t>19 345</w:t>
            </w:r>
          </w:p>
        </w:tc>
        <w:tc>
          <w:tcPr>
            <w:tcW w:w="343" w:type="pct"/>
            <w:noWrap/>
            <w:hideMark/>
          </w:tcPr>
          <w:p w14:paraId="42D43A58"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bCs/>
                <w:sz w:val="18"/>
                <w:szCs w:val="18"/>
                <w:lang w:eastAsia="cs-CZ"/>
              </w:rPr>
            </w:pPr>
            <w:r w:rsidRPr="00170CAD">
              <w:rPr>
                <w:rFonts w:asciiTheme="minorHAnsi" w:eastAsia="Times New Roman" w:hAnsiTheme="minorHAnsi" w:cstheme="minorHAnsi"/>
                <w:b/>
                <w:bCs/>
                <w:sz w:val="18"/>
                <w:szCs w:val="18"/>
                <w:lang w:eastAsia="cs-CZ"/>
              </w:rPr>
              <w:t>7 980</w:t>
            </w:r>
          </w:p>
        </w:tc>
        <w:tc>
          <w:tcPr>
            <w:tcW w:w="454" w:type="pct"/>
            <w:noWrap/>
            <w:hideMark/>
          </w:tcPr>
          <w:p w14:paraId="62CF12BD"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bCs/>
                <w:sz w:val="18"/>
                <w:szCs w:val="18"/>
                <w:lang w:eastAsia="cs-CZ"/>
              </w:rPr>
            </w:pPr>
            <w:r w:rsidRPr="00170CAD">
              <w:rPr>
                <w:rFonts w:asciiTheme="minorHAnsi" w:eastAsia="Times New Roman" w:hAnsiTheme="minorHAnsi" w:cstheme="minorHAnsi"/>
                <w:b/>
                <w:bCs/>
                <w:sz w:val="18"/>
                <w:szCs w:val="18"/>
                <w:lang w:eastAsia="cs-CZ"/>
              </w:rPr>
              <w:t>11 365</w:t>
            </w:r>
          </w:p>
        </w:tc>
        <w:tc>
          <w:tcPr>
            <w:tcW w:w="387" w:type="pct"/>
            <w:noWrap/>
            <w:hideMark/>
          </w:tcPr>
          <w:p w14:paraId="3D0ED585"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bCs/>
                <w:sz w:val="18"/>
                <w:szCs w:val="18"/>
                <w:lang w:eastAsia="cs-CZ"/>
              </w:rPr>
            </w:pPr>
          </w:p>
        </w:tc>
        <w:tc>
          <w:tcPr>
            <w:tcW w:w="720" w:type="pct"/>
            <w:noWrap/>
            <w:hideMark/>
          </w:tcPr>
          <w:p w14:paraId="7D2228A1"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p>
        </w:tc>
        <w:tc>
          <w:tcPr>
            <w:tcW w:w="370" w:type="pct"/>
            <w:noWrap/>
            <w:hideMark/>
          </w:tcPr>
          <w:p w14:paraId="227D961C"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p>
        </w:tc>
        <w:tc>
          <w:tcPr>
            <w:tcW w:w="352" w:type="pct"/>
            <w:noWrap/>
            <w:hideMark/>
          </w:tcPr>
          <w:p w14:paraId="46F4801F" w14:textId="77777777" w:rsidR="00170CAD" w:rsidRPr="00170CAD" w:rsidRDefault="00170CAD" w:rsidP="00170CAD">
            <w:pPr>
              <w:spacing w:before="0" w:after="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p>
        </w:tc>
        <w:tc>
          <w:tcPr>
            <w:tcW w:w="576" w:type="pct"/>
            <w:noWrap/>
            <w:hideMark/>
          </w:tcPr>
          <w:p w14:paraId="2CE3F7D6" w14:textId="77777777" w:rsidR="00170CAD" w:rsidRPr="00170CAD" w:rsidRDefault="00170CAD" w:rsidP="00170CAD">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p>
        </w:tc>
      </w:tr>
    </w:tbl>
    <w:p w14:paraId="75E5EAE4" w14:textId="77777777" w:rsidR="008444FF" w:rsidRDefault="008444FF" w:rsidP="008444FF">
      <w:r w:rsidRPr="004845A1">
        <w:rPr>
          <w:rFonts w:cs="Calibri"/>
        </w:rPr>
        <w:t>Ukazuje se</w:t>
      </w:r>
      <w:r w:rsidRPr="11F5AA33">
        <w:rPr>
          <w:rFonts w:cs="Calibri"/>
        </w:rPr>
        <w:t>, že významní členové asociací</w:t>
      </w:r>
      <w:r w:rsidR="009B66B5">
        <w:rPr>
          <w:rFonts w:cs="Calibri"/>
        </w:rPr>
        <w:t xml:space="preserve"> a </w:t>
      </w:r>
      <w:r w:rsidRPr="11F5AA33">
        <w:rPr>
          <w:rFonts w:cs="Calibri"/>
        </w:rPr>
        <w:t>platforem mají</w:t>
      </w:r>
      <w:r w:rsidR="009B66B5">
        <w:rPr>
          <w:rFonts w:cs="Calibri"/>
        </w:rPr>
        <w:t xml:space="preserve"> v </w:t>
      </w:r>
      <w:r w:rsidRPr="11F5AA33">
        <w:rPr>
          <w:rFonts w:cs="Calibri"/>
        </w:rPr>
        <w:t>příslušných výzvách lepší výchozí pozice, protože jednak mají informace</w:t>
      </w:r>
      <w:r w:rsidR="009B66B5">
        <w:rPr>
          <w:rFonts w:cs="Calibri"/>
        </w:rPr>
        <w:t xml:space="preserve"> o </w:t>
      </w:r>
      <w:r w:rsidRPr="11F5AA33">
        <w:rPr>
          <w:rFonts w:cs="Calibri"/>
        </w:rPr>
        <w:t>budoucích tématech výzev</w:t>
      </w:r>
      <w:r w:rsidR="009B66B5">
        <w:rPr>
          <w:rFonts w:cs="Calibri"/>
        </w:rPr>
        <w:t xml:space="preserve"> k </w:t>
      </w:r>
      <w:r w:rsidRPr="11F5AA33">
        <w:rPr>
          <w:rFonts w:cs="Calibri"/>
        </w:rPr>
        <w:t xml:space="preserve">dispozici dříve než </w:t>
      </w:r>
      <w:r>
        <w:rPr>
          <w:rFonts w:cs="Calibri"/>
        </w:rPr>
        <w:t>ostatní</w:t>
      </w:r>
      <w:r w:rsidRPr="11F5AA33">
        <w:rPr>
          <w:rFonts w:cs="Calibri"/>
        </w:rPr>
        <w:t xml:space="preserve"> žadatelé, kteří se</w:t>
      </w:r>
      <w:r w:rsidR="009B66B5">
        <w:rPr>
          <w:rFonts w:cs="Calibri"/>
        </w:rPr>
        <w:t xml:space="preserve"> s </w:t>
      </w:r>
      <w:r w:rsidRPr="11F5AA33">
        <w:rPr>
          <w:rFonts w:cs="Calibri"/>
        </w:rPr>
        <w:t xml:space="preserve">nimi mohou seznámit až při publikování pracovních programů, </w:t>
      </w:r>
      <w:r w:rsidR="00FF2E3A">
        <w:rPr>
          <w:rFonts w:cs="Calibri"/>
        </w:rPr>
        <w:t>jednak</w:t>
      </w:r>
      <w:r w:rsidRPr="11F5AA33">
        <w:rPr>
          <w:rFonts w:cs="Calibri"/>
        </w:rPr>
        <w:t xml:space="preserve"> proto, že mohou již</w:t>
      </w:r>
      <w:r w:rsidR="009B66B5">
        <w:rPr>
          <w:rFonts w:cs="Calibri"/>
        </w:rPr>
        <w:t xml:space="preserve"> s </w:t>
      </w:r>
      <w:r w:rsidRPr="11F5AA33">
        <w:rPr>
          <w:rFonts w:cs="Calibri"/>
        </w:rPr>
        <w:t xml:space="preserve">předstihem vytvářet zárodky budoucích </w:t>
      </w:r>
      <w:r w:rsidR="007E38AB">
        <w:rPr>
          <w:rFonts w:cs="Calibri"/>
        </w:rPr>
        <w:t>projektových</w:t>
      </w:r>
      <w:r w:rsidR="007E38AB" w:rsidRPr="11F5AA33">
        <w:rPr>
          <w:rFonts w:cs="Calibri"/>
        </w:rPr>
        <w:t xml:space="preserve"> </w:t>
      </w:r>
      <w:r w:rsidRPr="11F5AA33">
        <w:rPr>
          <w:rFonts w:cs="Calibri"/>
        </w:rPr>
        <w:t xml:space="preserve">konsorcií. To se potvrdilo </w:t>
      </w:r>
      <w:r w:rsidR="007E38AB">
        <w:rPr>
          <w:rFonts w:cs="Calibri"/>
        </w:rPr>
        <w:t>např.</w:t>
      </w:r>
      <w:r w:rsidR="009B66B5">
        <w:rPr>
          <w:rFonts w:cs="Calibri"/>
        </w:rPr>
        <w:t xml:space="preserve"> v </w:t>
      </w:r>
      <w:r>
        <w:rPr>
          <w:rFonts w:cs="Calibri"/>
        </w:rPr>
        <w:t>analýze</w:t>
      </w:r>
      <w:r w:rsidRPr="11F5AA33">
        <w:rPr>
          <w:rFonts w:cs="Calibri"/>
        </w:rPr>
        <w:t xml:space="preserve"> výsledků výzev prvních tří let H</w:t>
      </w:r>
      <w:r w:rsidR="007E38AB">
        <w:rPr>
          <w:rFonts w:cs="Calibri"/>
        </w:rPr>
        <w:t xml:space="preserve">orizontu </w:t>
      </w:r>
      <w:r w:rsidRPr="11F5AA33">
        <w:rPr>
          <w:rFonts w:cs="Calibri"/>
        </w:rPr>
        <w:t>2020</w:t>
      </w:r>
      <w:r w:rsidR="009B66B5">
        <w:rPr>
          <w:rFonts w:cs="Calibri"/>
        </w:rPr>
        <w:t xml:space="preserve"> v </w:t>
      </w:r>
      <w:r w:rsidRPr="11F5AA33">
        <w:rPr>
          <w:rFonts w:cs="Calibri"/>
        </w:rPr>
        <w:t>oblasti NMBP (Nanotechnologies, Advanced Materials, Biotechnologies and Advance Production), zaměřené konkrétně na partnerství Factories of the Future, Energy-efficient Buldings</w:t>
      </w:r>
      <w:r w:rsidR="009B66B5">
        <w:rPr>
          <w:rFonts w:cs="Calibri"/>
        </w:rPr>
        <w:t xml:space="preserve"> </w:t>
      </w:r>
      <w:r w:rsidR="009B66B5">
        <w:rPr>
          <w:rFonts w:cs="Calibri"/>
        </w:rPr>
        <w:lastRenderedPageBreak/>
        <w:t>a </w:t>
      </w:r>
      <w:r w:rsidRPr="11F5AA33">
        <w:rPr>
          <w:rFonts w:cs="Calibri"/>
        </w:rPr>
        <w:t>SPIRE, která byla publikována</w:t>
      </w:r>
      <w:r w:rsidR="009B66B5">
        <w:rPr>
          <w:rFonts w:cs="Calibri"/>
        </w:rPr>
        <w:t xml:space="preserve"> v </w:t>
      </w:r>
      <w:r w:rsidRPr="11F5AA33">
        <w:rPr>
          <w:rFonts w:cs="Calibri"/>
        </w:rPr>
        <w:t>časopise ECHO (</w:t>
      </w:r>
      <w:r w:rsidR="00952654">
        <w:rPr>
          <w:rFonts w:cs="Calibri"/>
        </w:rPr>
        <w:t>2/2017</w:t>
      </w:r>
      <w:r w:rsidRPr="11F5AA33">
        <w:rPr>
          <w:rFonts w:cs="Calibri"/>
        </w:rPr>
        <w:t>).</w:t>
      </w:r>
      <w:r>
        <w:rPr>
          <w:rStyle w:val="Znakapoznpodarou"/>
        </w:rPr>
        <w:footnoteReference w:id="40"/>
      </w:r>
      <w:r w:rsidR="00952654">
        <w:rPr>
          <w:rFonts w:cs="Calibri"/>
        </w:rPr>
        <w:t xml:space="preserve"> Ukázalo se, že </w:t>
      </w:r>
      <w:r w:rsidRPr="11F5AA33">
        <w:rPr>
          <w:rFonts w:cs="Calibri"/>
        </w:rPr>
        <w:t>úspěšná konsorcia měla ve svých řadách až</w:t>
      </w:r>
      <w:r w:rsidR="009B66B5">
        <w:rPr>
          <w:rFonts w:cs="Calibri"/>
        </w:rPr>
        <w:t xml:space="preserve"> v </w:t>
      </w:r>
      <w:r w:rsidRPr="11F5AA33">
        <w:rPr>
          <w:rFonts w:cs="Calibri"/>
        </w:rPr>
        <w:t>80</w:t>
      </w:r>
      <w:r>
        <w:rPr>
          <w:rFonts w:cs="Calibri"/>
        </w:rPr>
        <w:t xml:space="preserve"> </w:t>
      </w:r>
      <w:r w:rsidRPr="11F5AA33">
        <w:rPr>
          <w:rFonts w:cs="Calibri"/>
        </w:rPr>
        <w:t>% případů několik významných členů příslušných asociací, obvykle</w:t>
      </w:r>
      <w:r w:rsidR="009B66B5">
        <w:rPr>
          <w:rFonts w:cs="Calibri"/>
        </w:rPr>
        <w:t xml:space="preserve"> i v </w:t>
      </w:r>
      <w:r w:rsidRPr="11F5AA33">
        <w:rPr>
          <w:rFonts w:cs="Calibri"/>
        </w:rPr>
        <w:t xml:space="preserve">roli koordinátora. </w:t>
      </w:r>
    </w:p>
    <w:p w14:paraId="5F696E35" w14:textId="77777777" w:rsidR="008444FF" w:rsidRDefault="008444FF" w:rsidP="00986D54">
      <w:r w:rsidRPr="3E8665BB">
        <w:t>Z tohoto vyplývá, že pro zlepšování účasti ve výzvách připravovaných společně programovanými partnerstvími lze jednoznačně doporučit navazování kontaktů</w:t>
      </w:r>
      <w:r w:rsidR="009B66B5">
        <w:t xml:space="preserve"> s </w:t>
      </w:r>
      <w:r w:rsidRPr="3E8665BB">
        <w:t>nejvýznamnějšími</w:t>
      </w:r>
      <w:r w:rsidR="009B66B5">
        <w:t xml:space="preserve"> a </w:t>
      </w:r>
      <w:r w:rsidRPr="3E8665BB">
        <w:t>zároveň nejúspěšnějšími členy příslušných asociací. K nim je možné získat ještě bližší přístup vstupem do těchto asociací</w:t>
      </w:r>
      <w:r w:rsidR="009B66B5">
        <w:t xml:space="preserve"> a </w:t>
      </w:r>
      <w:r w:rsidRPr="3E8665BB">
        <w:t>zapojením do jejich pracovních skupin,</w:t>
      </w:r>
      <w:r w:rsidR="009B66B5">
        <w:t xml:space="preserve"> v </w:t>
      </w:r>
      <w:r w:rsidRPr="3E8665BB">
        <w:t>nichž návrhy témat výzev vznikají. Je však třeba připomenout, že se jedná</w:t>
      </w:r>
      <w:r w:rsidR="009B66B5">
        <w:t xml:space="preserve"> o </w:t>
      </w:r>
      <w:r w:rsidRPr="3E8665BB">
        <w:t>časově</w:t>
      </w:r>
      <w:r w:rsidR="009B66B5">
        <w:t xml:space="preserve"> i </w:t>
      </w:r>
      <w:r w:rsidRPr="3E8665BB">
        <w:t>finančně náročnější aktivitu (členství</w:t>
      </w:r>
      <w:r w:rsidR="009B66B5">
        <w:t xml:space="preserve"> v </w:t>
      </w:r>
      <w:r w:rsidRPr="3E8665BB">
        <w:t>asociacích většinou vyžaduje placení členského příspěvku)</w:t>
      </w:r>
      <w:r w:rsidR="009B66B5">
        <w:t xml:space="preserve"> a </w:t>
      </w:r>
      <w:r w:rsidRPr="3E8665BB">
        <w:t>že zapojení českých subjektů do tohoto typu aktivit je, možná</w:t>
      </w:r>
      <w:r w:rsidR="009B66B5">
        <w:t xml:space="preserve"> z </w:t>
      </w:r>
      <w:r w:rsidRPr="3E8665BB">
        <w:t>právě uvedených důvodů, zatím velmi nízké. V tomto ohledu je samozřejmě výhodnější reprezentování zájmů českých subjektů prostřednictvím kolektivních uskupení (oborových klastrů, technologických</w:t>
      </w:r>
      <w:r w:rsidR="00BF19C5">
        <w:t>,</w:t>
      </w:r>
      <w:r w:rsidRPr="3E8665BB">
        <w:t xml:space="preserve"> resp. inovačních platforem apod.) než jednotlivými subjekty. Nejvýznamnějšími evropskými hráči</w:t>
      </w:r>
      <w:r w:rsidR="009B66B5">
        <w:t xml:space="preserve"> v </w:t>
      </w:r>
      <w:r w:rsidRPr="3E8665BB">
        <w:t>příslušných asociacích jsou velké, víceoborové výzkumně-technologické organizace, které</w:t>
      </w:r>
      <w:r w:rsidR="009B66B5">
        <w:t xml:space="preserve"> v </w:t>
      </w:r>
      <w:r w:rsidRPr="3E8665BB">
        <w:t>ČR</w:t>
      </w:r>
      <w:r w:rsidR="009B66B5">
        <w:t xml:space="preserve"> i </w:t>
      </w:r>
      <w:r w:rsidRPr="3E8665BB">
        <w:t xml:space="preserve">dalších zemích EU-13 dosud ve větším měřítku nevznikly.   </w:t>
      </w:r>
    </w:p>
    <w:p w14:paraId="6AB5BE05" w14:textId="77777777" w:rsidR="008444FF" w:rsidRDefault="008444FF" w:rsidP="008444FF">
      <w:r w:rsidRPr="3E8665BB">
        <w:rPr>
          <w:rFonts w:cs="Calibri"/>
        </w:rPr>
        <w:t xml:space="preserve">U výzev </w:t>
      </w:r>
      <w:r w:rsidR="00E20BCB">
        <w:rPr>
          <w:rFonts w:cs="Calibri"/>
        </w:rPr>
        <w:t>Horizontu Evropa</w:t>
      </w:r>
      <w:r w:rsidRPr="3E8665BB">
        <w:rPr>
          <w:rFonts w:cs="Calibri"/>
        </w:rPr>
        <w:t xml:space="preserve"> spojených</w:t>
      </w:r>
      <w:r w:rsidR="009B66B5">
        <w:rPr>
          <w:rFonts w:cs="Calibri"/>
        </w:rPr>
        <w:t xml:space="preserve"> s </w:t>
      </w:r>
      <w:r w:rsidRPr="3E8665BB">
        <w:rPr>
          <w:rFonts w:cs="Calibri"/>
        </w:rPr>
        <w:t>tímto typem partnerství je třeba dále upozornit, že jejich témata velmi přesně</w:t>
      </w:r>
      <w:r w:rsidR="009B66B5">
        <w:rPr>
          <w:rFonts w:cs="Calibri"/>
        </w:rPr>
        <w:t xml:space="preserve"> a </w:t>
      </w:r>
      <w:r w:rsidRPr="3E8665BB">
        <w:rPr>
          <w:rFonts w:cs="Calibri"/>
        </w:rPr>
        <w:t>kvantitativně vymezují očekávané přínosy výzkumných aktivit projektů</w:t>
      </w:r>
      <w:r w:rsidR="009B66B5">
        <w:rPr>
          <w:rFonts w:cs="Calibri"/>
        </w:rPr>
        <w:t xml:space="preserve"> a </w:t>
      </w:r>
      <w:r w:rsidRPr="3E8665BB">
        <w:rPr>
          <w:rFonts w:cs="Calibri"/>
        </w:rPr>
        <w:t xml:space="preserve">využití jejich výsledků pro </w:t>
      </w:r>
      <w:r w:rsidR="00BF19C5">
        <w:rPr>
          <w:rFonts w:cs="Calibri"/>
        </w:rPr>
        <w:t>nové typy výrob</w:t>
      </w:r>
      <w:r w:rsidR="009B66B5">
        <w:rPr>
          <w:rFonts w:cs="Calibri"/>
        </w:rPr>
        <w:t xml:space="preserve"> a </w:t>
      </w:r>
      <w:r w:rsidR="00BF19C5">
        <w:rPr>
          <w:rFonts w:cs="Calibri"/>
        </w:rPr>
        <w:t>služeb (tzv. „top-down“ přístup)</w:t>
      </w:r>
      <w:r w:rsidR="009B66B5">
        <w:rPr>
          <w:rFonts w:cs="Calibri"/>
        </w:rPr>
        <w:t xml:space="preserve"> v </w:t>
      </w:r>
      <w:r w:rsidRPr="3E8665BB">
        <w:rPr>
          <w:rFonts w:cs="Calibri"/>
        </w:rPr>
        <w:t>souladu</w:t>
      </w:r>
      <w:r w:rsidR="009B66B5">
        <w:rPr>
          <w:rFonts w:cs="Calibri"/>
        </w:rPr>
        <w:t xml:space="preserve"> s </w:t>
      </w:r>
      <w:r w:rsidRPr="3E8665BB">
        <w:rPr>
          <w:rFonts w:cs="Calibri"/>
        </w:rPr>
        <w:t xml:space="preserve">obecnějšími strategiemi EU </w:t>
      </w:r>
      <w:r>
        <w:rPr>
          <w:rFonts w:cs="Calibri"/>
        </w:rPr>
        <w:t>či OSN</w:t>
      </w:r>
      <w:r w:rsidR="009B66B5">
        <w:rPr>
          <w:rFonts w:cs="Calibri"/>
        </w:rPr>
        <w:t xml:space="preserve"> a </w:t>
      </w:r>
      <w:r w:rsidRPr="3E8665BB">
        <w:rPr>
          <w:rFonts w:cs="Calibri"/>
        </w:rPr>
        <w:t>příslušnými politickými dokumenty, např. European Green Deal</w:t>
      </w:r>
      <w:r w:rsidR="00E20BCB">
        <w:rPr>
          <w:rFonts w:cs="Calibri"/>
        </w:rPr>
        <w:t>,</w:t>
      </w:r>
      <w:r w:rsidRPr="3E8665BB">
        <w:rPr>
          <w:rFonts w:cs="Calibri"/>
        </w:rPr>
        <w:t xml:space="preserve"> European Industrial Strategy</w:t>
      </w:r>
      <w:r w:rsidR="00E20BCB">
        <w:rPr>
          <w:rFonts w:cs="Calibri"/>
        </w:rPr>
        <w:t xml:space="preserve"> či</w:t>
      </w:r>
      <w:r>
        <w:rPr>
          <w:rFonts w:cs="Calibri"/>
        </w:rPr>
        <w:t xml:space="preserve"> </w:t>
      </w:r>
      <w:r w:rsidRPr="3E8665BB">
        <w:rPr>
          <w:rFonts w:cs="Calibri"/>
        </w:rPr>
        <w:t xml:space="preserve">Sustainable Development Goals, na </w:t>
      </w:r>
      <w:r>
        <w:rPr>
          <w:rFonts w:cs="Calibri"/>
        </w:rPr>
        <w:t>něž</w:t>
      </w:r>
      <w:r w:rsidRPr="3E8665BB">
        <w:rPr>
          <w:rFonts w:cs="Calibri"/>
        </w:rPr>
        <w:t xml:space="preserve"> se popisy témat pracovních programů systematicky odkazují. Dále je třeba zmínit, že spektrum příležitostí ve výzvách </w:t>
      </w:r>
      <w:r w:rsidR="00E20BCB">
        <w:rPr>
          <w:rFonts w:cs="Calibri"/>
        </w:rPr>
        <w:t>Horizontu Evropa</w:t>
      </w:r>
      <w:r w:rsidRPr="3E8665BB">
        <w:rPr>
          <w:rFonts w:cs="Calibri"/>
        </w:rPr>
        <w:t xml:space="preserve"> nepokrývá všechny myslitelné obory, ale hlavně ty spojené</w:t>
      </w:r>
      <w:r w:rsidR="009B66B5">
        <w:rPr>
          <w:rFonts w:cs="Calibri"/>
        </w:rPr>
        <w:t xml:space="preserve"> s </w:t>
      </w:r>
      <w:r w:rsidRPr="3E8665BB">
        <w:rPr>
          <w:rFonts w:cs="Calibri"/>
        </w:rPr>
        <w:t>prioritami EU. Dalším neoddiskutovatelným hlediskem při tvorbě pracovních programů</w:t>
      </w:r>
      <w:r w:rsidR="009B66B5">
        <w:rPr>
          <w:rFonts w:cs="Calibri"/>
        </w:rPr>
        <w:t xml:space="preserve"> a </w:t>
      </w:r>
      <w:r w:rsidRPr="3E8665BB">
        <w:rPr>
          <w:rFonts w:cs="Calibri"/>
        </w:rPr>
        <w:t>výzev je</w:t>
      </w:r>
      <w:r w:rsidR="009B66B5">
        <w:rPr>
          <w:rFonts w:cs="Calibri"/>
        </w:rPr>
        <w:t xml:space="preserve"> i </w:t>
      </w:r>
      <w:r w:rsidRPr="3E8665BB">
        <w:rPr>
          <w:rFonts w:cs="Calibri"/>
        </w:rPr>
        <w:t>jejich snaha posunovat technologie směrem</w:t>
      </w:r>
      <w:r w:rsidR="009B66B5">
        <w:rPr>
          <w:rFonts w:cs="Calibri"/>
        </w:rPr>
        <w:t xml:space="preserve"> k </w:t>
      </w:r>
      <w:r w:rsidRPr="3E8665BB">
        <w:rPr>
          <w:rFonts w:cs="Calibri"/>
        </w:rPr>
        <w:t>tržnímu využití, charakterizované posunem již zmíněných TRL</w:t>
      </w:r>
      <w:r w:rsidR="009B66B5">
        <w:rPr>
          <w:rFonts w:cs="Calibri"/>
        </w:rPr>
        <w:t xml:space="preserve"> k </w:t>
      </w:r>
      <w:r w:rsidRPr="3E8665BB">
        <w:rPr>
          <w:rFonts w:cs="Calibri"/>
        </w:rPr>
        <w:t>vyšším hodnotám. Ještě výraznějšímu zapojování evropských průmyslových podniků do tohoto procesu potom má sloužit další typ tzv. institucionalizovaných partnerství</w:t>
      </w:r>
      <w:r>
        <w:rPr>
          <w:rFonts w:cs="Calibri"/>
        </w:rPr>
        <w:t xml:space="preserve"> (viz dále)</w:t>
      </w:r>
      <w:r w:rsidRPr="3E8665BB">
        <w:rPr>
          <w:rFonts w:cs="Calibri"/>
        </w:rPr>
        <w:t>,</w:t>
      </w:r>
      <w:r w:rsidR="009B66B5">
        <w:rPr>
          <w:rFonts w:cs="Calibri"/>
        </w:rPr>
        <w:t xml:space="preserve"> v </w:t>
      </w:r>
      <w:r w:rsidRPr="3E8665BB">
        <w:rPr>
          <w:rFonts w:cs="Calibri"/>
        </w:rPr>
        <w:t>nichž jsou ještě více posíleny strategická rozhodovací role</w:t>
      </w:r>
      <w:r w:rsidR="009B66B5">
        <w:rPr>
          <w:rFonts w:cs="Calibri"/>
        </w:rPr>
        <w:t xml:space="preserve"> a </w:t>
      </w:r>
      <w:r w:rsidRPr="3E8665BB">
        <w:rPr>
          <w:rFonts w:cs="Calibri"/>
        </w:rPr>
        <w:t>kom</w:t>
      </w:r>
      <w:r w:rsidR="00BF19C5">
        <w:rPr>
          <w:rFonts w:cs="Calibri"/>
        </w:rPr>
        <w:t xml:space="preserve">petence průmyslových partnerů. </w:t>
      </w:r>
      <w:r w:rsidRPr="3E8665BB">
        <w:rPr>
          <w:rFonts w:cs="Calibri"/>
        </w:rPr>
        <w:t>Strategie těchto partnerství, promítající se do jejich výzev, navazují ve výše uvedeném smyslu na výzvy</w:t>
      </w:r>
      <w:r w:rsidR="009B66B5">
        <w:rPr>
          <w:rFonts w:cs="Calibri"/>
        </w:rPr>
        <w:t xml:space="preserve"> a </w:t>
      </w:r>
      <w:r w:rsidRPr="3E8665BB">
        <w:rPr>
          <w:rFonts w:cs="Calibri"/>
        </w:rPr>
        <w:t xml:space="preserve">jejich tematická zaměření </w:t>
      </w:r>
      <w:r w:rsidR="005E6BD9">
        <w:rPr>
          <w:rFonts w:cs="Calibri"/>
        </w:rPr>
        <w:t>Horizontu Evropa</w:t>
      </w:r>
      <w:r w:rsidRPr="3E8665BB">
        <w:rPr>
          <w:rFonts w:cs="Calibri"/>
        </w:rPr>
        <w:t>.</w:t>
      </w:r>
    </w:p>
    <w:p w14:paraId="5947ACB1" w14:textId="77777777" w:rsidR="008444FF" w:rsidRDefault="008444FF" w:rsidP="008444FF">
      <w:pPr>
        <w:pStyle w:val="Nadpis2"/>
      </w:pPr>
      <w:bookmarkStart w:id="48" w:name="_Toc114572333"/>
      <w:r w:rsidRPr="3E8665BB">
        <w:t>Institucionalizovaná partnerství</w:t>
      </w:r>
      <w:bookmarkEnd w:id="48"/>
      <w:r w:rsidRPr="3E8665BB">
        <w:t xml:space="preserve"> </w:t>
      </w:r>
    </w:p>
    <w:p w14:paraId="2DB8EB34" w14:textId="77777777" w:rsidR="008444FF" w:rsidRDefault="008444FF" w:rsidP="008444FF">
      <w:pPr>
        <w:spacing w:line="257" w:lineRule="auto"/>
      </w:pPr>
      <w:r w:rsidRPr="3E8665BB">
        <w:rPr>
          <w:rFonts w:cs="Calibri"/>
        </w:rPr>
        <w:t xml:space="preserve">Charakteristikou tohoto typu partnerství je volnější vztah vůči </w:t>
      </w:r>
      <w:r w:rsidR="00AA2026">
        <w:rPr>
          <w:rFonts w:cs="Calibri"/>
        </w:rPr>
        <w:t>Evropské komisi</w:t>
      </w:r>
      <w:r w:rsidRPr="3E8665BB">
        <w:rPr>
          <w:rFonts w:cs="Calibri"/>
        </w:rPr>
        <w:t xml:space="preserve"> po stránce programové</w:t>
      </w:r>
      <w:r w:rsidR="009B66B5">
        <w:rPr>
          <w:rFonts w:cs="Calibri"/>
        </w:rPr>
        <w:t xml:space="preserve"> i </w:t>
      </w:r>
      <w:r w:rsidRPr="3E8665BB">
        <w:rPr>
          <w:rFonts w:cs="Calibri"/>
        </w:rPr>
        <w:t xml:space="preserve">finanční.  Institucionalizovaná partnerství jsou na </w:t>
      </w:r>
      <w:r w:rsidR="00AA2026">
        <w:rPr>
          <w:rFonts w:cs="Calibri"/>
        </w:rPr>
        <w:t>Evropské komisi</w:t>
      </w:r>
      <w:r w:rsidRPr="3E8665BB">
        <w:rPr>
          <w:rFonts w:cs="Calibri"/>
        </w:rPr>
        <w:t xml:space="preserve"> právně nezávislá</w:t>
      </w:r>
      <w:r w:rsidR="009B66B5">
        <w:rPr>
          <w:rFonts w:cs="Calibri"/>
        </w:rPr>
        <w:t xml:space="preserve"> a </w:t>
      </w:r>
      <w:r w:rsidRPr="3E8665BB">
        <w:rPr>
          <w:rFonts w:cs="Calibri"/>
        </w:rPr>
        <w:t>vytvářejí vlastní strategie</w:t>
      </w:r>
      <w:r w:rsidR="009B66B5">
        <w:rPr>
          <w:rFonts w:cs="Calibri"/>
        </w:rPr>
        <w:t xml:space="preserve"> a </w:t>
      </w:r>
      <w:r w:rsidRPr="3E8665BB">
        <w:rPr>
          <w:rFonts w:cs="Calibri"/>
        </w:rPr>
        <w:t xml:space="preserve">akční plány, které jsou základem výzev vyhlašovaných nezávisle na </w:t>
      </w:r>
      <w:r w:rsidR="00AA2026">
        <w:rPr>
          <w:rFonts w:cs="Calibri"/>
        </w:rPr>
        <w:t>Evropské komisi</w:t>
      </w:r>
      <w:r w:rsidRPr="3E8665BB">
        <w:rPr>
          <w:rFonts w:cs="Calibri"/>
        </w:rPr>
        <w:t xml:space="preserve">. Finanční příspěvek na ně je ze strany </w:t>
      </w:r>
      <w:r w:rsidR="00AA2026">
        <w:rPr>
          <w:rFonts w:cs="Calibri"/>
        </w:rPr>
        <w:t>Evropské komise</w:t>
      </w:r>
      <w:r w:rsidRPr="3E8665BB">
        <w:rPr>
          <w:rFonts w:cs="Calibri"/>
        </w:rPr>
        <w:t xml:space="preserve"> zhruba poloviční, přičemž druhou polovinu představují příspěvky ze strany průmyslových partnerů do projektových konsorcií, většinou ve formě poskytnutí výrobních kapacit pro pilotní</w:t>
      </w:r>
      <w:r w:rsidR="009B66B5">
        <w:rPr>
          <w:rFonts w:cs="Calibri"/>
        </w:rPr>
        <w:t xml:space="preserve"> a </w:t>
      </w:r>
      <w:r w:rsidRPr="3E8665BB">
        <w:rPr>
          <w:rFonts w:cs="Calibri"/>
        </w:rPr>
        <w:t>demonstrační akt</w:t>
      </w:r>
      <w:r w:rsidR="002532A8">
        <w:rPr>
          <w:rFonts w:cs="Calibri"/>
        </w:rPr>
        <w:t>ivity projektů (tzv. příspěvky in-kind</w:t>
      </w:r>
      <w:r w:rsidRPr="3E8665BB">
        <w:rPr>
          <w:rFonts w:cs="Calibri"/>
        </w:rPr>
        <w:t>). Výzkumné aktivity jsou</w:t>
      </w:r>
      <w:r w:rsidR="009B66B5">
        <w:rPr>
          <w:rFonts w:cs="Calibri"/>
        </w:rPr>
        <w:t xml:space="preserve"> v </w:t>
      </w:r>
      <w:r w:rsidRPr="3E8665BB">
        <w:rPr>
          <w:rFonts w:cs="Calibri"/>
        </w:rPr>
        <w:t>projektech ještě více určované významnými průmyslovými subj</w:t>
      </w:r>
      <w:r w:rsidR="002532A8">
        <w:rPr>
          <w:rFonts w:cs="Calibri"/>
        </w:rPr>
        <w:t>ekty</w:t>
      </w:r>
      <w:r w:rsidR="009B66B5">
        <w:rPr>
          <w:rFonts w:cs="Calibri"/>
        </w:rPr>
        <w:t xml:space="preserve"> z </w:t>
      </w:r>
      <w:r w:rsidR="002532A8">
        <w:rPr>
          <w:rFonts w:cs="Calibri"/>
        </w:rPr>
        <w:t>řídi</w:t>
      </w:r>
      <w:r w:rsidRPr="3E8665BB">
        <w:rPr>
          <w:rFonts w:cs="Calibri"/>
        </w:rPr>
        <w:t xml:space="preserve">cích struktur </w:t>
      </w:r>
      <w:r>
        <w:rPr>
          <w:rFonts w:cs="Calibri"/>
        </w:rPr>
        <w:t>institucionalizovaných partnerství (Joint Undertakings</w:t>
      </w:r>
      <w:r w:rsidR="00ED1B3E">
        <w:rPr>
          <w:rFonts w:cs="Calibri"/>
        </w:rPr>
        <w:t>,</w:t>
      </w:r>
      <w:r>
        <w:rPr>
          <w:rFonts w:cs="Calibri"/>
        </w:rPr>
        <w:t xml:space="preserve"> JU)</w:t>
      </w:r>
      <w:r w:rsidR="002532A8">
        <w:rPr>
          <w:rFonts w:cs="Calibri"/>
        </w:rPr>
        <w:t xml:space="preserve">. </w:t>
      </w:r>
      <w:r w:rsidRPr="3E8665BB">
        <w:rPr>
          <w:rFonts w:cs="Calibri"/>
        </w:rPr>
        <w:t xml:space="preserve">Výzvy institucionalizovaných partnerství jsou </w:t>
      </w:r>
      <w:r w:rsidRPr="3E8665BB">
        <w:rPr>
          <w:rFonts w:cs="Calibri"/>
        </w:rPr>
        <w:lastRenderedPageBreak/>
        <w:t>obvykle vyhlašovány jednou ročně, přičemž pravidla účasti</w:t>
      </w:r>
      <w:r w:rsidR="009B66B5">
        <w:rPr>
          <w:rFonts w:cs="Calibri"/>
        </w:rPr>
        <w:t xml:space="preserve"> a </w:t>
      </w:r>
      <w:r w:rsidRPr="3E8665BB">
        <w:rPr>
          <w:rFonts w:cs="Calibri"/>
        </w:rPr>
        <w:t xml:space="preserve">způsob hodnocení jsou blízké </w:t>
      </w:r>
      <w:r w:rsidR="00ED1B3E">
        <w:rPr>
          <w:rFonts w:cs="Calibri"/>
        </w:rPr>
        <w:t>RP</w:t>
      </w:r>
      <w:r w:rsidRPr="3E8665BB">
        <w:rPr>
          <w:rFonts w:cs="Calibri"/>
        </w:rPr>
        <w:t xml:space="preserve">. Přestože se </w:t>
      </w:r>
      <w:r w:rsidR="00AA2026">
        <w:rPr>
          <w:rFonts w:cs="Calibri"/>
        </w:rPr>
        <w:t>Evropská komise</w:t>
      </w:r>
      <w:r w:rsidRPr="3E8665BB">
        <w:rPr>
          <w:rFonts w:cs="Calibri"/>
        </w:rPr>
        <w:t xml:space="preserve"> snaží</w:t>
      </w:r>
      <w:r w:rsidR="009B66B5">
        <w:rPr>
          <w:rFonts w:cs="Calibri"/>
        </w:rPr>
        <w:t xml:space="preserve"> o </w:t>
      </w:r>
      <w:r w:rsidRPr="3E8665BB">
        <w:rPr>
          <w:rFonts w:cs="Calibri"/>
        </w:rPr>
        <w:t xml:space="preserve">jednotnější implementaci toho typu partnerství, mohou být implementační detaily u jednotlivých JU odlišné. </w:t>
      </w:r>
    </w:p>
    <w:p w14:paraId="2A23E8C2" w14:textId="77777777" w:rsidR="008444FF" w:rsidRDefault="008444FF" w:rsidP="008444FF">
      <w:pPr>
        <w:spacing w:line="257" w:lineRule="auto"/>
        <w:rPr>
          <w:rFonts w:cs="Calibri"/>
        </w:rPr>
      </w:pPr>
      <w:r w:rsidRPr="11F5AA33">
        <w:rPr>
          <w:rFonts w:cs="Calibri"/>
        </w:rPr>
        <w:t xml:space="preserve">Určitá specifika můžeme najít u partnerství </w:t>
      </w:r>
      <w:r w:rsidRPr="11F5AA33">
        <w:rPr>
          <w:rFonts w:cs="Calibri"/>
          <w:b/>
          <w:bCs/>
        </w:rPr>
        <w:t>EURAMET</w:t>
      </w:r>
      <w:r w:rsidR="009B66B5">
        <w:rPr>
          <w:rFonts w:cs="Calibri"/>
        </w:rPr>
        <w:t xml:space="preserve"> a </w:t>
      </w:r>
      <w:r w:rsidRPr="11F5AA33">
        <w:rPr>
          <w:rFonts w:cs="Calibri"/>
          <w:b/>
          <w:bCs/>
        </w:rPr>
        <w:t>SESAR</w:t>
      </w:r>
      <w:r w:rsidRPr="11F5AA33">
        <w:rPr>
          <w:rFonts w:cs="Calibri"/>
        </w:rPr>
        <w:t>, která</w:t>
      </w:r>
      <w:r w:rsidR="009B66B5">
        <w:rPr>
          <w:rFonts w:cs="Calibri"/>
        </w:rPr>
        <w:t xml:space="preserve"> v </w:t>
      </w:r>
      <w:r w:rsidRPr="11F5AA33">
        <w:rPr>
          <w:rFonts w:cs="Calibri"/>
        </w:rPr>
        <w:t>předchozím programovém období měla jen partnery</w:t>
      </w:r>
      <w:r w:rsidR="009B66B5">
        <w:rPr>
          <w:rFonts w:cs="Calibri"/>
        </w:rPr>
        <w:t xml:space="preserve"> z </w:t>
      </w:r>
      <w:r w:rsidRPr="11F5AA33">
        <w:rPr>
          <w:rFonts w:cs="Calibri"/>
        </w:rPr>
        <w:t>národních institucí</w:t>
      </w:r>
      <w:r w:rsidR="009B66B5">
        <w:rPr>
          <w:rFonts w:cs="Calibri"/>
        </w:rPr>
        <w:t xml:space="preserve"> v </w:t>
      </w:r>
      <w:r w:rsidRPr="11F5AA33">
        <w:rPr>
          <w:rFonts w:cs="Calibri"/>
        </w:rPr>
        <w:t>oblasti metrologie</w:t>
      </w:r>
      <w:r>
        <w:rPr>
          <w:rFonts w:cs="Calibri"/>
        </w:rPr>
        <w:t>,</w:t>
      </w:r>
      <w:r w:rsidRPr="11F5AA33">
        <w:rPr>
          <w:rFonts w:cs="Calibri"/>
        </w:rPr>
        <w:t xml:space="preserve"> resp. řízení letového provozu. Nyní jsou však jejich výzvy přístupné</w:t>
      </w:r>
      <w:r w:rsidR="009B66B5">
        <w:rPr>
          <w:rFonts w:cs="Calibri"/>
        </w:rPr>
        <w:t xml:space="preserve"> i </w:t>
      </w:r>
      <w:r w:rsidRPr="11F5AA33">
        <w:rPr>
          <w:rFonts w:cs="Calibri"/>
        </w:rPr>
        <w:t>dalším žadatelům. Partnerství EURAMET, podobně jako dvě další par</w:t>
      </w:r>
      <w:r w:rsidR="002532A8">
        <w:rPr>
          <w:rFonts w:cs="Calibri"/>
        </w:rPr>
        <w:t>tnerství označená</w:t>
      </w:r>
      <w:r w:rsidR="009B66B5">
        <w:rPr>
          <w:rFonts w:cs="Calibri"/>
        </w:rPr>
        <w:t xml:space="preserve"> v </w:t>
      </w:r>
      <w:r w:rsidR="002532A8">
        <w:rPr>
          <w:rFonts w:cs="Calibri"/>
        </w:rPr>
        <w:t>přehledové tabulce 2 hvězdičkou</w:t>
      </w:r>
      <w:r w:rsidRPr="11F5AA33">
        <w:rPr>
          <w:rFonts w:cs="Calibri"/>
        </w:rPr>
        <w:t xml:space="preserve"> umožňuje</w:t>
      </w:r>
      <w:r>
        <w:rPr>
          <w:rFonts w:cs="Calibri"/>
        </w:rPr>
        <w:t>,</w:t>
      </w:r>
      <w:r w:rsidRPr="11F5AA33">
        <w:rPr>
          <w:rFonts w:cs="Calibri"/>
        </w:rPr>
        <w:t xml:space="preserve"> resp. vyžaduje</w:t>
      </w:r>
      <w:r w:rsidR="009B66B5">
        <w:rPr>
          <w:rFonts w:cs="Calibri"/>
        </w:rPr>
        <w:t xml:space="preserve"> i </w:t>
      </w:r>
      <w:r w:rsidRPr="11F5AA33">
        <w:rPr>
          <w:rFonts w:cs="Calibri"/>
        </w:rPr>
        <w:t xml:space="preserve">příspěvek ze strany zúčastněných zemí, většinou členských zemí EU (tzv. tripartitní partnerství). Mezi ně patří dále partnerství </w:t>
      </w:r>
      <w:r w:rsidRPr="11F5AA33">
        <w:rPr>
          <w:rFonts w:cs="Calibri"/>
          <w:b/>
          <w:bCs/>
        </w:rPr>
        <w:t>EuroHPC</w:t>
      </w:r>
      <w:r w:rsidRPr="11F5AA33">
        <w:rPr>
          <w:rFonts w:cs="Calibri"/>
        </w:rPr>
        <w:t xml:space="preserve">, které je zaměřené primárně na budování evropské sítě superpočítačových infrastruktur (vč. kvantových počítačů). U dalšího tripartitního partnerství </w:t>
      </w:r>
      <w:r w:rsidRPr="11F5AA33">
        <w:rPr>
          <w:rFonts w:cs="Calibri"/>
          <w:b/>
          <w:bCs/>
        </w:rPr>
        <w:t>KDT</w:t>
      </w:r>
      <w:r w:rsidRPr="11F5AA33">
        <w:rPr>
          <w:rFonts w:cs="Calibri"/>
        </w:rPr>
        <w:t>, které se zatím zaměřovalo výhradně na vyhlašování výzkumných</w:t>
      </w:r>
      <w:r w:rsidR="009B66B5">
        <w:rPr>
          <w:rFonts w:cs="Calibri"/>
        </w:rPr>
        <w:t xml:space="preserve"> a </w:t>
      </w:r>
      <w:r w:rsidRPr="11F5AA33">
        <w:rPr>
          <w:rFonts w:cs="Calibri"/>
        </w:rPr>
        <w:t>inovačních výzev, probíhají intenzivní jednání</w:t>
      </w:r>
      <w:r w:rsidR="009B66B5">
        <w:rPr>
          <w:rFonts w:cs="Calibri"/>
        </w:rPr>
        <w:t xml:space="preserve"> o </w:t>
      </w:r>
      <w:r w:rsidRPr="11F5AA33">
        <w:rPr>
          <w:rFonts w:cs="Calibri"/>
        </w:rPr>
        <w:t xml:space="preserve">jeho transformaci do nového partnerství </w:t>
      </w:r>
      <w:r w:rsidRPr="11F5AA33">
        <w:rPr>
          <w:rFonts w:cs="Calibri"/>
          <w:b/>
          <w:bCs/>
        </w:rPr>
        <w:t>European Chips JU</w:t>
      </w:r>
      <w:r w:rsidRPr="11F5AA33">
        <w:rPr>
          <w:rFonts w:cs="Calibri"/>
        </w:rPr>
        <w:t>, která by měla zajistit větší strategickou nezávislost EU ve výrobě špičkových elektronických součástek pro průmysl. Vedle výzkumného pilíře by</w:t>
      </w:r>
      <w:r w:rsidR="009B66B5">
        <w:rPr>
          <w:rFonts w:cs="Calibri"/>
        </w:rPr>
        <w:t xml:space="preserve"> v </w:t>
      </w:r>
      <w:r w:rsidRPr="11F5AA33">
        <w:rPr>
          <w:rFonts w:cs="Calibri"/>
        </w:rPr>
        <w:t>něm měl vzniknout</w:t>
      </w:r>
      <w:r w:rsidR="009B66B5">
        <w:rPr>
          <w:rFonts w:cs="Calibri"/>
        </w:rPr>
        <w:t xml:space="preserve"> i </w:t>
      </w:r>
      <w:r w:rsidRPr="11F5AA33">
        <w:rPr>
          <w:rFonts w:cs="Calibri"/>
        </w:rPr>
        <w:t>druhý investiční pilí</w:t>
      </w:r>
      <w:r w:rsidR="002532A8">
        <w:rPr>
          <w:rFonts w:cs="Calibri"/>
        </w:rPr>
        <w:t>ř</w:t>
      </w:r>
      <w:r w:rsidR="009B66B5">
        <w:rPr>
          <w:rFonts w:cs="Calibri"/>
        </w:rPr>
        <w:t xml:space="preserve"> s </w:t>
      </w:r>
      <w:r w:rsidR="002532A8">
        <w:rPr>
          <w:rFonts w:cs="Calibri"/>
        </w:rPr>
        <w:t>výrazným navýšením rozpočtu</w:t>
      </w:r>
      <w:r w:rsidR="009B66B5">
        <w:rPr>
          <w:rFonts w:cs="Calibri"/>
        </w:rPr>
        <w:t xml:space="preserve"> i z </w:t>
      </w:r>
      <w:r w:rsidRPr="11F5AA33">
        <w:rPr>
          <w:rFonts w:cs="Calibri"/>
        </w:rPr>
        <w:t xml:space="preserve">rozpočtů dalších klastrů pilíře II </w:t>
      </w:r>
      <w:r w:rsidR="00ED1B3E">
        <w:rPr>
          <w:rFonts w:cs="Calibri"/>
        </w:rPr>
        <w:t>RP</w:t>
      </w:r>
      <w:r w:rsidRPr="11F5AA33">
        <w:rPr>
          <w:rFonts w:cs="Calibri"/>
        </w:rPr>
        <w:t>. Specifikem JU jsou u většiny</w:t>
      </w:r>
      <w:r w:rsidR="009B66B5">
        <w:rPr>
          <w:rFonts w:cs="Calibri"/>
        </w:rPr>
        <w:t xml:space="preserve"> z </w:t>
      </w:r>
      <w:r w:rsidRPr="11F5AA33">
        <w:rPr>
          <w:rFonts w:cs="Calibri"/>
        </w:rPr>
        <w:t xml:space="preserve">nich tzv. States Representatives Groups (SRGs), jejichž členové jsou nominováni národními </w:t>
      </w:r>
      <w:r w:rsidR="00623985">
        <w:rPr>
          <w:rFonts w:cs="Calibri"/>
        </w:rPr>
        <w:t>administrativami</w:t>
      </w:r>
      <w:r w:rsidRPr="11F5AA33">
        <w:rPr>
          <w:rFonts w:cs="Calibri"/>
        </w:rPr>
        <w:t xml:space="preserve">, podobně jako NCP pro </w:t>
      </w:r>
      <w:r w:rsidR="00ED1B3E">
        <w:rPr>
          <w:rFonts w:cs="Calibri"/>
        </w:rPr>
        <w:t>RP</w:t>
      </w:r>
      <w:r w:rsidRPr="11F5AA33">
        <w:rPr>
          <w:rFonts w:cs="Calibri"/>
        </w:rPr>
        <w:t xml:space="preserve">. Jejich role </w:t>
      </w:r>
      <w:r w:rsidR="002532A8">
        <w:rPr>
          <w:rFonts w:cs="Calibri"/>
        </w:rPr>
        <w:t>slouží</w:t>
      </w:r>
      <w:r w:rsidR="009B66B5">
        <w:rPr>
          <w:rFonts w:cs="Calibri"/>
        </w:rPr>
        <w:t xml:space="preserve"> k </w:t>
      </w:r>
      <w:r w:rsidR="002532A8">
        <w:rPr>
          <w:rFonts w:cs="Calibri"/>
        </w:rPr>
        <w:t>přenosu informací</w:t>
      </w:r>
      <w:r w:rsidR="009B66B5">
        <w:rPr>
          <w:rFonts w:cs="Calibri"/>
        </w:rPr>
        <w:t xml:space="preserve"> z </w:t>
      </w:r>
      <w:r w:rsidR="002532A8">
        <w:rPr>
          <w:rFonts w:cs="Calibri"/>
        </w:rPr>
        <w:t>řídi</w:t>
      </w:r>
      <w:r w:rsidRPr="11F5AA33">
        <w:rPr>
          <w:rFonts w:cs="Calibri"/>
        </w:rPr>
        <w:t>cích orgánů JU do členských zemí</w:t>
      </w:r>
      <w:r w:rsidR="009B66B5">
        <w:rPr>
          <w:rFonts w:cs="Calibri"/>
        </w:rPr>
        <w:t xml:space="preserve"> a </w:t>
      </w:r>
      <w:r w:rsidRPr="11F5AA33">
        <w:rPr>
          <w:rFonts w:cs="Calibri"/>
        </w:rPr>
        <w:t>případné připomínkování dokumentů JU. Tvorba strategií</w:t>
      </w:r>
      <w:r w:rsidR="009B66B5">
        <w:rPr>
          <w:rFonts w:cs="Calibri"/>
        </w:rPr>
        <w:t xml:space="preserve"> a </w:t>
      </w:r>
      <w:r w:rsidRPr="11F5AA33">
        <w:rPr>
          <w:rFonts w:cs="Calibri"/>
        </w:rPr>
        <w:t>pracovních pr</w:t>
      </w:r>
      <w:r w:rsidR="002532A8">
        <w:rPr>
          <w:rFonts w:cs="Calibri"/>
        </w:rPr>
        <w:t>ogramů je však</w:t>
      </w:r>
      <w:r w:rsidR="009B66B5">
        <w:rPr>
          <w:rFonts w:cs="Calibri"/>
        </w:rPr>
        <w:t xml:space="preserve"> v </w:t>
      </w:r>
      <w:r w:rsidR="002532A8">
        <w:rPr>
          <w:rFonts w:cs="Calibri"/>
        </w:rPr>
        <w:t>kompetenci řídi</w:t>
      </w:r>
      <w:r w:rsidRPr="11F5AA33">
        <w:rPr>
          <w:rFonts w:cs="Calibri"/>
        </w:rPr>
        <w:t xml:space="preserve">cích orgánů JU. </w:t>
      </w:r>
    </w:p>
    <w:p w14:paraId="3EA51D2A" w14:textId="77777777" w:rsidR="009305DA" w:rsidRPr="009305DA" w:rsidRDefault="009305DA" w:rsidP="008444FF">
      <w:pPr>
        <w:spacing w:line="257" w:lineRule="auto"/>
        <w:rPr>
          <w:b/>
        </w:rPr>
      </w:pPr>
      <w:r w:rsidRPr="009305DA">
        <w:rPr>
          <w:rFonts w:cs="Calibri"/>
          <w:b/>
        </w:rPr>
        <w:t>Tabulka 2</w:t>
      </w:r>
    </w:p>
    <w:tbl>
      <w:tblPr>
        <w:tblStyle w:val="Svtltabulkasmkou1zvraznn5"/>
        <w:tblW w:w="5000" w:type="pct"/>
        <w:tblLook w:val="04A0" w:firstRow="1" w:lastRow="0" w:firstColumn="1" w:lastColumn="0" w:noHBand="0" w:noVBand="1"/>
      </w:tblPr>
      <w:tblGrid>
        <w:gridCol w:w="3662"/>
        <w:gridCol w:w="788"/>
        <w:gridCol w:w="788"/>
        <w:gridCol w:w="823"/>
        <w:gridCol w:w="753"/>
        <w:gridCol w:w="1060"/>
        <w:gridCol w:w="1186"/>
      </w:tblGrid>
      <w:tr w:rsidR="00EA1C0C" w:rsidRPr="00EA1C0C" w14:paraId="55C05B13" w14:textId="77777777" w:rsidTr="00EA1C0C">
        <w:trPr>
          <w:cnfStyle w:val="100000000000" w:firstRow="1" w:lastRow="0" w:firstColumn="0" w:lastColumn="0" w:oddVBand="0" w:evenVBand="0" w:oddHBand="0" w:evenHBand="0" w:firstRowFirstColumn="0" w:firstRowLastColumn="0" w:lastRowFirstColumn="0" w:lastRowLastColumn="0"/>
          <w:trHeight w:val="940"/>
        </w:trPr>
        <w:tc>
          <w:tcPr>
            <w:cnfStyle w:val="001000000000" w:firstRow="0" w:lastRow="0" w:firstColumn="1" w:lastColumn="0" w:oddVBand="0" w:evenVBand="0" w:oddHBand="0" w:evenHBand="0" w:firstRowFirstColumn="0" w:firstRowLastColumn="0" w:lastRowFirstColumn="0" w:lastRowLastColumn="0"/>
            <w:tcW w:w="1823" w:type="pct"/>
            <w:hideMark/>
          </w:tcPr>
          <w:p w14:paraId="5F5CA10F" w14:textId="77777777" w:rsidR="00EA1C0C" w:rsidRPr="00EA1C0C" w:rsidRDefault="00EA1C0C" w:rsidP="00EA1C0C">
            <w:pPr>
              <w:spacing w:before="0" w:after="0"/>
              <w:jc w:val="left"/>
              <w:rPr>
                <w:rFonts w:asciiTheme="minorHAnsi" w:eastAsia="Times New Roman" w:hAnsiTheme="minorHAnsi" w:cstheme="minorHAnsi"/>
                <w:color w:val="000000"/>
                <w:sz w:val="18"/>
                <w:szCs w:val="18"/>
                <w:lang w:eastAsia="cs-CZ"/>
              </w:rPr>
            </w:pPr>
            <w:r w:rsidRPr="00EA1C0C">
              <w:rPr>
                <w:rFonts w:asciiTheme="minorHAnsi" w:eastAsia="Times New Roman" w:hAnsiTheme="minorHAnsi" w:cstheme="minorHAnsi"/>
                <w:color w:val="000000"/>
                <w:sz w:val="18"/>
                <w:szCs w:val="18"/>
                <w:lang w:eastAsia="cs-CZ"/>
              </w:rPr>
              <w:t xml:space="preserve">  Partnerství (Joint Undertaking)</w:t>
            </w:r>
          </w:p>
        </w:tc>
        <w:tc>
          <w:tcPr>
            <w:tcW w:w="468" w:type="pct"/>
            <w:hideMark/>
          </w:tcPr>
          <w:p w14:paraId="7F9B9D41" w14:textId="77777777" w:rsidR="00EA1C0C" w:rsidRPr="00EA1C0C" w:rsidRDefault="00EA1C0C" w:rsidP="00EA1C0C">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EA1C0C">
              <w:rPr>
                <w:rFonts w:asciiTheme="minorHAnsi" w:eastAsia="Times New Roman" w:hAnsiTheme="minorHAnsi" w:cstheme="minorHAnsi"/>
                <w:color w:val="000000"/>
                <w:sz w:val="18"/>
                <w:szCs w:val="18"/>
                <w:lang w:eastAsia="cs-CZ"/>
              </w:rPr>
              <w:t xml:space="preserve">Celkem  mil. € </w:t>
            </w:r>
          </w:p>
        </w:tc>
        <w:tc>
          <w:tcPr>
            <w:tcW w:w="468" w:type="pct"/>
            <w:hideMark/>
          </w:tcPr>
          <w:p w14:paraId="0FECBA88" w14:textId="77777777" w:rsidR="00EA1C0C" w:rsidRPr="00EA1C0C" w:rsidRDefault="00EA1C0C" w:rsidP="00EA1C0C">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EA1C0C">
              <w:rPr>
                <w:rFonts w:asciiTheme="minorHAnsi" w:eastAsia="Times New Roman" w:hAnsiTheme="minorHAnsi" w:cstheme="minorHAnsi"/>
                <w:color w:val="000000"/>
                <w:sz w:val="18"/>
                <w:szCs w:val="18"/>
                <w:lang w:eastAsia="cs-CZ"/>
              </w:rPr>
              <w:t xml:space="preserve">EU            mil. € </w:t>
            </w:r>
          </w:p>
        </w:tc>
        <w:tc>
          <w:tcPr>
            <w:tcW w:w="468" w:type="pct"/>
            <w:hideMark/>
          </w:tcPr>
          <w:p w14:paraId="07BCA6E3" w14:textId="77777777" w:rsidR="00EA1C0C" w:rsidRPr="00EA1C0C" w:rsidRDefault="00EA1C0C" w:rsidP="00EA1C0C">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EA1C0C">
              <w:rPr>
                <w:rFonts w:asciiTheme="minorHAnsi" w:eastAsia="Times New Roman" w:hAnsiTheme="minorHAnsi" w:cstheme="minorHAnsi"/>
                <w:color w:val="000000"/>
                <w:sz w:val="18"/>
                <w:szCs w:val="18"/>
                <w:lang w:eastAsia="cs-CZ"/>
              </w:rPr>
              <w:t xml:space="preserve">Partneři   mil. € </w:t>
            </w:r>
          </w:p>
        </w:tc>
        <w:tc>
          <w:tcPr>
            <w:tcW w:w="468" w:type="pct"/>
            <w:hideMark/>
          </w:tcPr>
          <w:p w14:paraId="6B5AFDC5" w14:textId="77777777" w:rsidR="00EA1C0C" w:rsidRPr="00EA1C0C" w:rsidRDefault="00EA1C0C" w:rsidP="00EA1C0C">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EA1C0C">
              <w:rPr>
                <w:rFonts w:asciiTheme="minorHAnsi" w:eastAsia="Times New Roman" w:hAnsiTheme="minorHAnsi" w:cstheme="minorHAnsi"/>
                <w:color w:val="000000"/>
                <w:sz w:val="18"/>
                <w:szCs w:val="18"/>
                <w:lang w:eastAsia="cs-CZ"/>
              </w:rPr>
              <w:t xml:space="preserve">MS            mil. € </w:t>
            </w:r>
          </w:p>
        </w:tc>
        <w:tc>
          <w:tcPr>
            <w:tcW w:w="618" w:type="pct"/>
            <w:hideMark/>
          </w:tcPr>
          <w:p w14:paraId="1CC66E52" w14:textId="77777777" w:rsidR="00EA1C0C" w:rsidRPr="00EA1C0C" w:rsidRDefault="00EA1C0C" w:rsidP="00EA1C0C">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EA1C0C">
              <w:rPr>
                <w:rFonts w:asciiTheme="minorHAnsi" w:eastAsia="Times New Roman" w:hAnsiTheme="minorHAnsi" w:cstheme="minorHAnsi"/>
                <w:color w:val="000000"/>
                <w:sz w:val="18"/>
                <w:szCs w:val="18"/>
                <w:lang w:eastAsia="cs-CZ"/>
              </w:rPr>
              <w:t>Relevance ke klastru HE</w:t>
            </w:r>
          </w:p>
        </w:tc>
        <w:tc>
          <w:tcPr>
            <w:tcW w:w="689" w:type="pct"/>
            <w:hideMark/>
          </w:tcPr>
          <w:p w14:paraId="03830E18" w14:textId="77777777" w:rsidR="00EA1C0C" w:rsidRPr="00EA1C0C" w:rsidRDefault="00EA1C0C" w:rsidP="00EA1C0C">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EA1C0C">
              <w:rPr>
                <w:rFonts w:asciiTheme="minorHAnsi" w:eastAsia="Times New Roman" w:hAnsiTheme="minorHAnsi" w:cstheme="minorHAnsi"/>
                <w:color w:val="000000"/>
                <w:sz w:val="18"/>
                <w:szCs w:val="18"/>
                <w:lang w:eastAsia="cs-CZ"/>
              </w:rPr>
              <w:t xml:space="preserve">Návaznost na partnerství </w:t>
            </w:r>
            <w:r w:rsidRPr="00EA1C0C">
              <w:rPr>
                <w:rFonts w:asciiTheme="minorHAnsi" w:eastAsia="Times New Roman" w:hAnsiTheme="minorHAnsi" w:cstheme="minorHAnsi"/>
                <w:color w:val="000000"/>
                <w:sz w:val="18"/>
                <w:szCs w:val="18"/>
                <w:lang w:eastAsia="cs-CZ"/>
              </w:rPr>
              <w:br/>
              <w:t>v H2020</w:t>
            </w:r>
          </w:p>
        </w:tc>
      </w:tr>
      <w:tr w:rsidR="00EA1C0C" w:rsidRPr="00EA1C0C" w14:paraId="55CB6F13" w14:textId="77777777" w:rsidTr="006945B8">
        <w:trPr>
          <w:trHeight w:val="397"/>
        </w:trPr>
        <w:tc>
          <w:tcPr>
            <w:cnfStyle w:val="001000000000" w:firstRow="0" w:lastRow="0" w:firstColumn="1" w:lastColumn="0" w:oddVBand="0" w:evenVBand="0" w:oddHBand="0" w:evenHBand="0" w:firstRowFirstColumn="0" w:firstRowLastColumn="0" w:lastRowFirstColumn="0" w:lastRowLastColumn="0"/>
            <w:tcW w:w="1823" w:type="pct"/>
            <w:noWrap/>
            <w:hideMark/>
          </w:tcPr>
          <w:p w14:paraId="4F72D61F" w14:textId="77777777" w:rsidR="00EA1C0C" w:rsidRPr="00EA1C0C" w:rsidRDefault="00FA7752" w:rsidP="00EA1C0C">
            <w:pPr>
              <w:spacing w:before="0" w:after="0"/>
              <w:ind w:firstLineChars="100" w:firstLine="220"/>
              <w:jc w:val="left"/>
              <w:rPr>
                <w:rFonts w:asciiTheme="minorHAnsi" w:eastAsia="Times New Roman" w:hAnsiTheme="minorHAnsi" w:cstheme="minorHAnsi"/>
                <w:color w:val="000000"/>
                <w:sz w:val="18"/>
                <w:szCs w:val="18"/>
                <w:u w:val="single"/>
                <w:lang w:eastAsia="cs-CZ"/>
              </w:rPr>
            </w:pPr>
            <w:hyperlink r:id="rId29" w:history="1">
              <w:r w:rsidR="00EA1C0C" w:rsidRPr="00EA1C0C">
                <w:rPr>
                  <w:rFonts w:asciiTheme="minorHAnsi" w:eastAsia="Times New Roman" w:hAnsiTheme="minorHAnsi" w:cstheme="minorHAnsi"/>
                  <w:color w:val="000000"/>
                  <w:sz w:val="18"/>
                  <w:szCs w:val="18"/>
                  <w:u w:val="single"/>
                  <w:lang w:eastAsia="cs-CZ"/>
                </w:rPr>
                <w:t>EU-Africa Global Health (EDCTP3)</w:t>
              </w:r>
            </w:hyperlink>
          </w:p>
        </w:tc>
        <w:tc>
          <w:tcPr>
            <w:tcW w:w="468" w:type="pct"/>
            <w:noWrap/>
            <w:hideMark/>
          </w:tcPr>
          <w:p w14:paraId="038D4486" w14:textId="77777777" w:rsidR="00EA1C0C" w:rsidRPr="00EA1C0C" w:rsidRDefault="00EA1C0C" w:rsidP="00EA1C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bCs/>
                <w:color w:val="000000"/>
                <w:sz w:val="18"/>
                <w:szCs w:val="18"/>
                <w:lang w:eastAsia="cs-CZ"/>
              </w:rPr>
            </w:pPr>
            <w:r w:rsidRPr="00EA1C0C">
              <w:rPr>
                <w:rFonts w:asciiTheme="minorHAnsi" w:eastAsia="Times New Roman" w:hAnsiTheme="minorHAnsi" w:cstheme="minorHAnsi"/>
                <w:b/>
                <w:bCs/>
                <w:color w:val="000000"/>
                <w:sz w:val="18"/>
                <w:szCs w:val="18"/>
                <w:lang w:eastAsia="cs-CZ"/>
              </w:rPr>
              <w:t>1 639</w:t>
            </w:r>
          </w:p>
        </w:tc>
        <w:tc>
          <w:tcPr>
            <w:tcW w:w="468" w:type="pct"/>
            <w:noWrap/>
            <w:hideMark/>
          </w:tcPr>
          <w:p w14:paraId="5D8A7350" w14:textId="77777777" w:rsidR="00EA1C0C" w:rsidRPr="00EA1C0C" w:rsidRDefault="00EA1C0C" w:rsidP="00EA1C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EA1C0C">
              <w:rPr>
                <w:rFonts w:asciiTheme="minorHAnsi" w:eastAsia="Times New Roman" w:hAnsiTheme="minorHAnsi" w:cstheme="minorHAnsi"/>
                <w:color w:val="000000"/>
                <w:sz w:val="18"/>
                <w:szCs w:val="18"/>
                <w:lang w:eastAsia="cs-CZ"/>
              </w:rPr>
              <w:t>800</w:t>
            </w:r>
          </w:p>
        </w:tc>
        <w:tc>
          <w:tcPr>
            <w:tcW w:w="468" w:type="pct"/>
            <w:noWrap/>
            <w:hideMark/>
          </w:tcPr>
          <w:p w14:paraId="2376AB77" w14:textId="77777777" w:rsidR="00EA1C0C" w:rsidRPr="00EA1C0C" w:rsidRDefault="00EA1C0C" w:rsidP="00EA1C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EA1C0C">
              <w:rPr>
                <w:rFonts w:asciiTheme="minorHAnsi" w:eastAsia="Times New Roman" w:hAnsiTheme="minorHAnsi" w:cstheme="minorHAnsi"/>
                <w:color w:val="000000"/>
                <w:sz w:val="18"/>
                <w:szCs w:val="18"/>
                <w:lang w:eastAsia="cs-CZ"/>
              </w:rPr>
              <w:t>839</w:t>
            </w:r>
          </w:p>
        </w:tc>
        <w:tc>
          <w:tcPr>
            <w:tcW w:w="468" w:type="pct"/>
            <w:noWrap/>
            <w:hideMark/>
          </w:tcPr>
          <w:p w14:paraId="1A9CC12F" w14:textId="77777777" w:rsidR="00EA1C0C" w:rsidRPr="00EA1C0C" w:rsidRDefault="00EA1C0C" w:rsidP="00EA1C0C">
            <w:pPr>
              <w:spacing w:before="0" w:after="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EA1C0C">
              <w:rPr>
                <w:rFonts w:asciiTheme="minorHAnsi" w:eastAsia="Times New Roman" w:hAnsiTheme="minorHAnsi" w:cstheme="minorHAnsi"/>
                <w:color w:val="000000"/>
                <w:sz w:val="18"/>
                <w:szCs w:val="18"/>
                <w:lang w:eastAsia="cs-CZ"/>
              </w:rPr>
              <w:t> </w:t>
            </w:r>
          </w:p>
        </w:tc>
        <w:tc>
          <w:tcPr>
            <w:tcW w:w="618" w:type="pct"/>
            <w:vMerge w:val="restart"/>
            <w:noWrap/>
            <w:hideMark/>
          </w:tcPr>
          <w:p w14:paraId="0AABF075" w14:textId="77777777" w:rsidR="00EA1C0C" w:rsidRPr="00EA1C0C" w:rsidRDefault="00EA1C0C" w:rsidP="00EA1C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EA1C0C">
              <w:rPr>
                <w:rFonts w:asciiTheme="minorHAnsi" w:eastAsia="Times New Roman" w:hAnsiTheme="minorHAnsi" w:cstheme="minorHAnsi"/>
                <w:color w:val="000000"/>
                <w:sz w:val="18"/>
                <w:szCs w:val="18"/>
                <w:lang w:eastAsia="cs-CZ"/>
              </w:rPr>
              <w:t>Cl-1</w:t>
            </w:r>
          </w:p>
        </w:tc>
        <w:tc>
          <w:tcPr>
            <w:tcW w:w="689" w:type="pct"/>
            <w:hideMark/>
          </w:tcPr>
          <w:p w14:paraId="01347DD1" w14:textId="77777777" w:rsidR="00EA1C0C" w:rsidRPr="00EA1C0C" w:rsidRDefault="00EA1C0C" w:rsidP="006945B8">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EA1C0C">
              <w:rPr>
                <w:rFonts w:asciiTheme="minorHAnsi" w:eastAsia="Times New Roman" w:hAnsiTheme="minorHAnsi" w:cstheme="minorHAnsi"/>
                <w:color w:val="000000"/>
                <w:sz w:val="18"/>
                <w:szCs w:val="18"/>
                <w:lang w:eastAsia="cs-CZ"/>
              </w:rPr>
              <w:t>EDCPT</w:t>
            </w:r>
          </w:p>
        </w:tc>
      </w:tr>
      <w:tr w:rsidR="00EA1C0C" w:rsidRPr="00EA1C0C" w14:paraId="160249EC" w14:textId="77777777" w:rsidTr="006945B8">
        <w:trPr>
          <w:trHeight w:val="397"/>
        </w:trPr>
        <w:tc>
          <w:tcPr>
            <w:cnfStyle w:val="001000000000" w:firstRow="0" w:lastRow="0" w:firstColumn="1" w:lastColumn="0" w:oddVBand="0" w:evenVBand="0" w:oddHBand="0" w:evenHBand="0" w:firstRowFirstColumn="0" w:firstRowLastColumn="0" w:lastRowFirstColumn="0" w:lastRowLastColumn="0"/>
            <w:tcW w:w="1823" w:type="pct"/>
            <w:noWrap/>
            <w:hideMark/>
          </w:tcPr>
          <w:p w14:paraId="787115ED" w14:textId="77777777" w:rsidR="00EA1C0C" w:rsidRPr="00EA1C0C" w:rsidRDefault="00FA7752" w:rsidP="00EA1C0C">
            <w:pPr>
              <w:spacing w:before="0" w:after="0"/>
              <w:ind w:firstLineChars="100" w:firstLine="220"/>
              <w:jc w:val="left"/>
              <w:rPr>
                <w:rFonts w:asciiTheme="minorHAnsi" w:eastAsia="Times New Roman" w:hAnsiTheme="minorHAnsi" w:cstheme="minorHAnsi"/>
                <w:color w:val="000000"/>
                <w:sz w:val="18"/>
                <w:szCs w:val="18"/>
                <w:u w:val="single"/>
                <w:lang w:eastAsia="cs-CZ"/>
              </w:rPr>
            </w:pPr>
            <w:hyperlink r:id="rId30" w:history="1">
              <w:r w:rsidR="00EA1C0C" w:rsidRPr="00EA1C0C">
                <w:rPr>
                  <w:rFonts w:asciiTheme="minorHAnsi" w:eastAsia="Times New Roman" w:hAnsiTheme="minorHAnsi" w:cstheme="minorHAnsi"/>
                  <w:color w:val="000000"/>
                  <w:sz w:val="18"/>
                  <w:szCs w:val="18"/>
                  <w:u w:val="single"/>
                  <w:lang w:eastAsia="cs-CZ"/>
                </w:rPr>
                <w:t>Innovative Health Initiative (IHI)</w:t>
              </w:r>
            </w:hyperlink>
          </w:p>
        </w:tc>
        <w:tc>
          <w:tcPr>
            <w:tcW w:w="468" w:type="pct"/>
            <w:noWrap/>
            <w:hideMark/>
          </w:tcPr>
          <w:p w14:paraId="25630B3A" w14:textId="77777777" w:rsidR="00EA1C0C" w:rsidRPr="00EA1C0C" w:rsidRDefault="00EA1C0C" w:rsidP="00EA1C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bCs/>
                <w:color w:val="000000"/>
                <w:sz w:val="18"/>
                <w:szCs w:val="18"/>
                <w:lang w:eastAsia="cs-CZ"/>
              </w:rPr>
            </w:pPr>
            <w:r w:rsidRPr="00EA1C0C">
              <w:rPr>
                <w:rFonts w:asciiTheme="minorHAnsi" w:eastAsia="Times New Roman" w:hAnsiTheme="minorHAnsi" w:cstheme="minorHAnsi"/>
                <w:b/>
                <w:bCs/>
                <w:color w:val="000000"/>
                <w:sz w:val="18"/>
                <w:szCs w:val="18"/>
                <w:lang w:eastAsia="cs-CZ"/>
              </w:rPr>
              <w:t>2 400</w:t>
            </w:r>
          </w:p>
        </w:tc>
        <w:tc>
          <w:tcPr>
            <w:tcW w:w="468" w:type="pct"/>
            <w:noWrap/>
            <w:hideMark/>
          </w:tcPr>
          <w:p w14:paraId="63B279B9" w14:textId="77777777" w:rsidR="00EA1C0C" w:rsidRPr="00EA1C0C" w:rsidRDefault="00EA1C0C" w:rsidP="00EA1C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EA1C0C">
              <w:rPr>
                <w:rFonts w:asciiTheme="minorHAnsi" w:eastAsia="Times New Roman" w:hAnsiTheme="minorHAnsi" w:cstheme="minorHAnsi"/>
                <w:color w:val="000000"/>
                <w:sz w:val="18"/>
                <w:szCs w:val="18"/>
                <w:lang w:eastAsia="cs-CZ"/>
              </w:rPr>
              <w:t>1 200</w:t>
            </w:r>
          </w:p>
        </w:tc>
        <w:tc>
          <w:tcPr>
            <w:tcW w:w="468" w:type="pct"/>
            <w:noWrap/>
            <w:hideMark/>
          </w:tcPr>
          <w:p w14:paraId="50F49D40" w14:textId="77777777" w:rsidR="00EA1C0C" w:rsidRPr="00EA1C0C" w:rsidRDefault="00EA1C0C" w:rsidP="00EA1C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EA1C0C">
              <w:rPr>
                <w:rFonts w:asciiTheme="minorHAnsi" w:eastAsia="Times New Roman" w:hAnsiTheme="minorHAnsi" w:cstheme="minorHAnsi"/>
                <w:color w:val="000000"/>
                <w:sz w:val="18"/>
                <w:szCs w:val="18"/>
                <w:lang w:eastAsia="cs-CZ"/>
              </w:rPr>
              <w:t>1 200</w:t>
            </w:r>
          </w:p>
        </w:tc>
        <w:tc>
          <w:tcPr>
            <w:tcW w:w="468" w:type="pct"/>
            <w:noWrap/>
            <w:hideMark/>
          </w:tcPr>
          <w:p w14:paraId="5341816E" w14:textId="77777777" w:rsidR="00EA1C0C" w:rsidRPr="00EA1C0C" w:rsidRDefault="00EA1C0C" w:rsidP="00EA1C0C">
            <w:pPr>
              <w:spacing w:before="0" w:after="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EA1C0C">
              <w:rPr>
                <w:rFonts w:asciiTheme="minorHAnsi" w:eastAsia="Times New Roman" w:hAnsiTheme="minorHAnsi" w:cstheme="minorHAnsi"/>
                <w:color w:val="000000"/>
                <w:sz w:val="18"/>
                <w:szCs w:val="18"/>
                <w:lang w:eastAsia="cs-CZ"/>
              </w:rPr>
              <w:t> </w:t>
            </w:r>
          </w:p>
        </w:tc>
        <w:tc>
          <w:tcPr>
            <w:tcW w:w="618" w:type="pct"/>
            <w:vMerge/>
            <w:hideMark/>
          </w:tcPr>
          <w:p w14:paraId="130F495B" w14:textId="77777777" w:rsidR="00EA1C0C" w:rsidRPr="00EA1C0C" w:rsidRDefault="00EA1C0C" w:rsidP="00EA1C0C">
            <w:pPr>
              <w:spacing w:before="0" w:after="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p>
        </w:tc>
        <w:tc>
          <w:tcPr>
            <w:tcW w:w="689" w:type="pct"/>
            <w:hideMark/>
          </w:tcPr>
          <w:p w14:paraId="4C7DED38" w14:textId="77777777" w:rsidR="00EA1C0C" w:rsidRPr="00EA1C0C" w:rsidRDefault="00EA1C0C" w:rsidP="006945B8">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EA1C0C">
              <w:rPr>
                <w:rFonts w:asciiTheme="minorHAnsi" w:eastAsia="Times New Roman" w:hAnsiTheme="minorHAnsi" w:cstheme="minorHAnsi"/>
                <w:color w:val="000000"/>
                <w:sz w:val="18"/>
                <w:szCs w:val="18"/>
                <w:lang w:eastAsia="cs-CZ"/>
              </w:rPr>
              <w:t>IMI</w:t>
            </w:r>
          </w:p>
        </w:tc>
      </w:tr>
      <w:tr w:rsidR="00EA1C0C" w:rsidRPr="00EA1C0C" w14:paraId="672F5EC4" w14:textId="77777777" w:rsidTr="006945B8">
        <w:trPr>
          <w:trHeight w:val="397"/>
        </w:trPr>
        <w:tc>
          <w:tcPr>
            <w:cnfStyle w:val="001000000000" w:firstRow="0" w:lastRow="0" w:firstColumn="1" w:lastColumn="0" w:oddVBand="0" w:evenVBand="0" w:oddHBand="0" w:evenHBand="0" w:firstRowFirstColumn="0" w:firstRowLastColumn="0" w:lastRowFirstColumn="0" w:lastRowLastColumn="0"/>
            <w:tcW w:w="1823" w:type="pct"/>
            <w:noWrap/>
            <w:hideMark/>
          </w:tcPr>
          <w:p w14:paraId="70DAAEA2" w14:textId="77777777" w:rsidR="00EA1C0C" w:rsidRPr="00EA1C0C" w:rsidRDefault="00FA7752" w:rsidP="00EA1C0C">
            <w:pPr>
              <w:spacing w:before="0" w:after="0"/>
              <w:ind w:firstLineChars="100" w:firstLine="220"/>
              <w:jc w:val="left"/>
              <w:rPr>
                <w:rFonts w:asciiTheme="minorHAnsi" w:eastAsia="Times New Roman" w:hAnsiTheme="minorHAnsi" w:cstheme="minorHAnsi"/>
                <w:color w:val="000000"/>
                <w:sz w:val="18"/>
                <w:szCs w:val="18"/>
                <w:u w:val="single"/>
                <w:lang w:eastAsia="cs-CZ"/>
              </w:rPr>
            </w:pPr>
            <w:hyperlink r:id="rId31" w:history="1">
              <w:r w:rsidR="00EA1C0C" w:rsidRPr="00EA1C0C">
                <w:rPr>
                  <w:rFonts w:asciiTheme="minorHAnsi" w:eastAsia="Times New Roman" w:hAnsiTheme="minorHAnsi" w:cstheme="minorHAnsi"/>
                  <w:color w:val="000000"/>
                  <w:sz w:val="18"/>
                  <w:szCs w:val="18"/>
                  <w:u w:val="single"/>
                  <w:lang w:eastAsia="cs-CZ"/>
                </w:rPr>
                <w:t xml:space="preserve">High Performance Computing (EuroHPC)* </w:t>
              </w:r>
            </w:hyperlink>
          </w:p>
        </w:tc>
        <w:tc>
          <w:tcPr>
            <w:tcW w:w="468" w:type="pct"/>
            <w:noWrap/>
            <w:hideMark/>
          </w:tcPr>
          <w:p w14:paraId="106A7D22" w14:textId="77777777" w:rsidR="00EA1C0C" w:rsidRPr="00EA1C0C" w:rsidRDefault="00EA1C0C" w:rsidP="00EA1C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bCs/>
                <w:color w:val="000000"/>
                <w:sz w:val="18"/>
                <w:szCs w:val="18"/>
                <w:lang w:eastAsia="cs-CZ"/>
              </w:rPr>
            </w:pPr>
            <w:r w:rsidRPr="00EA1C0C">
              <w:rPr>
                <w:rFonts w:asciiTheme="minorHAnsi" w:eastAsia="Times New Roman" w:hAnsiTheme="minorHAnsi" w:cstheme="minorHAnsi"/>
                <w:b/>
                <w:bCs/>
                <w:color w:val="000000"/>
                <w:sz w:val="18"/>
                <w:szCs w:val="18"/>
                <w:lang w:eastAsia="cs-CZ"/>
              </w:rPr>
              <w:t>7 060</w:t>
            </w:r>
          </w:p>
        </w:tc>
        <w:tc>
          <w:tcPr>
            <w:tcW w:w="468" w:type="pct"/>
            <w:noWrap/>
            <w:hideMark/>
          </w:tcPr>
          <w:p w14:paraId="604F33A0" w14:textId="77777777" w:rsidR="00EA1C0C" w:rsidRPr="00EA1C0C" w:rsidRDefault="00EA1C0C" w:rsidP="00EA1C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EA1C0C">
              <w:rPr>
                <w:rFonts w:asciiTheme="minorHAnsi" w:eastAsia="Times New Roman" w:hAnsiTheme="minorHAnsi" w:cstheme="minorHAnsi"/>
                <w:color w:val="000000"/>
                <w:sz w:val="18"/>
                <w:szCs w:val="18"/>
                <w:lang w:eastAsia="cs-CZ"/>
              </w:rPr>
              <w:t>3 080</w:t>
            </w:r>
          </w:p>
        </w:tc>
        <w:tc>
          <w:tcPr>
            <w:tcW w:w="468" w:type="pct"/>
            <w:noWrap/>
            <w:hideMark/>
          </w:tcPr>
          <w:p w14:paraId="597C7CC1" w14:textId="77777777" w:rsidR="00EA1C0C" w:rsidRPr="00EA1C0C" w:rsidRDefault="00EA1C0C" w:rsidP="00EA1C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EA1C0C">
              <w:rPr>
                <w:rFonts w:asciiTheme="minorHAnsi" w:eastAsia="Times New Roman" w:hAnsiTheme="minorHAnsi" w:cstheme="minorHAnsi"/>
                <w:color w:val="000000"/>
                <w:sz w:val="18"/>
                <w:szCs w:val="18"/>
                <w:lang w:eastAsia="cs-CZ"/>
              </w:rPr>
              <w:t>900</w:t>
            </w:r>
          </w:p>
        </w:tc>
        <w:tc>
          <w:tcPr>
            <w:tcW w:w="468" w:type="pct"/>
            <w:noWrap/>
            <w:hideMark/>
          </w:tcPr>
          <w:p w14:paraId="17CAED14" w14:textId="77777777" w:rsidR="00EA1C0C" w:rsidRPr="00EA1C0C" w:rsidRDefault="00EA1C0C" w:rsidP="00EA1C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EA1C0C">
              <w:rPr>
                <w:rFonts w:asciiTheme="minorHAnsi" w:eastAsia="Times New Roman" w:hAnsiTheme="minorHAnsi" w:cstheme="minorHAnsi"/>
                <w:color w:val="000000"/>
                <w:sz w:val="18"/>
                <w:szCs w:val="18"/>
                <w:lang w:eastAsia="cs-CZ"/>
              </w:rPr>
              <w:t>3 080</w:t>
            </w:r>
          </w:p>
        </w:tc>
        <w:tc>
          <w:tcPr>
            <w:tcW w:w="618" w:type="pct"/>
            <w:vMerge w:val="restart"/>
            <w:noWrap/>
            <w:hideMark/>
          </w:tcPr>
          <w:p w14:paraId="5EF5E07F" w14:textId="77777777" w:rsidR="00EA1C0C" w:rsidRPr="00EA1C0C" w:rsidRDefault="00EA1C0C" w:rsidP="00EA1C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EA1C0C">
              <w:rPr>
                <w:rFonts w:asciiTheme="minorHAnsi" w:eastAsia="Times New Roman" w:hAnsiTheme="minorHAnsi" w:cstheme="minorHAnsi"/>
                <w:color w:val="000000"/>
                <w:sz w:val="18"/>
                <w:szCs w:val="18"/>
                <w:lang w:eastAsia="cs-CZ"/>
              </w:rPr>
              <w:t>Cl-4</w:t>
            </w:r>
          </w:p>
        </w:tc>
        <w:tc>
          <w:tcPr>
            <w:tcW w:w="689" w:type="pct"/>
            <w:hideMark/>
          </w:tcPr>
          <w:p w14:paraId="19B245E0" w14:textId="77777777" w:rsidR="00EA1C0C" w:rsidRPr="00EA1C0C" w:rsidRDefault="00EA1C0C" w:rsidP="006945B8">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EA1C0C">
              <w:rPr>
                <w:rFonts w:asciiTheme="minorHAnsi" w:eastAsia="Times New Roman" w:hAnsiTheme="minorHAnsi" w:cstheme="minorHAnsi"/>
                <w:color w:val="000000"/>
                <w:sz w:val="18"/>
                <w:szCs w:val="18"/>
                <w:lang w:eastAsia="cs-CZ"/>
              </w:rPr>
              <w:t>EuroHPC</w:t>
            </w:r>
          </w:p>
        </w:tc>
      </w:tr>
      <w:tr w:rsidR="00EA1C0C" w:rsidRPr="00EA1C0C" w14:paraId="55389B78" w14:textId="77777777" w:rsidTr="006945B8">
        <w:trPr>
          <w:trHeight w:val="397"/>
        </w:trPr>
        <w:tc>
          <w:tcPr>
            <w:cnfStyle w:val="001000000000" w:firstRow="0" w:lastRow="0" w:firstColumn="1" w:lastColumn="0" w:oddVBand="0" w:evenVBand="0" w:oddHBand="0" w:evenHBand="0" w:firstRowFirstColumn="0" w:firstRowLastColumn="0" w:lastRowFirstColumn="0" w:lastRowLastColumn="0"/>
            <w:tcW w:w="1823" w:type="pct"/>
            <w:noWrap/>
            <w:hideMark/>
          </w:tcPr>
          <w:p w14:paraId="1F536E7B" w14:textId="77777777" w:rsidR="00EA1C0C" w:rsidRPr="00EA1C0C" w:rsidRDefault="00FA7752" w:rsidP="00EA1C0C">
            <w:pPr>
              <w:spacing w:before="0" w:after="0"/>
              <w:ind w:firstLineChars="100" w:firstLine="220"/>
              <w:jc w:val="left"/>
              <w:rPr>
                <w:rFonts w:asciiTheme="minorHAnsi" w:eastAsia="Times New Roman" w:hAnsiTheme="minorHAnsi" w:cstheme="minorHAnsi"/>
                <w:color w:val="000000"/>
                <w:sz w:val="18"/>
                <w:szCs w:val="18"/>
                <w:u w:val="single"/>
                <w:lang w:eastAsia="cs-CZ"/>
              </w:rPr>
            </w:pPr>
            <w:hyperlink r:id="rId32" w:history="1">
              <w:r w:rsidR="00EA1C0C" w:rsidRPr="00EA1C0C">
                <w:rPr>
                  <w:rFonts w:asciiTheme="minorHAnsi" w:eastAsia="Times New Roman" w:hAnsiTheme="minorHAnsi" w:cstheme="minorHAnsi"/>
                  <w:color w:val="000000"/>
                  <w:sz w:val="18"/>
                  <w:szCs w:val="18"/>
                  <w:u w:val="single"/>
                  <w:lang w:eastAsia="cs-CZ"/>
                </w:rPr>
                <w:t>Key Digital Technologies (KDT) *</w:t>
              </w:r>
            </w:hyperlink>
          </w:p>
        </w:tc>
        <w:tc>
          <w:tcPr>
            <w:tcW w:w="468" w:type="pct"/>
            <w:noWrap/>
            <w:hideMark/>
          </w:tcPr>
          <w:p w14:paraId="5EC22006" w14:textId="77777777" w:rsidR="00EA1C0C" w:rsidRPr="00EA1C0C" w:rsidRDefault="00EA1C0C" w:rsidP="00EA1C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bCs/>
                <w:color w:val="000000"/>
                <w:sz w:val="18"/>
                <w:szCs w:val="18"/>
                <w:lang w:eastAsia="cs-CZ"/>
              </w:rPr>
            </w:pPr>
            <w:r w:rsidRPr="00EA1C0C">
              <w:rPr>
                <w:rFonts w:asciiTheme="minorHAnsi" w:eastAsia="Times New Roman" w:hAnsiTheme="minorHAnsi" w:cstheme="minorHAnsi"/>
                <w:b/>
                <w:bCs/>
                <w:color w:val="000000"/>
                <w:sz w:val="18"/>
                <w:szCs w:val="18"/>
                <w:lang w:eastAsia="cs-CZ"/>
              </w:rPr>
              <w:t>6 100</w:t>
            </w:r>
          </w:p>
        </w:tc>
        <w:tc>
          <w:tcPr>
            <w:tcW w:w="468" w:type="pct"/>
            <w:noWrap/>
            <w:hideMark/>
          </w:tcPr>
          <w:p w14:paraId="585380FC" w14:textId="77777777" w:rsidR="00EA1C0C" w:rsidRPr="00EA1C0C" w:rsidRDefault="00EA1C0C" w:rsidP="00EA1C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EA1C0C">
              <w:rPr>
                <w:rFonts w:asciiTheme="minorHAnsi" w:eastAsia="Times New Roman" w:hAnsiTheme="minorHAnsi" w:cstheme="minorHAnsi"/>
                <w:color w:val="000000"/>
                <w:sz w:val="18"/>
                <w:szCs w:val="18"/>
                <w:lang w:eastAsia="cs-CZ"/>
              </w:rPr>
              <w:t>1 800</w:t>
            </w:r>
          </w:p>
        </w:tc>
        <w:tc>
          <w:tcPr>
            <w:tcW w:w="468" w:type="pct"/>
            <w:noWrap/>
            <w:hideMark/>
          </w:tcPr>
          <w:p w14:paraId="16883896" w14:textId="77777777" w:rsidR="00EA1C0C" w:rsidRPr="00EA1C0C" w:rsidRDefault="00EA1C0C" w:rsidP="00EA1C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EA1C0C">
              <w:rPr>
                <w:rFonts w:asciiTheme="minorHAnsi" w:eastAsia="Times New Roman" w:hAnsiTheme="minorHAnsi" w:cstheme="minorHAnsi"/>
                <w:color w:val="000000"/>
                <w:sz w:val="18"/>
                <w:szCs w:val="18"/>
                <w:lang w:eastAsia="cs-CZ"/>
              </w:rPr>
              <w:t>2 500</w:t>
            </w:r>
          </w:p>
        </w:tc>
        <w:tc>
          <w:tcPr>
            <w:tcW w:w="468" w:type="pct"/>
            <w:noWrap/>
            <w:hideMark/>
          </w:tcPr>
          <w:p w14:paraId="02EFA1B2" w14:textId="77777777" w:rsidR="00EA1C0C" w:rsidRPr="00EA1C0C" w:rsidRDefault="00EA1C0C" w:rsidP="00EA1C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EA1C0C">
              <w:rPr>
                <w:rFonts w:asciiTheme="minorHAnsi" w:eastAsia="Times New Roman" w:hAnsiTheme="minorHAnsi" w:cstheme="minorHAnsi"/>
                <w:color w:val="000000"/>
                <w:sz w:val="18"/>
                <w:szCs w:val="18"/>
                <w:lang w:eastAsia="cs-CZ"/>
              </w:rPr>
              <w:t>1 800</w:t>
            </w:r>
          </w:p>
        </w:tc>
        <w:tc>
          <w:tcPr>
            <w:tcW w:w="618" w:type="pct"/>
            <w:vMerge/>
            <w:hideMark/>
          </w:tcPr>
          <w:p w14:paraId="3E1ADCEA" w14:textId="77777777" w:rsidR="00EA1C0C" w:rsidRPr="00EA1C0C" w:rsidRDefault="00EA1C0C" w:rsidP="00EA1C0C">
            <w:pPr>
              <w:spacing w:before="0" w:after="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p>
        </w:tc>
        <w:tc>
          <w:tcPr>
            <w:tcW w:w="689" w:type="pct"/>
            <w:hideMark/>
          </w:tcPr>
          <w:p w14:paraId="2799E024" w14:textId="77777777" w:rsidR="00EA1C0C" w:rsidRPr="00EA1C0C" w:rsidRDefault="00EA1C0C" w:rsidP="006945B8">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EA1C0C">
              <w:rPr>
                <w:rFonts w:asciiTheme="minorHAnsi" w:eastAsia="Times New Roman" w:hAnsiTheme="minorHAnsi" w:cstheme="minorHAnsi"/>
                <w:color w:val="000000"/>
                <w:sz w:val="18"/>
                <w:szCs w:val="18"/>
                <w:lang w:eastAsia="cs-CZ"/>
              </w:rPr>
              <w:t>ECSEL</w:t>
            </w:r>
          </w:p>
        </w:tc>
      </w:tr>
      <w:tr w:rsidR="00EA1C0C" w:rsidRPr="00EA1C0C" w14:paraId="6924F66C" w14:textId="77777777" w:rsidTr="006945B8">
        <w:trPr>
          <w:trHeight w:val="397"/>
        </w:trPr>
        <w:tc>
          <w:tcPr>
            <w:cnfStyle w:val="001000000000" w:firstRow="0" w:lastRow="0" w:firstColumn="1" w:lastColumn="0" w:oddVBand="0" w:evenVBand="0" w:oddHBand="0" w:evenHBand="0" w:firstRowFirstColumn="0" w:firstRowLastColumn="0" w:lastRowFirstColumn="0" w:lastRowLastColumn="0"/>
            <w:tcW w:w="1823" w:type="pct"/>
            <w:noWrap/>
            <w:hideMark/>
          </w:tcPr>
          <w:p w14:paraId="77B134FD" w14:textId="77777777" w:rsidR="00EA1C0C" w:rsidRPr="00EA1C0C" w:rsidRDefault="00FA7752" w:rsidP="00EA1C0C">
            <w:pPr>
              <w:spacing w:before="0" w:after="0"/>
              <w:ind w:firstLineChars="100" w:firstLine="220"/>
              <w:jc w:val="left"/>
              <w:rPr>
                <w:rFonts w:asciiTheme="minorHAnsi" w:eastAsia="Times New Roman" w:hAnsiTheme="minorHAnsi" w:cstheme="minorHAnsi"/>
                <w:color w:val="000000"/>
                <w:sz w:val="18"/>
                <w:szCs w:val="18"/>
                <w:u w:val="single"/>
                <w:lang w:eastAsia="cs-CZ"/>
              </w:rPr>
            </w:pPr>
            <w:hyperlink r:id="rId33" w:history="1">
              <w:r w:rsidR="00EA1C0C" w:rsidRPr="00EA1C0C">
                <w:rPr>
                  <w:rFonts w:asciiTheme="minorHAnsi" w:eastAsia="Times New Roman" w:hAnsiTheme="minorHAnsi" w:cstheme="minorHAnsi"/>
                  <w:color w:val="000000"/>
                  <w:sz w:val="18"/>
                  <w:szCs w:val="18"/>
                  <w:u w:val="single"/>
                  <w:lang w:eastAsia="cs-CZ"/>
                </w:rPr>
                <w:t>Smart Networks and Services (SNS)</w:t>
              </w:r>
            </w:hyperlink>
          </w:p>
        </w:tc>
        <w:tc>
          <w:tcPr>
            <w:tcW w:w="468" w:type="pct"/>
            <w:noWrap/>
            <w:hideMark/>
          </w:tcPr>
          <w:p w14:paraId="644ACB6A" w14:textId="77777777" w:rsidR="00EA1C0C" w:rsidRPr="00EA1C0C" w:rsidRDefault="00EA1C0C" w:rsidP="00EA1C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bCs/>
                <w:color w:val="000000"/>
                <w:sz w:val="18"/>
                <w:szCs w:val="18"/>
                <w:lang w:eastAsia="cs-CZ"/>
              </w:rPr>
            </w:pPr>
            <w:r w:rsidRPr="00EA1C0C">
              <w:rPr>
                <w:rFonts w:asciiTheme="minorHAnsi" w:eastAsia="Times New Roman" w:hAnsiTheme="minorHAnsi" w:cstheme="minorHAnsi"/>
                <w:b/>
                <w:bCs/>
                <w:color w:val="000000"/>
                <w:sz w:val="18"/>
                <w:szCs w:val="18"/>
                <w:lang w:eastAsia="cs-CZ"/>
              </w:rPr>
              <w:t>1 800</w:t>
            </w:r>
          </w:p>
        </w:tc>
        <w:tc>
          <w:tcPr>
            <w:tcW w:w="468" w:type="pct"/>
            <w:noWrap/>
            <w:hideMark/>
          </w:tcPr>
          <w:p w14:paraId="246A84F1" w14:textId="77777777" w:rsidR="00EA1C0C" w:rsidRPr="00EA1C0C" w:rsidRDefault="00EA1C0C" w:rsidP="00EA1C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EA1C0C">
              <w:rPr>
                <w:rFonts w:asciiTheme="minorHAnsi" w:eastAsia="Times New Roman" w:hAnsiTheme="minorHAnsi" w:cstheme="minorHAnsi"/>
                <w:color w:val="000000"/>
                <w:sz w:val="18"/>
                <w:szCs w:val="18"/>
                <w:lang w:eastAsia="cs-CZ"/>
              </w:rPr>
              <w:t>900</w:t>
            </w:r>
          </w:p>
        </w:tc>
        <w:tc>
          <w:tcPr>
            <w:tcW w:w="468" w:type="pct"/>
            <w:noWrap/>
            <w:hideMark/>
          </w:tcPr>
          <w:p w14:paraId="257AC674" w14:textId="77777777" w:rsidR="00EA1C0C" w:rsidRPr="00EA1C0C" w:rsidRDefault="00EA1C0C" w:rsidP="00EA1C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EA1C0C">
              <w:rPr>
                <w:rFonts w:asciiTheme="minorHAnsi" w:eastAsia="Times New Roman" w:hAnsiTheme="minorHAnsi" w:cstheme="minorHAnsi"/>
                <w:color w:val="000000"/>
                <w:sz w:val="18"/>
                <w:szCs w:val="18"/>
                <w:lang w:eastAsia="cs-CZ"/>
              </w:rPr>
              <w:t>900</w:t>
            </w:r>
          </w:p>
        </w:tc>
        <w:tc>
          <w:tcPr>
            <w:tcW w:w="468" w:type="pct"/>
            <w:noWrap/>
            <w:hideMark/>
          </w:tcPr>
          <w:p w14:paraId="721C0CC1" w14:textId="77777777" w:rsidR="00EA1C0C" w:rsidRPr="00EA1C0C" w:rsidRDefault="00EA1C0C" w:rsidP="00EA1C0C">
            <w:pPr>
              <w:spacing w:before="0" w:after="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EA1C0C">
              <w:rPr>
                <w:rFonts w:asciiTheme="minorHAnsi" w:eastAsia="Times New Roman" w:hAnsiTheme="minorHAnsi" w:cstheme="minorHAnsi"/>
                <w:color w:val="000000"/>
                <w:sz w:val="18"/>
                <w:szCs w:val="18"/>
                <w:lang w:eastAsia="cs-CZ"/>
              </w:rPr>
              <w:t> </w:t>
            </w:r>
          </w:p>
        </w:tc>
        <w:tc>
          <w:tcPr>
            <w:tcW w:w="618" w:type="pct"/>
            <w:vMerge/>
            <w:hideMark/>
          </w:tcPr>
          <w:p w14:paraId="3922464B" w14:textId="77777777" w:rsidR="00EA1C0C" w:rsidRPr="00EA1C0C" w:rsidRDefault="00EA1C0C" w:rsidP="00EA1C0C">
            <w:pPr>
              <w:spacing w:before="0" w:after="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p>
        </w:tc>
        <w:tc>
          <w:tcPr>
            <w:tcW w:w="689" w:type="pct"/>
            <w:hideMark/>
          </w:tcPr>
          <w:p w14:paraId="72EF8096" w14:textId="77777777" w:rsidR="00EA1C0C" w:rsidRPr="00EA1C0C" w:rsidRDefault="00EA1C0C" w:rsidP="006945B8">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EA1C0C">
              <w:rPr>
                <w:rFonts w:asciiTheme="minorHAnsi" w:eastAsia="Times New Roman" w:hAnsiTheme="minorHAnsi" w:cstheme="minorHAnsi"/>
                <w:color w:val="000000"/>
                <w:sz w:val="18"/>
                <w:szCs w:val="18"/>
                <w:lang w:eastAsia="cs-CZ"/>
              </w:rPr>
              <w:t>nové</w:t>
            </w:r>
          </w:p>
        </w:tc>
      </w:tr>
      <w:tr w:rsidR="00EA1C0C" w:rsidRPr="00EA1C0C" w14:paraId="2124CDBE" w14:textId="77777777" w:rsidTr="006945B8">
        <w:trPr>
          <w:trHeight w:val="397"/>
        </w:trPr>
        <w:tc>
          <w:tcPr>
            <w:cnfStyle w:val="001000000000" w:firstRow="0" w:lastRow="0" w:firstColumn="1" w:lastColumn="0" w:oddVBand="0" w:evenVBand="0" w:oddHBand="0" w:evenHBand="0" w:firstRowFirstColumn="0" w:firstRowLastColumn="0" w:lastRowFirstColumn="0" w:lastRowLastColumn="0"/>
            <w:tcW w:w="1823" w:type="pct"/>
            <w:noWrap/>
            <w:hideMark/>
          </w:tcPr>
          <w:p w14:paraId="4A0E77DB" w14:textId="77777777" w:rsidR="00EA1C0C" w:rsidRPr="00EA1C0C" w:rsidRDefault="00FA7752" w:rsidP="00EA1C0C">
            <w:pPr>
              <w:spacing w:before="0" w:after="0"/>
              <w:ind w:firstLineChars="100" w:firstLine="220"/>
              <w:jc w:val="left"/>
              <w:rPr>
                <w:rFonts w:asciiTheme="minorHAnsi" w:eastAsia="Times New Roman" w:hAnsiTheme="minorHAnsi" w:cstheme="minorHAnsi"/>
                <w:color w:val="000000"/>
                <w:sz w:val="18"/>
                <w:szCs w:val="18"/>
                <w:u w:val="single"/>
                <w:lang w:eastAsia="cs-CZ"/>
              </w:rPr>
            </w:pPr>
            <w:hyperlink r:id="rId34" w:history="1">
              <w:r w:rsidR="00EA1C0C" w:rsidRPr="00EA1C0C">
                <w:rPr>
                  <w:rFonts w:asciiTheme="minorHAnsi" w:eastAsia="Times New Roman" w:hAnsiTheme="minorHAnsi" w:cstheme="minorHAnsi"/>
                  <w:color w:val="000000"/>
                  <w:sz w:val="18"/>
                  <w:szCs w:val="18"/>
                  <w:u w:val="single"/>
                  <w:lang w:eastAsia="cs-CZ"/>
                </w:rPr>
                <w:t>European Metrology (EURAMET) *</w:t>
              </w:r>
            </w:hyperlink>
          </w:p>
        </w:tc>
        <w:tc>
          <w:tcPr>
            <w:tcW w:w="468" w:type="pct"/>
            <w:noWrap/>
            <w:hideMark/>
          </w:tcPr>
          <w:p w14:paraId="2818F89B" w14:textId="77777777" w:rsidR="00EA1C0C" w:rsidRPr="00EA1C0C" w:rsidRDefault="00EA1C0C" w:rsidP="00EA1C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bCs/>
                <w:color w:val="000000"/>
                <w:sz w:val="18"/>
                <w:szCs w:val="18"/>
                <w:lang w:eastAsia="cs-CZ"/>
              </w:rPr>
            </w:pPr>
            <w:r w:rsidRPr="00EA1C0C">
              <w:rPr>
                <w:rFonts w:asciiTheme="minorHAnsi" w:eastAsia="Times New Roman" w:hAnsiTheme="minorHAnsi" w:cstheme="minorHAnsi"/>
                <w:b/>
                <w:bCs/>
                <w:color w:val="000000"/>
                <w:sz w:val="18"/>
                <w:szCs w:val="18"/>
                <w:lang w:eastAsia="cs-CZ"/>
              </w:rPr>
              <w:t>687</w:t>
            </w:r>
          </w:p>
        </w:tc>
        <w:tc>
          <w:tcPr>
            <w:tcW w:w="468" w:type="pct"/>
            <w:noWrap/>
            <w:hideMark/>
          </w:tcPr>
          <w:p w14:paraId="6106294C" w14:textId="77777777" w:rsidR="00EA1C0C" w:rsidRPr="00EA1C0C" w:rsidRDefault="00EA1C0C" w:rsidP="00EA1C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EA1C0C">
              <w:rPr>
                <w:rFonts w:asciiTheme="minorHAnsi" w:eastAsia="Times New Roman" w:hAnsiTheme="minorHAnsi" w:cstheme="minorHAnsi"/>
                <w:color w:val="000000"/>
                <w:sz w:val="18"/>
                <w:szCs w:val="18"/>
                <w:lang w:eastAsia="cs-CZ"/>
              </w:rPr>
              <w:t>300</w:t>
            </w:r>
          </w:p>
        </w:tc>
        <w:tc>
          <w:tcPr>
            <w:tcW w:w="468" w:type="pct"/>
            <w:noWrap/>
            <w:hideMark/>
          </w:tcPr>
          <w:p w14:paraId="446B4464" w14:textId="77777777" w:rsidR="00EA1C0C" w:rsidRPr="00EA1C0C" w:rsidRDefault="00EA1C0C" w:rsidP="00EA1C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EA1C0C">
              <w:rPr>
                <w:rFonts w:asciiTheme="minorHAnsi" w:eastAsia="Times New Roman" w:hAnsiTheme="minorHAnsi" w:cstheme="minorHAnsi"/>
                <w:color w:val="000000"/>
                <w:sz w:val="18"/>
                <w:szCs w:val="18"/>
                <w:lang w:eastAsia="cs-CZ"/>
              </w:rPr>
              <w:t> </w:t>
            </w:r>
          </w:p>
        </w:tc>
        <w:tc>
          <w:tcPr>
            <w:tcW w:w="468" w:type="pct"/>
            <w:noWrap/>
            <w:hideMark/>
          </w:tcPr>
          <w:p w14:paraId="622B8CDD" w14:textId="77777777" w:rsidR="00EA1C0C" w:rsidRPr="00EA1C0C" w:rsidRDefault="00EA1C0C" w:rsidP="00EA1C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EA1C0C">
              <w:rPr>
                <w:rFonts w:asciiTheme="minorHAnsi" w:eastAsia="Times New Roman" w:hAnsiTheme="minorHAnsi" w:cstheme="minorHAnsi"/>
                <w:color w:val="000000"/>
                <w:sz w:val="18"/>
                <w:szCs w:val="18"/>
                <w:lang w:eastAsia="cs-CZ"/>
              </w:rPr>
              <w:t>387</w:t>
            </w:r>
          </w:p>
        </w:tc>
        <w:tc>
          <w:tcPr>
            <w:tcW w:w="618" w:type="pct"/>
            <w:vMerge/>
            <w:hideMark/>
          </w:tcPr>
          <w:p w14:paraId="3BC7E0A3" w14:textId="77777777" w:rsidR="00EA1C0C" w:rsidRPr="00EA1C0C" w:rsidRDefault="00EA1C0C" w:rsidP="00EA1C0C">
            <w:pPr>
              <w:spacing w:before="0" w:after="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p>
        </w:tc>
        <w:tc>
          <w:tcPr>
            <w:tcW w:w="689" w:type="pct"/>
            <w:hideMark/>
          </w:tcPr>
          <w:p w14:paraId="7E01ABB2" w14:textId="77777777" w:rsidR="00EA1C0C" w:rsidRPr="00EA1C0C" w:rsidRDefault="00EA1C0C" w:rsidP="006945B8">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EA1C0C">
              <w:rPr>
                <w:rFonts w:asciiTheme="minorHAnsi" w:eastAsia="Times New Roman" w:hAnsiTheme="minorHAnsi" w:cstheme="minorHAnsi"/>
                <w:color w:val="000000"/>
                <w:sz w:val="18"/>
                <w:szCs w:val="18"/>
                <w:lang w:eastAsia="cs-CZ"/>
              </w:rPr>
              <w:t>EMPIR</w:t>
            </w:r>
          </w:p>
        </w:tc>
      </w:tr>
      <w:tr w:rsidR="00EA1C0C" w:rsidRPr="00EA1C0C" w14:paraId="7572BBFC" w14:textId="77777777" w:rsidTr="006945B8">
        <w:trPr>
          <w:trHeight w:val="397"/>
        </w:trPr>
        <w:tc>
          <w:tcPr>
            <w:cnfStyle w:val="001000000000" w:firstRow="0" w:lastRow="0" w:firstColumn="1" w:lastColumn="0" w:oddVBand="0" w:evenVBand="0" w:oddHBand="0" w:evenHBand="0" w:firstRowFirstColumn="0" w:firstRowLastColumn="0" w:lastRowFirstColumn="0" w:lastRowLastColumn="0"/>
            <w:tcW w:w="1823" w:type="pct"/>
            <w:noWrap/>
            <w:hideMark/>
          </w:tcPr>
          <w:p w14:paraId="1BF5B217" w14:textId="77777777" w:rsidR="00EA1C0C" w:rsidRPr="00EA1C0C" w:rsidRDefault="00FA7752" w:rsidP="00EA1C0C">
            <w:pPr>
              <w:spacing w:before="0" w:after="0"/>
              <w:ind w:firstLineChars="100" w:firstLine="220"/>
              <w:jc w:val="left"/>
              <w:rPr>
                <w:rFonts w:asciiTheme="minorHAnsi" w:eastAsia="Times New Roman" w:hAnsiTheme="minorHAnsi" w:cstheme="minorHAnsi"/>
                <w:color w:val="000000"/>
                <w:sz w:val="18"/>
                <w:szCs w:val="18"/>
                <w:u w:val="single"/>
                <w:lang w:eastAsia="cs-CZ"/>
              </w:rPr>
            </w:pPr>
            <w:hyperlink r:id="rId35" w:history="1">
              <w:r w:rsidR="00EA1C0C" w:rsidRPr="00EA1C0C">
                <w:rPr>
                  <w:rFonts w:asciiTheme="minorHAnsi" w:eastAsia="Times New Roman" w:hAnsiTheme="minorHAnsi" w:cstheme="minorHAnsi"/>
                  <w:color w:val="000000"/>
                  <w:sz w:val="18"/>
                  <w:szCs w:val="18"/>
                  <w:u w:val="single"/>
                  <w:lang w:eastAsia="cs-CZ"/>
                </w:rPr>
                <w:t xml:space="preserve">Europe's Rail </w:t>
              </w:r>
            </w:hyperlink>
          </w:p>
        </w:tc>
        <w:tc>
          <w:tcPr>
            <w:tcW w:w="468" w:type="pct"/>
            <w:noWrap/>
            <w:hideMark/>
          </w:tcPr>
          <w:p w14:paraId="3BBDDB72" w14:textId="77777777" w:rsidR="00EA1C0C" w:rsidRPr="00EA1C0C" w:rsidRDefault="00EA1C0C" w:rsidP="00EA1C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bCs/>
                <w:color w:val="000000"/>
                <w:sz w:val="18"/>
                <w:szCs w:val="18"/>
                <w:lang w:eastAsia="cs-CZ"/>
              </w:rPr>
            </w:pPr>
            <w:r w:rsidRPr="00EA1C0C">
              <w:rPr>
                <w:rFonts w:asciiTheme="minorHAnsi" w:eastAsia="Times New Roman" w:hAnsiTheme="minorHAnsi" w:cstheme="minorHAnsi"/>
                <w:b/>
                <w:bCs/>
                <w:color w:val="000000"/>
                <w:sz w:val="18"/>
                <w:szCs w:val="18"/>
                <w:lang w:eastAsia="cs-CZ"/>
              </w:rPr>
              <w:t>1 200</w:t>
            </w:r>
          </w:p>
        </w:tc>
        <w:tc>
          <w:tcPr>
            <w:tcW w:w="468" w:type="pct"/>
            <w:noWrap/>
            <w:hideMark/>
          </w:tcPr>
          <w:p w14:paraId="7D987C00" w14:textId="77777777" w:rsidR="00EA1C0C" w:rsidRPr="00EA1C0C" w:rsidRDefault="00EA1C0C" w:rsidP="00EA1C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EA1C0C">
              <w:rPr>
                <w:rFonts w:asciiTheme="minorHAnsi" w:eastAsia="Times New Roman" w:hAnsiTheme="minorHAnsi" w:cstheme="minorHAnsi"/>
                <w:color w:val="000000"/>
                <w:sz w:val="18"/>
                <w:szCs w:val="18"/>
                <w:lang w:eastAsia="cs-CZ"/>
              </w:rPr>
              <w:t>600</w:t>
            </w:r>
          </w:p>
        </w:tc>
        <w:tc>
          <w:tcPr>
            <w:tcW w:w="468" w:type="pct"/>
            <w:noWrap/>
            <w:hideMark/>
          </w:tcPr>
          <w:p w14:paraId="5DDA192A" w14:textId="77777777" w:rsidR="00EA1C0C" w:rsidRPr="00EA1C0C" w:rsidRDefault="00EA1C0C" w:rsidP="00EA1C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EA1C0C">
              <w:rPr>
                <w:rFonts w:asciiTheme="minorHAnsi" w:eastAsia="Times New Roman" w:hAnsiTheme="minorHAnsi" w:cstheme="minorHAnsi"/>
                <w:color w:val="000000"/>
                <w:sz w:val="18"/>
                <w:szCs w:val="18"/>
                <w:lang w:eastAsia="cs-CZ"/>
              </w:rPr>
              <w:t>600</w:t>
            </w:r>
          </w:p>
        </w:tc>
        <w:tc>
          <w:tcPr>
            <w:tcW w:w="468" w:type="pct"/>
            <w:noWrap/>
            <w:hideMark/>
          </w:tcPr>
          <w:p w14:paraId="13044231" w14:textId="77777777" w:rsidR="00EA1C0C" w:rsidRPr="00EA1C0C" w:rsidRDefault="00EA1C0C" w:rsidP="00EA1C0C">
            <w:pPr>
              <w:spacing w:before="0" w:after="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EA1C0C">
              <w:rPr>
                <w:rFonts w:asciiTheme="minorHAnsi" w:eastAsia="Times New Roman" w:hAnsiTheme="minorHAnsi" w:cstheme="minorHAnsi"/>
                <w:color w:val="000000"/>
                <w:sz w:val="18"/>
                <w:szCs w:val="18"/>
                <w:lang w:eastAsia="cs-CZ"/>
              </w:rPr>
              <w:t> </w:t>
            </w:r>
          </w:p>
        </w:tc>
        <w:tc>
          <w:tcPr>
            <w:tcW w:w="618" w:type="pct"/>
            <w:vMerge w:val="restart"/>
            <w:noWrap/>
            <w:hideMark/>
          </w:tcPr>
          <w:p w14:paraId="256C14CA" w14:textId="77777777" w:rsidR="00EA1C0C" w:rsidRPr="00EA1C0C" w:rsidRDefault="00EA1C0C" w:rsidP="00EA1C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EA1C0C">
              <w:rPr>
                <w:rFonts w:asciiTheme="minorHAnsi" w:eastAsia="Times New Roman" w:hAnsiTheme="minorHAnsi" w:cstheme="minorHAnsi"/>
                <w:color w:val="000000"/>
                <w:sz w:val="18"/>
                <w:szCs w:val="18"/>
                <w:lang w:eastAsia="cs-CZ"/>
              </w:rPr>
              <w:t>Cl-5</w:t>
            </w:r>
          </w:p>
        </w:tc>
        <w:tc>
          <w:tcPr>
            <w:tcW w:w="689" w:type="pct"/>
            <w:hideMark/>
          </w:tcPr>
          <w:p w14:paraId="3E664BB2" w14:textId="77777777" w:rsidR="00EA1C0C" w:rsidRPr="00EA1C0C" w:rsidRDefault="00EA1C0C" w:rsidP="006945B8">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EA1C0C">
              <w:rPr>
                <w:rFonts w:asciiTheme="minorHAnsi" w:eastAsia="Times New Roman" w:hAnsiTheme="minorHAnsi" w:cstheme="minorHAnsi"/>
                <w:color w:val="000000"/>
                <w:sz w:val="18"/>
                <w:szCs w:val="18"/>
                <w:lang w:eastAsia="cs-CZ"/>
              </w:rPr>
              <w:t>Shift2Rail</w:t>
            </w:r>
          </w:p>
        </w:tc>
      </w:tr>
      <w:tr w:rsidR="00EA1C0C" w:rsidRPr="00EA1C0C" w14:paraId="60495110" w14:textId="77777777" w:rsidTr="006945B8">
        <w:trPr>
          <w:trHeight w:val="397"/>
        </w:trPr>
        <w:tc>
          <w:tcPr>
            <w:cnfStyle w:val="001000000000" w:firstRow="0" w:lastRow="0" w:firstColumn="1" w:lastColumn="0" w:oddVBand="0" w:evenVBand="0" w:oddHBand="0" w:evenHBand="0" w:firstRowFirstColumn="0" w:firstRowLastColumn="0" w:lastRowFirstColumn="0" w:lastRowLastColumn="0"/>
            <w:tcW w:w="1823" w:type="pct"/>
            <w:noWrap/>
            <w:hideMark/>
          </w:tcPr>
          <w:p w14:paraId="4DA2A7F6" w14:textId="77777777" w:rsidR="00EA1C0C" w:rsidRPr="00EA1C0C" w:rsidRDefault="00FA7752" w:rsidP="00EA1C0C">
            <w:pPr>
              <w:spacing w:before="0" w:after="0"/>
              <w:ind w:firstLineChars="100" w:firstLine="220"/>
              <w:jc w:val="left"/>
              <w:rPr>
                <w:rFonts w:asciiTheme="minorHAnsi" w:eastAsia="Times New Roman" w:hAnsiTheme="minorHAnsi" w:cstheme="minorHAnsi"/>
                <w:color w:val="000000"/>
                <w:sz w:val="18"/>
                <w:szCs w:val="18"/>
                <w:u w:val="single"/>
                <w:lang w:eastAsia="cs-CZ"/>
              </w:rPr>
            </w:pPr>
            <w:hyperlink r:id="rId36" w:history="1">
              <w:r w:rsidR="00EA1C0C" w:rsidRPr="00EA1C0C">
                <w:rPr>
                  <w:rFonts w:asciiTheme="minorHAnsi" w:eastAsia="Times New Roman" w:hAnsiTheme="minorHAnsi" w:cstheme="minorHAnsi"/>
                  <w:color w:val="000000"/>
                  <w:sz w:val="18"/>
                  <w:szCs w:val="18"/>
                  <w:u w:val="single"/>
                  <w:lang w:eastAsia="cs-CZ"/>
                </w:rPr>
                <w:t>Integrated Air Traffic Management (SESAR)</w:t>
              </w:r>
            </w:hyperlink>
          </w:p>
        </w:tc>
        <w:tc>
          <w:tcPr>
            <w:tcW w:w="468" w:type="pct"/>
            <w:noWrap/>
            <w:hideMark/>
          </w:tcPr>
          <w:p w14:paraId="7412541E" w14:textId="77777777" w:rsidR="00EA1C0C" w:rsidRPr="00EA1C0C" w:rsidRDefault="00EA1C0C" w:rsidP="00EA1C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bCs/>
                <w:color w:val="000000"/>
                <w:sz w:val="18"/>
                <w:szCs w:val="18"/>
                <w:lang w:eastAsia="cs-CZ"/>
              </w:rPr>
            </w:pPr>
            <w:r w:rsidRPr="00EA1C0C">
              <w:rPr>
                <w:rFonts w:asciiTheme="minorHAnsi" w:eastAsia="Times New Roman" w:hAnsiTheme="minorHAnsi" w:cstheme="minorHAnsi"/>
                <w:b/>
                <w:bCs/>
                <w:color w:val="000000"/>
                <w:sz w:val="18"/>
                <w:szCs w:val="18"/>
                <w:lang w:eastAsia="cs-CZ"/>
              </w:rPr>
              <w:t>1 600</w:t>
            </w:r>
          </w:p>
        </w:tc>
        <w:tc>
          <w:tcPr>
            <w:tcW w:w="468" w:type="pct"/>
            <w:noWrap/>
            <w:hideMark/>
          </w:tcPr>
          <w:p w14:paraId="7E31F53C" w14:textId="77777777" w:rsidR="00EA1C0C" w:rsidRPr="00EA1C0C" w:rsidRDefault="00EA1C0C" w:rsidP="00EA1C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EA1C0C">
              <w:rPr>
                <w:rFonts w:asciiTheme="minorHAnsi" w:eastAsia="Times New Roman" w:hAnsiTheme="minorHAnsi" w:cstheme="minorHAnsi"/>
                <w:color w:val="000000"/>
                <w:sz w:val="18"/>
                <w:szCs w:val="18"/>
                <w:lang w:eastAsia="cs-CZ"/>
              </w:rPr>
              <w:t>600</w:t>
            </w:r>
          </w:p>
        </w:tc>
        <w:tc>
          <w:tcPr>
            <w:tcW w:w="468" w:type="pct"/>
            <w:noWrap/>
            <w:hideMark/>
          </w:tcPr>
          <w:p w14:paraId="5D9A0631" w14:textId="77777777" w:rsidR="00EA1C0C" w:rsidRPr="00EA1C0C" w:rsidRDefault="00EA1C0C" w:rsidP="00EA1C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EA1C0C">
              <w:rPr>
                <w:rFonts w:asciiTheme="minorHAnsi" w:eastAsia="Times New Roman" w:hAnsiTheme="minorHAnsi" w:cstheme="minorHAnsi"/>
                <w:color w:val="000000"/>
                <w:sz w:val="18"/>
                <w:szCs w:val="18"/>
                <w:lang w:eastAsia="cs-CZ"/>
              </w:rPr>
              <w:t>1 000</w:t>
            </w:r>
          </w:p>
        </w:tc>
        <w:tc>
          <w:tcPr>
            <w:tcW w:w="468" w:type="pct"/>
            <w:noWrap/>
            <w:hideMark/>
          </w:tcPr>
          <w:p w14:paraId="78EC6854" w14:textId="77777777" w:rsidR="00EA1C0C" w:rsidRPr="00EA1C0C" w:rsidRDefault="00EA1C0C" w:rsidP="00EA1C0C">
            <w:pPr>
              <w:spacing w:before="0" w:after="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EA1C0C">
              <w:rPr>
                <w:rFonts w:asciiTheme="minorHAnsi" w:eastAsia="Times New Roman" w:hAnsiTheme="minorHAnsi" w:cstheme="minorHAnsi"/>
                <w:color w:val="000000"/>
                <w:sz w:val="18"/>
                <w:szCs w:val="18"/>
                <w:lang w:eastAsia="cs-CZ"/>
              </w:rPr>
              <w:t> </w:t>
            </w:r>
          </w:p>
        </w:tc>
        <w:tc>
          <w:tcPr>
            <w:tcW w:w="618" w:type="pct"/>
            <w:vMerge/>
            <w:hideMark/>
          </w:tcPr>
          <w:p w14:paraId="206B5940" w14:textId="77777777" w:rsidR="00EA1C0C" w:rsidRPr="00EA1C0C" w:rsidRDefault="00EA1C0C" w:rsidP="00EA1C0C">
            <w:pPr>
              <w:spacing w:before="0" w:after="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p>
        </w:tc>
        <w:tc>
          <w:tcPr>
            <w:tcW w:w="689" w:type="pct"/>
            <w:hideMark/>
          </w:tcPr>
          <w:p w14:paraId="514BB41B" w14:textId="77777777" w:rsidR="00EA1C0C" w:rsidRPr="00EA1C0C" w:rsidRDefault="00EA1C0C" w:rsidP="006945B8">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EA1C0C">
              <w:rPr>
                <w:rFonts w:asciiTheme="minorHAnsi" w:eastAsia="Times New Roman" w:hAnsiTheme="minorHAnsi" w:cstheme="minorHAnsi"/>
                <w:color w:val="000000"/>
                <w:sz w:val="18"/>
                <w:szCs w:val="18"/>
                <w:lang w:eastAsia="cs-CZ"/>
              </w:rPr>
              <w:t>SESAR</w:t>
            </w:r>
          </w:p>
        </w:tc>
      </w:tr>
      <w:tr w:rsidR="00EA1C0C" w:rsidRPr="00EA1C0C" w14:paraId="72E903CE" w14:textId="77777777" w:rsidTr="006945B8">
        <w:trPr>
          <w:trHeight w:val="397"/>
        </w:trPr>
        <w:tc>
          <w:tcPr>
            <w:cnfStyle w:val="001000000000" w:firstRow="0" w:lastRow="0" w:firstColumn="1" w:lastColumn="0" w:oddVBand="0" w:evenVBand="0" w:oddHBand="0" w:evenHBand="0" w:firstRowFirstColumn="0" w:firstRowLastColumn="0" w:lastRowFirstColumn="0" w:lastRowLastColumn="0"/>
            <w:tcW w:w="1823" w:type="pct"/>
            <w:noWrap/>
            <w:hideMark/>
          </w:tcPr>
          <w:p w14:paraId="77B7CA2C" w14:textId="77777777" w:rsidR="00EA1C0C" w:rsidRPr="00EA1C0C" w:rsidRDefault="00FA7752" w:rsidP="00EA1C0C">
            <w:pPr>
              <w:spacing w:before="0" w:after="0"/>
              <w:ind w:firstLineChars="100" w:firstLine="220"/>
              <w:jc w:val="left"/>
              <w:rPr>
                <w:rFonts w:asciiTheme="minorHAnsi" w:eastAsia="Times New Roman" w:hAnsiTheme="minorHAnsi" w:cstheme="minorHAnsi"/>
                <w:color w:val="000000"/>
                <w:sz w:val="18"/>
                <w:szCs w:val="18"/>
                <w:u w:val="single"/>
                <w:lang w:eastAsia="cs-CZ"/>
              </w:rPr>
            </w:pPr>
            <w:hyperlink r:id="rId37" w:history="1">
              <w:r w:rsidR="00EA1C0C" w:rsidRPr="00EA1C0C">
                <w:rPr>
                  <w:rFonts w:asciiTheme="minorHAnsi" w:eastAsia="Times New Roman" w:hAnsiTheme="minorHAnsi" w:cstheme="minorHAnsi"/>
                  <w:color w:val="000000"/>
                  <w:sz w:val="18"/>
                  <w:szCs w:val="18"/>
                  <w:u w:val="single"/>
                  <w:lang w:eastAsia="cs-CZ"/>
                </w:rPr>
                <w:t>Clean Aviation</w:t>
              </w:r>
            </w:hyperlink>
          </w:p>
        </w:tc>
        <w:tc>
          <w:tcPr>
            <w:tcW w:w="468" w:type="pct"/>
            <w:noWrap/>
            <w:hideMark/>
          </w:tcPr>
          <w:p w14:paraId="60D3E162" w14:textId="77777777" w:rsidR="00EA1C0C" w:rsidRPr="00EA1C0C" w:rsidRDefault="00EA1C0C" w:rsidP="00EA1C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bCs/>
                <w:color w:val="000000"/>
                <w:sz w:val="18"/>
                <w:szCs w:val="18"/>
                <w:lang w:eastAsia="cs-CZ"/>
              </w:rPr>
            </w:pPr>
            <w:r w:rsidRPr="00EA1C0C">
              <w:rPr>
                <w:rFonts w:asciiTheme="minorHAnsi" w:eastAsia="Times New Roman" w:hAnsiTheme="minorHAnsi" w:cstheme="minorHAnsi"/>
                <w:b/>
                <w:bCs/>
                <w:color w:val="000000"/>
                <w:sz w:val="18"/>
                <w:szCs w:val="18"/>
                <w:lang w:eastAsia="cs-CZ"/>
              </w:rPr>
              <w:t>4 100</w:t>
            </w:r>
          </w:p>
        </w:tc>
        <w:tc>
          <w:tcPr>
            <w:tcW w:w="468" w:type="pct"/>
            <w:noWrap/>
            <w:hideMark/>
          </w:tcPr>
          <w:p w14:paraId="3B7A5FEB" w14:textId="77777777" w:rsidR="00EA1C0C" w:rsidRPr="00EA1C0C" w:rsidRDefault="00EA1C0C" w:rsidP="00EA1C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EA1C0C">
              <w:rPr>
                <w:rFonts w:asciiTheme="minorHAnsi" w:eastAsia="Times New Roman" w:hAnsiTheme="minorHAnsi" w:cstheme="minorHAnsi"/>
                <w:color w:val="000000"/>
                <w:sz w:val="18"/>
                <w:szCs w:val="18"/>
                <w:lang w:eastAsia="cs-CZ"/>
              </w:rPr>
              <w:t>1 700</w:t>
            </w:r>
          </w:p>
        </w:tc>
        <w:tc>
          <w:tcPr>
            <w:tcW w:w="468" w:type="pct"/>
            <w:noWrap/>
            <w:hideMark/>
          </w:tcPr>
          <w:p w14:paraId="60BE82C0" w14:textId="77777777" w:rsidR="00EA1C0C" w:rsidRPr="00EA1C0C" w:rsidRDefault="00EA1C0C" w:rsidP="00EA1C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EA1C0C">
              <w:rPr>
                <w:rFonts w:asciiTheme="minorHAnsi" w:eastAsia="Times New Roman" w:hAnsiTheme="minorHAnsi" w:cstheme="minorHAnsi"/>
                <w:color w:val="000000"/>
                <w:sz w:val="18"/>
                <w:szCs w:val="18"/>
                <w:lang w:eastAsia="cs-CZ"/>
              </w:rPr>
              <w:t>2 400</w:t>
            </w:r>
          </w:p>
        </w:tc>
        <w:tc>
          <w:tcPr>
            <w:tcW w:w="468" w:type="pct"/>
            <w:noWrap/>
            <w:hideMark/>
          </w:tcPr>
          <w:p w14:paraId="07AAEB6D" w14:textId="77777777" w:rsidR="00EA1C0C" w:rsidRPr="00EA1C0C" w:rsidRDefault="00EA1C0C" w:rsidP="00EA1C0C">
            <w:pPr>
              <w:spacing w:before="0" w:after="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EA1C0C">
              <w:rPr>
                <w:rFonts w:asciiTheme="minorHAnsi" w:eastAsia="Times New Roman" w:hAnsiTheme="minorHAnsi" w:cstheme="minorHAnsi"/>
                <w:color w:val="000000"/>
                <w:sz w:val="18"/>
                <w:szCs w:val="18"/>
                <w:lang w:eastAsia="cs-CZ"/>
              </w:rPr>
              <w:t> </w:t>
            </w:r>
          </w:p>
        </w:tc>
        <w:tc>
          <w:tcPr>
            <w:tcW w:w="618" w:type="pct"/>
            <w:vMerge/>
            <w:hideMark/>
          </w:tcPr>
          <w:p w14:paraId="431668BF" w14:textId="77777777" w:rsidR="00EA1C0C" w:rsidRPr="00EA1C0C" w:rsidRDefault="00EA1C0C" w:rsidP="00EA1C0C">
            <w:pPr>
              <w:spacing w:before="0" w:after="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p>
        </w:tc>
        <w:tc>
          <w:tcPr>
            <w:tcW w:w="689" w:type="pct"/>
            <w:hideMark/>
          </w:tcPr>
          <w:p w14:paraId="4DBD5169" w14:textId="77777777" w:rsidR="00EA1C0C" w:rsidRPr="00EA1C0C" w:rsidRDefault="00EA1C0C" w:rsidP="006945B8">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EA1C0C">
              <w:rPr>
                <w:rFonts w:asciiTheme="minorHAnsi" w:eastAsia="Times New Roman" w:hAnsiTheme="minorHAnsi" w:cstheme="minorHAnsi"/>
                <w:color w:val="000000"/>
                <w:sz w:val="18"/>
                <w:szCs w:val="18"/>
                <w:lang w:eastAsia="cs-CZ"/>
              </w:rPr>
              <w:t>Clean Sky</w:t>
            </w:r>
          </w:p>
        </w:tc>
      </w:tr>
      <w:tr w:rsidR="00EA1C0C" w:rsidRPr="00EA1C0C" w14:paraId="30D2DEFD" w14:textId="77777777" w:rsidTr="006945B8">
        <w:trPr>
          <w:trHeight w:val="397"/>
        </w:trPr>
        <w:tc>
          <w:tcPr>
            <w:cnfStyle w:val="001000000000" w:firstRow="0" w:lastRow="0" w:firstColumn="1" w:lastColumn="0" w:oddVBand="0" w:evenVBand="0" w:oddHBand="0" w:evenHBand="0" w:firstRowFirstColumn="0" w:firstRowLastColumn="0" w:lastRowFirstColumn="0" w:lastRowLastColumn="0"/>
            <w:tcW w:w="1823" w:type="pct"/>
            <w:noWrap/>
            <w:hideMark/>
          </w:tcPr>
          <w:p w14:paraId="7043EDCB" w14:textId="77777777" w:rsidR="00EA1C0C" w:rsidRPr="00EA1C0C" w:rsidRDefault="00FA7752" w:rsidP="00EA1C0C">
            <w:pPr>
              <w:spacing w:before="0" w:after="0"/>
              <w:ind w:firstLineChars="100" w:firstLine="220"/>
              <w:jc w:val="left"/>
              <w:rPr>
                <w:rFonts w:asciiTheme="minorHAnsi" w:eastAsia="Times New Roman" w:hAnsiTheme="minorHAnsi" w:cstheme="minorHAnsi"/>
                <w:color w:val="000000"/>
                <w:sz w:val="18"/>
                <w:szCs w:val="18"/>
                <w:u w:val="single"/>
                <w:lang w:eastAsia="cs-CZ"/>
              </w:rPr>
            </w:pPr>
            <w:hyperlink r:id="rId38" w:history="1">
              <w:r w:rsidR="00EA1C0C" w:rsidRPr="00EA1C0C">
                <w:rPr>
                  <w:rFonts w:asciiTheme="minorHAnsi" w:eastAsia="Times New Roman" w:hAnsiTheme="minorHAnsi" w:cstheme="minorHAnsi"/>
                  <w:color w:val="000000"/>
                  <w:sz w:val="18"/>
                  <w:szCs w:val="18"/>
                  <w:u w:val="single"/>
                  <w:lang w:eastAsia="cs-CZ"/>
                </w:rPr>
                <w:t>Clean Hydrogen</w:t>
              </w:r>
            </w:hyperlink>
          </w:p>
        </w:tc>
        <w:tc>
          <w:tcPr>
            <w:tcW w:w="468" w:type="pct"/>
            <w:noWrap/>
            <w:hideMark/>
          </w:tcPr>
          <w:p w14:paraId="79067D9A" w14:textId="77777777" w:rsidR="00EA1C0C" w:rsidRPr="00EA1C0C" w:rsidRDefault="00EA1C0C" w:rsidP="00EA1C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bCs/>
                <w:color w:val="000000"/>
                <w:sz w:val="18"/>
                <w:szCs w:val="18"/>
                <w:lang w:eastAsia="cs-CZ"/>
              </w:rPr>
            </w:pPr>
            <w:r w:rsidRPr="00EA1C0C">
              <w:rPr>
                <w:rFonts w:asciiTheme="minorHAnsi" w:eastAsia="Times New Roman" w:hAnsiTheme="minorHAnsi" w:cstheme="minorHAnsi"/>
                <w:b/>
                <w:bCs/>
                <w:color w:val="000000"/>
                <w:sz w:val="18"/>
                <w:szCs w:val="18"/>
                <w:lang w:eastAsia="cs-CZ"/>
              </w:rPr>
              <w:t>2 000</w:t>
            </w:r>
          </w:p>
        </w:tc>
        <w:tc>
          <w:tcPr>
            <w:tcW w:w="468" w:type="pct"/>
            <w:noWrap/>
            <w:hideMark/>
          </w:tcPr>
          <w:p w14:paraId="090D7CB4" w14:textId="77777777" w:rsidR="00EA1C0C" w:rsidRPr="00EA1C0C" w:rsidRDefault="00EA1C0C" w:rsidP="00EA1C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EA1C0C">
              <w:rPr>
                <w:rFonts w:asciiTheme="minorHAnsi" w:eastAsia="Times New Roman" w:hAnsiTheme="minorHAnsi" w:cstheme="minorHAnsi"/>
                <w:color w:val="000000"/>
                <w:sz w:val="18"/>
                <w:szCs w:val="18"/>
                <w:lang w:eastAsia="cs-CZ"/>
              </w:rPr>
              <w:t>1 000</w:t>
            </w:r>
          </w:p>
        </w:tc>
        <w:tc>
          <w:tcPr>
            <w:tcW w:w="468" w:type="pct"/>
            <w:noWrap/>
            <w:hideMark/>
          </w:tcPr>
          <w:p w14:paraId="6575AD53" w14:textId="77777777" w:rsidR="00EA1C0C" w:rsidRPr="00EA1C0C" w:rsidRDefault="00EA1C0C" w:rsidP="00EA1C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EA1C0C">
              <w:rPr>
                <w:rFonts w:asciiTheme="minorHAnsi" w:eastAsia="Times New Roman" w:hAnsiTheme="minorHAnsi" w:cstheme="minorHAnsi"/>
                <w:color w:val="000000"/>
                <w:sz w:val="18"/>
                <w:szCs w:val="18"/>
                <w:lang w:eastAsia="cs-CZ"/>
              </w:rPr>
              <w:t>1 000</w:t>
            </w:r>
          </w:p>
        </w:tc>
        <w:tc>
          <w:tcPr>
            <w:tcW w:w="468" w:type="pct"/>
            <w:noWrap/>
            <w:hideMark/>
          </w:tcPr>
          <w:p w14:paraId="6E87423C" w14:textId="77777777" w:rsidR="00EA1C0C" w:rsidRPr="00EA1C0C" w:rsidRDefault="00EA1C0C" w:rsidP="00EA1C0C">
            <w:pPr>
              <w:spacing w:before="0" w:after="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EA1C0C">
              <w:rPr>
                <w:rFonts w:asciiTheme="minorHAnsi" w:eastAsia="Times New Roman" w:hAnsiTheme="minorHAnsi" w:cstheme="minorHAnsi"/>
                <w:color w:val="000000"/>
                <w:sz w:val="18"/>
                <w:szCs w:val="18"/>
                <w:lang w:eastAsia="cs-CZ"/>
              </w:rPr>
              <w:t> </w:t>
            </w:r>
          </w:p>
        </w:tc>
        <w:tc>
          <w:tcPr>
            <w:tcW w:w="618" w:type="pct"/>
            <w:vMerge/>
            <w:hideMark/>
          </w:tcPr>
          <w:p w14:paraId="5604E604" w14:textId="77777777" w:rsidR="00EA1C0C" w:rsidRPr="00EA1C0C" w:rsidRDefault="00EA1C0C" w:rsidP="00EA1C0C">
            <w:pPr>
              <w:spacing w:before="0" w:after="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p>
        </w:tc>
        <w:tc>
          <w:tcPr>
            <w:tcW w:w="689" w:type="pct"/>
            <w:hideMark/>
          </w:tcPr>
          <w:p w14:paraId="14F908CA" w14:textId="77777777" w:rsidR="00EA1C0C" w:rsidRPr="00EA1C0C" w:rsidRDefault="00EA1C0C" w:rsidP="006945B8">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EA1C0C">
              <w:rPr>
                <w:rFonts w:asciiTheme="minorHAnsi" w:eastAsia="Times New Roman" w:hAnsiTheme="minorHAnsi" w:cstheme="minorHAnsi"/>
                <w:color w:val="000000"/>
                <w:sz w:val="18"/>
                <w:szCs w:val="18"/>
                <w:lang w:eastAsia="cs-CZ"/>
              </w:rPr>
              <w:t>Hydeogen and Fuel Cells</w:t>
            </w:r>
          </w:p>
        </w:tc>
      </w:tr>
      <w:tr w:rsidR="00EA1C0C" w:rsidRPr="00EA1C0C" w14:paraId="7FCD5DD6" w14:textId="77777777" w:rsidTr="006945B8">
        <w:trPr>
          <w:trHeight w:val="397"/>
        </w:trPr>
        <w:tc>
          <w:tcPr>
            <w:cnfStyle w:val="001000000000" w:firstRow="0" w:lastRow="0" w:firstColumn="1" w:lastColumn="0" w:oddVBand="0" w:evenVBand="0" w:oddHBand="0" w:evenHBand="0" w:firstRowFirstColumn="0" w:firstRowLastColumn="0" w:lastRowFirstColumn="0" w:lastRowLastColumn="0"/>
            <w:tcW w:w="1823" w:type="pct"/>
            <w:noWrap/>
            <w:hideMark/>
          </w:tcPr>
          <w:p w14:paraId="24C14CD4" w14:textId="77777777" w:rsidR="00EA1C0C" w:rsidRPr="00EA1C0C" w:rsidRDefault="00FA7752" w:rsidP="00EA1C0C">
            <w:pPr>
              <w:spacing w:before="0" w:after="0"/>
              <w:ind w:firstLineChars="100" w:firstLine="220"/>
              <w:jc w:val="left"/>
              <w:rPr>
                <w:rFonts w:asciiTheme="minorHAnsi" w:eastAsia="Times New Roman" w:hAnsiTheme="minorHAnsi" w:cstheme="minorHAnsi"/>
                <w:color w:val="000000"/>
                <w:sz w:val="18"/>
                <w:szCs w:val="18"/>
                <w:u w:val="single"/>
                <w:lang w:eastAsia="cs-CZ"/>
              </w:rPr>
            </w:pPr>
            <w:hyperlink r:id="rId39" w:history="1">
              <w:r w:rsidR="00EA1C0C" w:rsidRPr="00EA1C0C">
                <w:rPr>
                  <w:rFonts w:asciiTheme="minorHAnsi" w:eastAsia="Times New Roman" w:hAnsiTheme="minorHAnsi" w:cstheme="minorHAnsi"/>
                  <w:color w:val="000000"/>
                  <w:sz w:val="18"/>
                  <w:szCs w:val="18"/>
                  <w:u w:val="single"/>
                  <w:lang w:eastAsia="cs-CZ"/>
                </w:rPr>
                <w:t>Circular Bio-based Europe (CBE)</w:t>
              </w:r>
            </w:hyperlink>
          </w:p>
        </w:tc>
        <w:tc>
          <w:tcPr>
            <w:tcW w:w="468" w:type="pct"/>
            <w:noWrap/>
            <w:hideMark/>
          </w:tcPr>
          <w:p w14:paraId="26AD2E58" w14:textId="77777777" w:rsidR="00EA1C0C" w:rsidRPr="00EA1C0C" w:rsidRDefault="00EA1C0C" w:rsidP="00EA1C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bCs/>
                <w:color w:val="000000"/>
                <w:sz w:val="18"/>
                <w:szCs w:val="18"/>
                <w:lang w:eastAsia="cs-CZ"/>
              </w:rPr>
            </w:pPr>
            <w:r w:rsidRPr="00EA1C0C">
              <w:rPr>
                <w:rFonts w:asciiTheme="minorHAnsi" w:eastAsia="Times New Roman" w:hAnsiTheme="minorHAnsi" w:cstheme="minorHAnsi"/>
                <w:b/>
                <w:bCs/>
                <w:color w:val="000000"/>
                <w:sz w:val="18"/>
                <w:szCs w:val="18"/>
                <w:lang w:eastAsia="cs-CZ"/>
              </w:rPr>
              <w:t>2 000</w:t>
            </w:r>
          </w:p>
        </w:tc>
        <w:tc>
          <w:tcPr>
            <w:tcW w:w="468" w:type="pct"/>
            <w:noWrap/>
            <w:hideMark/>
          </w:tcPr>
          <w:p w14:paraId="5CD7AAD4" w14:textId="77777777" w:rsidR="00EA1C0C" w:rsidRPr="00EA1C0C" w:rsidRDefault="00EA1C0C" w:rsidP="00EA1C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EA1C0C">
              <w:rPr>
                <w:rFonts w:asciiTheme="minorHAnsi" w:eastAsia="Times New Roman" w:hAnsiTheme="minorHAnsi" w:cstheme="minorHAnsi"/>
                <w:color w:val="000000"/>
                <w:sz w:val="18"/>
                <w:szCs w:val="18"/>
                <w:lang w:eastAsia="cs-CZ"/>
              </w:rPr>
              <w:t>1 000</w:t>
            </w:r>
          </w:p>
        </w:tc>
        <w:tc>
          <w:tcPr>
            <w:tcW w:w="468" w:type="pct"/>
            <w:noWrap/>
            <w:hideMark/>
          </w:tcPr>
          <w:p w14:paraId="58C15E15" w14:textId="77777777" w:rsidR="00EA1C0C" w:rsidRPr="00EA1C0C" w:rsidRDefault="00EA1C0C" w:rsidP="00EA1C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EA1C0C">
              <w:rPr>
                <w:rFonts w:asciiTheme="minorHAnsi" w:eastAsia="Times New Roman" w:hAnsiTheme="minorHAnsi" w:cstheme="minorHAnsi"/>
                <w:color w:val="000000"/>
                <w:sz w:val="18"/>
                <w:szCs w:val="18"/>
                <w:lang w:eastAsia="cs-CZ"/>
              </w:rPr>
              <w:t>1 000</w:t>
            </w:r>
          </w:p>
        </w:tc>
        <w:tc>
          <w:tcPr>
            <w:tcW w:w="468" w:type="pct"/>
            <w:noWrap/>
            <w:hideMark/>
          </w:tcPr>
          <w:p w14:paraId="0D432805" w14:textId="77777777" w:rsidR="00EA1C0C" w:rsidRPr="00EA1C0C" w:rsidRDefault="00EA1C0C" w:rsidP="00EA1C0C">
            <w:pPr>
              <w:spacing w:before="0" w:after="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EA1C0C">
              <w:rPr>
                <w:rFonts w:asciiTheme="minorHAnsi" w:eastAsia="Times New Roman" w:hAnsiTheme="minorHAnsi" w:cstheme="minorHAnsi"/>
                <w:color w:val="000000"/>
                <w:sz w:val="18"/>
                <w:szCs w:val="18"/>
                <w:lang w:eastAsia="cs-CZ"/>
              </w:rPr>
              <w:t> </w:t>
            </w:r>
          </w:p>
        </w:tc>
        <w:tc>
          <w:tcPr>
            <w:tcW w:w="618" w:type="pct"/>
            <w:noWrap/>
            <w:hideMark/>
          </w:tcPr>
          <w:p w14:paraId="6462F9DE" w14:textId="77777777" w:rsidR="00EA1C0C" w:rsidRPr="00EA1C0C" w:rsidRDefault="00EA1C0C" w:rsidP="00EA1C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EA1C0C">
              <w:rPr>
                <w:rFonts w:asciiTheme="minorHAnsi" w:eastAsia="Times New Roman" w:hAnsiTheme="minorHAnsi" w:cstheme="minorHAnsi"/>
                <w:color w:val="000000"/>
                <w:sz w:val="18"/>
                <w:szCs w:val="18"/>
                <w:lang w:eastAsia="cs-CZ"/>
              </w:rPr>
              <w:t>Cl-6</w:t>
            </w:r>
          </w:p>
        </w:tc>
        <w:tc>
          <w:tcPr>
            <w:tcW w:w="689" w:type="pct"/>
            <w:hideMark/>
          </w:tcPr>
          <w:p w14:paraId="4418A060" w14:textId="77777777" w:rsidR="00EA1C0C" w:rsidRPr="00EA1C0C" w:rsidRDefault="00EA1C0C" w:rsidP="006945B8">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EA1C0C">
              <w:rPr>
                <w:rFonts w:asciiTheme="minorHAnsi" w:eastAsia="Times New Roman" w:hAnsiTheme="minorHAnsi" w:cstheme="minorHAnsi"/>
                <w:color w:val="000000"/>
                <w:sz w:val="18"/>
                <w:szCs w:val="18"/>
                <w:lang w:eastAsia="cs-CZ"/>
              </w:rPr>
              <w:t>Bio-based Industries</w:t>
            </w:r>
          </w:p>
        </w:tc>
      </w:tr>
      <w:tr w:rsidR="00EA1C0C" w:rsidRPr="00EA1C0C" w14:paraId="60C64210" w14:textId="77777777" w:rsidTr="006945B8">
        <w:trPr>
          <w:trHeight w:val="397"/>
        </w:trPr>
        <w:tc>
          <w:tcPr>
            <w:cnfStyle w:val="001000000000" w:firstRow="0" w:lastRow="0" w:firstColumn="1" w:lastColumn="0" w:oddVBand="0" w:evenVBand="0" w:oddHBand="0" w:evenHBand="0" w:firstRowFirstColumn="0" w:firstRowLastColumn="0" w:lastRowFirstColumn="0" w:lastRowLastColumn="0"/>
            <w:tcW w:w="1823" w:type="pct"/>
            <w:noWrap/>
            <w:hideMark/>
          </w:tcPr>
          <w:p w14:paraId="0495C837" w14:textId="77777777" w:rsidR="00EA1C0C" w:rsidRPr="00EA1C0C" w:rsidRDefault="00EA1C0C" w:rsidP="00EA1C0C">
            <w:pPr>
              <w:spacing w:before="0" w:after="0"/>
              <w:ind w:firstLineChars="100" w:firstLine="180"/>
              <w:jc w:val="right"/>
              <w:rPr>
                <w:rFonts w:asciiTheme="minorHAnsi" w:eastAsia="Times New Roman" w:hAnsiTheme="minorHAnsi" w:cstheme="minorHAnsi"/>
                <w:color w:val="000000"/>
                <w:sz w:val="18"/>
                <w:szCs w:val="18"/>
                <w:lang w:eastAsia="cs-CZ"/>
              </w:rPr>
            </w:pPr>
            <w:r w:rsidRPr="00EA1C0C">
              <w:rPr>
                <w:rFonts w:asciiTheme="minorHAnsi" w:eastAsia="Times New Roman" w:hAnsiTheme="minorHAnsi" w:cstheme="minorHAnsi"/>
                <w:color w:val="000000"/>
                <w:sz w:val="18"/>
                <w:szCs w:val="18"/>
                <w:lang w:eastAsia="cs-CZ"/>
              </w:rPr>
              <w:t xml:space="preserve">Celkem </w:t>
            </w:r>
          </w:p>
        </w:tc>
        <w:tc>
          <w:tcPr>
            <w:tcW w:w="468" w:type="pct"/>
            <w:noWrap/>
            <w:hideMark/>
          </w:tcPr>
          <w:p w14:paraId="012EA7FF" w14:textId="77777777" w:rsidR="00EA1C0C" w:rsidRPr="00EA1C0C" w:rsidRDefault="00EA1C0C" w:rsidP="00EA1C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bCs/>
                <w:color w:val="000000"/>
                <w:sz w:val="18"/>
                <w:szCs w:val="18"/>
                <w:lang w:eastAsia="cs-CZ"/>
              </w:rPr>
            </w:pPr>
            <w:r w:rsidRPr="00EA1C0C">
              <w:rPr>
                <w:rFonts w:asciiTheme="minorHAnsi" w:eastAsia="Times New Roman" w:hAnsiTheme="minorHAnsi" w:cstheme="minorHAnsi"/>
                <w:b/>
                <w:bCs/>
                <w:color w:val="000000"/>
                <w:sz w:val="18"/>
                <w:szCs w:val="18"/>
                <w:lang w:eastAsia="cs-CZ"/>
              </w:rPr>
              <w:t>30 586</w:t>
            </w:r>
          </w:p>
        </w:tc>
        <w:tc>
          <w:tcPr>
            <w:tcW w:w="468" w:type="pct"/>
            <w:noWrap/>
            <w:hideMark/>
          </w:tcPr>
          <w:p w14:paraId="75EF9615" w14:textId="77777777" w:rsidR="00EA1C0C" w:rsidRPr="00EA1C0C" w:rsidRDefault="00EA1C0C" w:rsidP="00EA1C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bCs/>
                <w:color w:val="000000"/>
                <w:sz w:val="18"/>
                <w:szCs w:val="18"/>
                <w:lang w:eastAsia="cs-CZ"/>
              </w:rPr>
            </w:pPr>
            <w:r w:rsidRPr="00EA1C0C">
              <w:rPr>
                <w:rFonts w:asciiTheme="minorHAnsi" w:eastAsia="Times New Roman" w:hAnsiTheme="minorHAnsi" w:cstheme="minorHAnsi"/>
                <w:b/>
                <w:bCs/>
                <w:color w:val="000000"/>
                <w:sz w:val="18"/>
                <w:szCs w:val="18"/>
                <w:lang w:eastAsia="cs-CZ"/>
              </w:rPr>
              <w:t>12 980</w:t>
            </w:r>
          </w:p>
        </w:tc>
        <w:tc>
          <w:tcPr>
            <w:tcW w:w="468" w:type="pct"/>
            <w:noWrap/>
            <w:hideMark/>
          </w:tcPr>
          <w:p w14:paraId="035DA988" w14:textId="77777777" w:rsidR="00EA1C0C" w:rsidRPr="00EA1C0C" w:rsidRDefault="00EA1C0C" w:rsidP="00EA1C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bCs/>
                <w:color w:val="000000"/>
                <w:sz w:val="18"/>
                <w:szCs w:val="18"/>
                <w:lang w:eastAsia="cs-CZ"/>
              </w:rPr>
            </w:pPr>
            <w:r w:rsidRPr="00EA1C0C">
              <w:rPr>
                <w:rFonts w:asciiTheme="minorHAnsi" w:eastAsia="Times New Roman" w:hAnsiTheme="minorHAnsi" w:cstheme="minorHAnsi"/>
                <w:b/>
                <w:bCs/>
                <w:color w:val="000000"/>
                <w:sz w:val="18"/>
                <w:szCs w:val="18"/>
                <w:lang w:eastAsia="cs-CZ"/>
              </w:rPr>
              <w:t>12 339</w:t>
            </w:r>
          </w:p>
        </w:tc>
        <w:tc>
          <w:tcPr>
            <w:tcW w:w="468" w:type="pct"/>
            <w:noWrap/>
            <w:hideMark/>
          </w:tcPr>
          <w:p w14:paraId="3B3D75D6" w14:textId="77777777" w:rsidR="00EA1C0C" w:rsidRPr="00EA1C0C" w:rsidRDefault="00EA1C0C" w:rsidP="00EA1C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bCs/>
                <w:color w:val="000000"/>
                <w:sz w:val="18"/>
                <w:szCs w:val="18"/>
                <w:lang w:eastAsia="cs-CZ"/>
              </w:rPr>
            </w:pPr>
            <w:r w:rsidRPr="00EA1C0C">
              <w:rPr>
                <w:rFonts w:asciiTheme="minorHAnsi" w:eastAsia="Times New Roman" w:hAnsiTheme="minorHAnsi" w:cstheme="minorHAnsi"/>
                <w:b/>
                <w:bCs/>
                <w:color w:val="000000"/>
                <w:sz w:val="18"/>
                <w:szCs w:val="18"/>
                <w:lang w:eastAsia="cs-CZ"/>
              </w:rPr>
              <w:t>5 267</w:t>
            </w:r>
          </w:p>
        </w:tc>
        <w:tc>
          <w:tcPr>
            <w:tcW w:w="618" w:type="pct"/>
            <w:noWrap/>
            <w:hideMark/>
          </w:tcPr>
          <w:p w14:paraId="3FDE6BC2" w14:textId="77777777" w:rsidR="00EA1C0C" w:rsidRPr="00EA1C0C" w:rsidRDefault="00EA1C0C" w:rsidP="00EA1C0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b/>
                <w:bCs/>
                <w:color w:val="000000"/>
                <w:sz w:val="18"/>
                <w:szCs w:val="18"/>
                <w:lang w:eastAsia="cs-CZ"/>
              </w:rPr>
            </w:pPr>
          </w:p>
        </w:tc>
        <w:tc>
          <w:tcPr>
            <w:tcW w:w="689" w:type="pct"/>
            <w:noWrap/>
            <w:hideMark/>
          </w:tcPr>
          <w:p w14:paraId="52D8C339" w14:textId="77777777" w:rsidR="00EA1C0C" w:rsidRPr="00EA1C0C" w:rsidRDefault="00EA1C0C" w:rsidP="00EA1C0C">
            <w:pPr>
              <w:spacing w:before="0" w:after="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lang w:eastAsia="cs-CZ"/>
              </w:rPr>
            </w:pPr>
          </w:p>
        </w:tc>
      </w:tr>
    </w:tbl>
    <w:p w14:paraId="30E15048" w14:textId="77777777" w:rsidR="008444FF" w:rsidRDefault="008444FF" w:rsidP="008444FF">
      <w:pPr>
        <w:pStyle w:val="Nadpis2"/>
      </w:pPr>
      <w:bookmarkStart w:id="49" w:name="_Toc114572334"/>
      <w:r w:rsidRPr="3E8665BB">
        <w:t>Společně financovaná partnerství</w:t>
      </w:r>
      <w:bookmarkEnd w:id="49"/>
      <w:r w:rsidRPr="3E8665BB">
        <w:t xml:space="preserve"> </w:t>
      </w:r>
    </w:p>
    <w:p w14:paraId="4ED1A648" w14:textId="77777777" w:rsidR="008444FF" w:rsidRDefault="008444FF" w:rsidP="008444FF">
      <w:pPr>
        <w:spacing w:line="257" w:lineRule="auto"/>
      </w:pPr>
      <w:r w:rsidRPr="3E8665BB">
        <w:rPr>
          <w:rFonts w:cs="Calibri"/>
        </w:rPr>
        <w:t>Tento typ partnerství byl</w:t>
      </w:r>
      <w:r w:rsidR="009B66B5">
        <w:rPr>
          <w:rFonts w:cs="Calibri"/>
        </w:rPr>
        <w:t xml:space="preserve"> v </w:t>
      </w:r>
      <w:r w:rsidRPr="3E8665BB">
        <w:rPr>
          <w:rFonts w:cs="Calibri"/>
        </w:rPr>
        <w:t>období H</w:t>
      </w:r>
      <w:r w:rsidR="00ED1B3E">
        <w:rPr>
          <w:rFonts w:cs="Calibri"/>
        </w:rPr>
        <w:t xml:space="preserve">orizontu </w:t>
      </w:r>
      <w:r w:rsidRPr="3E8665BB">
        <w:rPr>
          <w:rFonts w:cs="Calibri"/>
        </w:rPr>
        <w:t>2020 nejpočetnější</w:t>
      </w:r>
      <w:r w:rsidR="009B66B5">
        <w:rPr>
          <w:rFonts w:cs="Calibri"/>
        </w:rPr>
        <w:t xml:space="preserve"> a </w:t>
      </w:r>
      <w:r w:rsidRPr="3E8665BB">
        <w:rPr>
          <w:rFonts w:cs="Calibri"/>
        </w:rPr>
        <w:t>zároveň implementačně nejrůznorodější. Jeho podstatou je sdružování prostředků na podporu VaVaI od národních poskytovatelů sdružujících se pro tematické obl</w:t>
      </w:r>
      <w:r w:rsidR="00AA2026">
        <w:rPr>
          <w:rFonts w:cs="Calibri"/>
        </w:rPr>
        <w:t>asti</w:t>
      </w:r>
      <w:r w:rsidRPr="3E8665BB">
        <w:rPr>
          <w:rFonts w:cs="Calibri"/>
        </w:rPr>
        <w:t xml:space="preserve"> vybrané </w:t>
      </w:r>
      <w:r w:rsidR="00AA2026">
        <w:rPr>
          <w:rFonts w:cs="Calibri"/>
        </w:rPr>
        <w:t>Evropskou komisí</w:t>
      </w:r>
      <w:r w:rsidRPr="3E8665BB">
        <w:rPr>
          <w:rFonts w:cs="Calibri"/>
        </w:rPr>
        <w:t xml:space="preserve"> do programových konsorcií, která pravidelně vyhlašují své výzvy. Výhodou těchto výzev, hlavně</w:t>
      </w:r>
      <w:r w:rsidR="009B66B5">
        <w:rPr>
          <w:rFonts w:cs="Calibri"/>
        </w:rPr>
        <w:t xml:space="preserve"> z </w:t>
      </w:r>
      <w:r w:rsidRPr="3E8665BB">
        <w:rPr>
          <w:rFonts w:cs="Calibri"/>
        </w:rPr>
        <w:t>hlediska začínajících žadatelů</w:t>
      </w:r>
      <w:r w:rsidR="009B66B5">
        <w:rPr>
          <w:rFonts w:cs="Calibri"/>
        </w:rPr>
        <w:t xml:space="preserve"> o </w:t>
      </w:r>
      <w:r w:rsidRPr="3E8665BB">
        <w:rPr>
          <w:rFonts w:cs="Calibri"/>
        </w:rPr>
        <w:t>evropské projekty, jsou obecněji definovaná témata výzev</w:t>
      </w:r>
      <w:r w:rsidR="009B66B5">
        <w:rPr>
          <w:rFonts w:cs="Calibri"/>
        </w:rPr>
        <w:t xml:space="preserve"> </w:t>
      </w:r>
      <w:r w:rsidR="009B66B5">
        <w:rPr>
          <w:rFonts w:cs="Calibri"/>
        </w:rPr>
        <w:lastRenderedPageBreak/>
        <w:t>a </w:t>
      </w:r>
      <w:r w:rsidRPr="3E8665BB">
        <w:rPr>
          <w:rFonts w:cs="Calibri"/>
        </w:rPr>
        <w:t>menší velikost projektových konsorcií. To jim umožňuje snadnější vytváření konsorcií, obvykle založených na již existujících kontaktech</w:t>
      </w:r>
      <w:r w:rsidR="009B66B5">
        <w:rPr>
          <w:rFonts w:cs="Calibri"/>
        </w:rPr>
        <w:t xml:space="preserve"> z </w:t>
      </w:r>
      <w:r w:rsidRPr="3E8665BB">
        <w:rPr>
          <w:rFonts w:cs="Calibri"/>
        </w:rPr>
        <w:t>bilaterální spolupráce. Dá se zároveň předpokládat, že takto praxí prověřené mezinárodní kontakty budou žadateli dále využívány</w:t>
      </w:r>
      <w:r w:rsidR="009B66B5">
        <w:rPr>
          <w:rFonts w:cs="Calibri"/>
        </w:rPr>
        <w:t xml:space="preserve"> v </w:t>
      </w:r>
      <w:r w:rsidRPr="3E8665BB">
        <w:rPr>
          <w:rFonts w:cs="Calibri"/>
        </w:rPr>
        <w:t xml:space="preserve">konsorciálních projektových návrzích do výzev </w:t>
      </w:r>
      <w:r w:rsidR="00ED1B3E">
        <w:rPr>
          <w:rFonts w:cs="Calibri"/>
        </w:rPr>
        <w:t>Horizontu Evropa</w:t>
      </w:r>
      <w:r w:rsidR="009B66B5">
        <w:rPr>
          <w:rFonts w:cs="Calibri"/>
        </w:rPr>
        <w:t xml:space="preserve"> i </w:t>
      </w:r>
      <w:r w:rsidRPr="3E8665BB">
        <w:rPr>
          <w:rFonts w:cs="Calibri"/>
        </w:rPr>
        <w:t xml:space="preserve">výše uvedených partnerstvích.  </w:t>
      </w:r>
    </w:p>
    <w:p w14:paraId="5BE506F9" w14:textId="77777777" w:rsidR="008444FF" w:rsidRDefault="00747711" w:rsidP="008444FF">
      <w:pPr>
        <w:spacing w:line="257" w:lineRule="auto"/>
        <w:rPr>
          <w:rFonts w:cs="Calibri"/>
        </w:rPr>
      </w:pPr>
      <w:r>
        <w:rPr>
          <w:rFonts w:cs="Calibri"/>
        </w:rPr>
        <w:t>ČR</w:t>
      </w:r>
      <w:r w:rsidR="008444FF" w:rsidRPr="3E8665BB">
        <w:rPr>
          <w:rFonts w:cs="Calibri"/>
        </w:rPr>
        <w:t xml:space="preserve"> (grantové agentury</w:t>
      </w:r>
      <w:r w:rsidR="009B66B5">
        <w:rPr>
          <w:rFonts w:cs="Calibri"/>
        </w:rPr>
        <w:t xml:space="preserve"> a </w:t>
      </w:r>
      <w:r w:rsidR="008444FF" w:rsidRPr="3E8665BB">
        <w:rPr>
          <w:rFonts w:cs="Calibri"/>
        </w:rPr>
        <w:t xml:space="preserve">ministerstva) zajišťovala přístup do těchto výzev hlavně </w:t>
      </w:r>
      <w:r>
        <w:rPr>
          <w:rFonts w:cs="Calibri"/>
        </w:rPr>
        <w:t xml:space="preserve"> </w:t>
      </w:r>
      <w:r w:rsidR="008444FF" w:rsidRPr="3E8665BB">
        <w:rPr>
          <w:rFonts w:cs="Calibri"/>
        </w:rPr>
        <w:t>u vybraných iniciativ EJP (European Joint Programming), slabinou byl však přístup do partnerství typu ERA-NET Cofund, která tvořila většinu portfolia společně financovaných partnerství. Situace se systematicky začala zlepšovat zhruba od roku</w:t>
      </w:r>
      <w:r>
        <w:rPr>
          <w:rFonts w:cs="Calibri"/>
        </w:rPr>
        <w:t xml:space="preserve"> 2016 postupným vstupem TA</w:t>
      </w:r>
      <w:r w:rsidR="00C853D7">
        <w:rPr>
          <w:rFonts w:cs="Calibri"/>
        </w:rPr>
        <w:t xml:space="preserve"> </w:t>
      </w:r>
      <w:r>
        <w:rPr>
          <w:rFonts w:cs="Calibri"/>
        </w:rPr>
        <w:t>ČR</w:t>
      </w:r>
      <w:r w:rsidR="009B66B5">
        <w:rPr>
          <w:rFonts w:cs="Calibri"/>
        </w:rPr>
        <w:t xml:space="preserve"> a </w:t>
      </w:r>
      <w:r w:rsidR="008444FF" w:rsidRPr="3E8665BB">
        <w:rPr>
          <w:rFonts w:cs="Calibri"/>
        </w:rPr>
        <w:t>MŠMT do projektových konsorcií celkem 10 ERA-NET Cofundů (viz přehled publikovaný</w:t>
      </w:r>
      <w:r w:rsidR="009B66B5">
        <w:rPr>
          <w:rFonts w:cs="Calibri"/>
        </w:rPr>
        <w:t xml:space="preserve"> v </w:t>
      </w:r>
      <w:r w:rsidR="008444FF" w:rsidRPr="3E8665BB">
        <w:rPr>
          <w:rFonts w:cs="Calibri"/>
        </w:rPr>
        <w:t xml:space="preserve">časopise ECHO </w:t>
      </w:r>
      <w:r>
        <w:rPr>
          <w:rFonts w:cs="Calibri"/>
        </w:rPr>
        <w:t>3-4/2020/</w:t>
      </w:r>
      <w:r w:rsidR="008444FF">
        <w:rPr>
          <w:rStyle w:val="Znakapoznpodarou"/>
        </w:rPr>
        <w:footnoteReference w:id="41"/>
      </w:r>
      <w:r w:rsidR="008444FF" w:rsidRPr="3E8665BB">
        <w:rPr>
          <w:rFonts w:cs="Calibri"/>
        </w:rPr>
        <w:t xml:space="preserve">). Tato aktivita, která byla informačně podporována ze strany </w:t>
      </w:r>
      <w:r w:rsidR="002D7AEF" w:rsidRPr="002D7AEF">
        <w:rPr>
          <w:rFonts w:asciiTheme="minorHAnsi" w:eastAsia="Cambria" w:hAnsiTheme="minorHAnsi" w:cstheme="minorHAnsi"/>
          <w:bCs/>
          <w:color w:val="000000" w:themeColor="text1"/>
        </w:rPr>
        <w:t>Technologického centra</w:t>
      </w:r>
      <w:r w:rsidR="002D7AEF">
        <w:rPr>
          <w:rFonts w:asciiTheme="minorHAnsi" w:eastAsia="Cambria" w:hAnsiTheme="minorHAnsi" w:cstheme="minorHAnsi"/>
          <w:b/>
          <w:bCs/>
          <w:color w:val="000000" w:themeColor="text1"/>
        </w:rPr>
        <w:t xml:space="preserve"> </w:t>
      </w:r>
      <w:r>
        <w:rPr>
          <w:rFonts w:cs="Calibri"/>
        </w:rPr>
        <w:t xml:space="preserve">AV ČR </w:t>
      </w:r>
      <w:r>
        <w:t>–</w:t>
      </w:r>
      <w:r w:rsidR="005F45FE">
        <w:rPr>
          <w:rFonts w:cs="Calibri"/>
        </w:rPr>
        <w:t xml:space="preserve"> </w:t>
      </w:r>
      <w:r w:rsidR="008444FF" w:rsidRPr="3E8665BB">
        <w:rPr>
          <w:rFonts w:cs="Calibri"/>
        </w:rPr>
        <w:t>Národního informačního centra pro evropský výzkum, se ukázala jako velmi úspěšná jak</w:t>
      </w:r>
      <w:r w:rsidR="009B66B5">
        <w:rPr>
          <w:rFonts w:cs="Calibri"/>
        </w:rPr>
        <w:t xml:space="preserve"> z </w:t>
      </w:r>
      <w:r w:rsidR="008444FF" w:rsidRPr="3E8665BB">
        <w:rPr>
          <w:rFonts w:cs="Calibri"/>
        </w:rPr>
        <w:t>hlediska počtů českých žadatelů, tak</w:t>
      </w:r>
      <w:r w:rsidR="009B66B5">
        <w:rPr>
          <w:rFonts w:cs="Calibri"/>
        </w:rPr>
        <w:t xml:space="preserve"> i </w:t>
      </w:r>
      <w:r w:rsidR="008444FF" w:rsidRPr="3E8665BB">
        <w:rPr>
          <w:rFonts w:cs="Calibri"/>
        </w:rPr>
        <w:t>jejich úspěšnosti. Pokračování tohoto typu partnerst</w:t>
      </w:r>
      <w:r>
        <w:rPr>
          <w:rFonts w:cs="Calibri"/>
        </w:rPr>
        <w:t>ví nebo vznik nových není však</w:t>
      </w:r>
      <w:r w:rsidR="009B66B5">
        <w:rPr>
          <w:rFonts w:cs="Calibri"/>
        </w:rPr>
        <w:t xml:space="preserve"> v </w:t>
      </w:r>
      <w:r w:rsidR="00ED1B3E">
        <w:rPr>
          <w:rFonts w:cs="Calibri"/>
        </w:rPr>
        <w:t>Horizontu Evropa</w:t>
      </w:r>
      <w:r w:rsidR="008444FF" w:rsidRPr="3E8665BB">
        <w:rPr>
          <w:rFonts w:cs="Calibri"/>
        </w:rPr>
        <w:t xml:space="preserve"> podporován</w:t>
      </w:r>
      <w:r w:rsidR="009B66B5">
        <w:rPr>
          <w:rFonts w:cs="Calibri"/>
        </w:rPr>
        <w:t xml:space="preserve"> a </w:t>
      </w:r>
      <w:r w:rsidR="008444FF" w:rsidRPr="3E8665BB">
        <w:rPr>
          <w:rFonts w:cs="Calibri"/>
        </w:rPr>
        <w:t>výzvy jsou vyhlašovány již jen ERA-NET Cofundy, jejichž činnost byla naplánována</w:t>
      </w:r>
      <w:r w:rsidR="009B66B5">
        <w:rPr>
          <w:rFonts w:cs="Calibri"/>
        </w:rPr>
        <w:t xml:space="preserve"> s </w:t>
      </w:r>
      <w:r w:rsidR="008444FF" w:rsidRPr="3E8665BB">
        <w:rPr>
          <w:rFonts w:cs="Calibri"/>
        </w:rPr>
        <w:t xml:space="preserve">přesahem do </w:t>
      </w:r>
      <w:r w:rsidR="00ED1B3E">
        <w:rPr>
          <w:rFonts w:cs="Calibri"/>
        </w:rPr>
        <w:t xml:space="preserve">dalšího programového </w:t>
      </w:r>
      <w:r w:rsidR="008444FF" w:rsidRPr="3E8665BB">
        <w:rPr>
          <w:rFonts w:cs="Calibri"/>
        </w:rPr>
        <w:t xml:space="preserve">období </w:t>
      </w:r>
      <w:r w:rsidR="00ED1B3E" w:rsidRPr="3E8665BB">
        <w:rPr>
          <w:rFonts w:cs="Calibri"/>
        </w:rPr>
        <w:t xml:space="preserve"> </w:t>
      </w:r>
      <w:r w:rsidR="008444FF" w:rsidRPr="3E8665BB">
        <w:rPr>
          <w:rFonts w:cs="Calibri"/>
        </w:rPr>
        <w:t>(M-ERA, QuantERA, CHIST-ERA</w:t>
      </w:r>
      <w:r w:rsidR="009B66B5">
        <w:rPr>
          <w:rFonts w:cs="Calibri"/>
        </w:rPr>
        <w:t xml:space="preserve"> a </w:t>
      </w:r>
      <w:r w:rsidR="008444FF" w:rsidRPr="3E8665BB">
        <w:rPr>
          <w:rFonts w:cs="Calibri"/>
        </w:rPr>
        <w:t xml:space="preserve">ERA-MIN). </w:t>
      </w:r>
      <w:r w:rsidR="00B95C6F">
        <w:rPr>
          <w:rFonts w:cs="Calibri"/>
        </w:rPr>
        <w:t>Řada</w:t>
      </w:r>
      <w:r w:rsidR="008444FF" w:rsidRPr="3E8665BB">
        <w:rPr>
          <w:rFonts w:cs="Calibri"/>
        </w:rPr>
        <w:t xml:space="preserve"> partnerství tohoto typu se</w:t>
      </w:r>
      <w:r w:rsidR="009B66B5">
        <w:rPr>
          <w:rFonts w:cs="Calibri"/>
        </w:rPr>
        <w:t xml:space="preserve"> v </w:t>
      </w:r>
      <w:r w:rsidR="008444FF" w:rsidRPr="3E8665BB">
        <w:rPr>
          <w:rFonts w:cs="Calibri"/>
        </w:rPr>
        <w:t>současné době transformuj</w:t>
      </w:r>
      <w:r w:rsidR="00ED1B3E">
        <w:rPr>
          <w:rFonts w:cs="Calibri"/>
        </w:rPr>
        <w:t>e</w:t>
      </w:r>
      <w:r w:rsidR="008444FF" w:rsidRPr="3E8665BB">
        <w:rPr>
          <w:rFonts w:cs="Calibri"/>
        </w:rPr>
        <w:t xml:space="preserve"> do nového rámce</w:t>
      </w:r>
      <w:r w:rsidR="009B66B5">
        <w:rPr>
          <w:rFonts w:cs="Calibri"/>
        </w:rPr>
        <w:t xml:space="preserve"> v </w:t>
      </w:r>
      <w:r w:rsidR="00ED1B3E">
        <w:rPr>
          <w:rFonts w:cs="Calibri"/>
        </w:rPr>
        <w:t>Horizontu Evropa</w:t>
      </w:r>
      <w:r w:rsidR="008444FF" w:rsidRPr="3E8665BB">
        <w:rPr>
          <w:rFonts w:cs="Calibri"/>
        </w:rPr>
        <w:t xml:space="preserve"> (Water4All, Biodiversa</w:t>
      </w:r>
      <w:r w:rsidR="000252C3">
        <w:rPr>
          <w:rFonts w:cs="Calibri"/>
        </w:rPr>
        <w:t>+</w:t>
      </w:r>
      <w:r w:rsidR="008444FF" w:rsidRPr="3E8665BB">
        <w:rPr>
          <w:rFonts w:cs="Calibri"/>
        </w:rPr>
        <w:t>, Clean Energy Transition</w:t>
      </w:r>
      <w:r w:rsidR="009B66B5">
        <w:rPr>
          <w:rFonts w:cs="Calibri"/>
        </w:rPr>
        <w:t xml:space="preserve"> a </w:t>
      </w:r>
      <w:r w:rsidR="008444FF" w:rsidRPr="3E8665BB">
        <w:rPr>
          <w:rFonts w:cs="Calibri"/>
        </w:rPr>
        <w:t>Driving Urban Transition), do kterých budou mít žadatelé</w:t>
      </w:r>
      <w:r w:rsidR="009B66B5">
        <w:rPr>
          <w:rFonts w:cs="Calibri"/>
        </w:rPr>
        <w:t xml:space="preserve"> z </w:t>
      </w:r>
      <w:r w:rsidR="008444FF" w:rsidRPr="3E8665BB">
        <w:rPr>
          <w:rFonts w:cs="Calibri"/>
        </w:rPr>
        <w:t>ČR přístup díky implementaci TA</w:t>
      </w:r>
      <w:r w:rsidR="00C853D7">
        <w:rPr>
          <w:rFonts w:cs="Calibri"/>
        </w:rPr>
        <w:t xml:space="preserve"> </w:t>
      </w:r>
      <w:r w:rsidR="008444FF" w:rsidRPr="3E8665BB">
        <w:rPr>
          <w:rFonts w:cs="Calibri"/>
        </w:rPr>
        <w:t>ČR ve spolupráci</w:t>
      </w:r>
      <w:r w:rsidR="009B66B5">
        <w:rPr>
          <w:rFonts w:cs="Calibri"/>
        </w:rPr>
        <w:t xml:space="preserve"> s </w:t>
      </w:r>
      <w:r w:rsidR="008444FF" w:rsidRPr="3E8665BB">
        <w:rPr>
          <w:rFonts w:cs="Calibri"/>
        </w:rPr>
        <w:t>MPO</w:t>
      </w:r>
      <w:r w:rsidR="008444FF">
        <w:rPr>
          <w:rFonts w:cs="Calibri"/>
        </w:rPr>
        <w:t>, MD</w:t>
      </w:r>
      <w:r w:rsidR="002E1EC0">
        <w:rPr>
          <w:rFonts w:cs="Calibri"/>
        </w:rPr>
        <w:t>,</w:t>
      </w:r>
      <w:r w:rsidR="008444FF" w:rsidRPr="3E8665BB">
        <w:rPr>
          <w:rFonts w:cs="Calibri"/>
        </w:rPr>
        <w:t xml:space="preserve"> MŽP</w:t>
      </w:r>
      <w:r w:rsidR="009B66B5">
        <w:rPr>
          <w:rFonts w:cs="Calibri"/>
        </w:rPr>
        <w:t xml:space="preserve"> a </w:t>
      </w:r>
      <w:r w:rsidR="002E1EC0">
        <w:rPr>
          <w:rFonts w:cs="Calibri"/>
        </w:rPr>
        <w:t>MŠMT</w:t>
      </w:r>
      <w:r w:rsidR="008444FF" w:rsidRPr="3E8665BB">
        <w:rPr>
          <w:rFonts w:cs="Calibri"/>
        </w:rPr>
        <w:t>. Zde je nutné připomenout, že toto je umožněno existencí příslušných programů</w:t>
      </w:r>
      <w:r w:rsidR="009B66B5">
        <w:rPr>
          <w:rFonts w:cs="Calibri"/>
        </w:rPr>
        <w:t xml:space="preserve"> a </w:t>
      </w:r>
      <w:r w:rsidR="008444FF" w:rsidRPr="3E8665BB">
        <w:rPr>
          <w:rFonts w:cs="Calibri"/>
        </w:rPr>
        <w:t>jejich tematického zaměření u zmíněných poskytovatelů podpory VaVaI. Další partnerství</w:t>
      </w:r>
      <w:r w:rsidR="009B66B5">
        <w:rPr>
          <w:rFonts w:cs="Calibri"/>
        </w:rPr>
        <w:t xml:space="preserve"> v </w:t>
      </w:r>
      <w:r w:rsidR="008444FF" w:rsidRPr="3E8665BB">
        <w:rPr>
          <w:rFonts w:cs="Calibri"/>
        </w:rPr>
        <w:t>oblastech medicínského</w:t>
      </w:r>
      <w:r w:rsidR="009B66B5">
        <w:rPr>
          <w:rFonts w:cs="Calibri"/>
        </w:rPr>
        <w:t xml:space="preserve"> a </w:t>
      </w:r>
      <w:r w:rsidR="008444FF" w:rsidRPr="3E8665BB">
        <w:rPr>
          <w:rFonts w:cs="Calibri"/>
        </w:rPr>
        <w:t>zemědělského výzkumu, jejichž vznik je</w:t>
      </w:r>
      <w:r w:rsidR="009B66B5">
        <w:rPr>
          <w:rFonts w:cs="Calibri"/>
        </w:rPr>
        <w:t xml:space="preserve"> v </w:t>
      </w:r>
      <w:r w:rsidR="008444FF" w:rsidRPr="3E8665BB">
        <w:rPr>
          <w:rFonts w:cs="Calibri"/>
        </w:rPr>
        <w:t>současné době ve fázi vyjednávání</w:t>
      </w:r>
      <w:r w:rsidR="009B66B5">
        <w:rPr>
          <w:rFonts w:cs="Calibri"/>
        </w:rPr>
        <w:t xml:space="preserve"> s </w:t>
      </w:r>
      <w:r w:rsidR="00AA2026">
        <w:rPr>
          <w:rFonts w:cs="Calibri"/>
        </w:rPr>
        <w:t>Evropskou komisí</w:t>
      </w:r>
      <w:r w:rsidR="008444FF" w:rsidRPr="3E8665BB">
        <w:rPr>
          <w:rFonts w:cs="Calibri"/>
        </w:rPr>
        <w:t xml:space="preserve"> nebo se připravuje od roku 2024, zůstávají ze strany ČR zatím nepokryta.  </w:t>
      </w:r>
    </w:p>
    <w:p w14:paraId="2884A27A" w14:textId="77777777" w:rsidR="009305DA" w:rsidRPr="009305DA" w:rsidRDefault="009305DA" w:rsidP="008444FF">
      <w:pPr>
        <w:spacing w:line="257" w:lineRule="auto"/>
        <w:rPr>
          <w:rFonts w:cs="Calibri"/>
          <w:b/>
        </w:rPr>
      </w:pPr>
      <w:r w:rsidRPr="009305DA">
        <w:rPr>
          <w:rFonts w:cs="Calibri"/>
          <w:b/>
        </w:rPr>
        <w:t>Tabulka 3</w:t>
      </w:r>
    </w:p>
    <w:tbl>
      <w:tblPr>
        <w:tblStyle w:val="Svtltabulkasmkou1zvraznn5"/>
        <w:tblW w:w="5000" w:type="pct"/>
        <w:tblLook w:val="04A0" w:firstRow="1" w:lastRow="0" w:firstColumn="1" w:lastColumn="0" w:noHBand="0" w:noVBand="1"/>
      </w:tblPr>
      <w:tblGrid>
        <w:gridCol w:w="1089"/>
        <w:gridCol w:w="2384"/>
        <w:gridCol w:w="1037"/>
        <w:gridCol w:w="1037"/>
        <w:gridCol w:w="1183"/>
        <w:gridCol w:w="1097"/>
        <w:gridCol w:w="1233"/>
      </w:tblGrid>
      <w:tr w:rsidR="00524CC9" w:rsidRPr="00524CC9" w14:paraId="02E0AB8A" w14:textId="77777777" w:rsidTr="00F00D81">
        <w:trPr>
          <w:cnfStyle w:val="100000000000" w:firstRow="1" w:lastRow="0" w:firstColumn="0" w:lastColumn="0" w:oddVBand="0" w:evenVBand="0" w:oddHBand="0" w:evenHBand="0" w:firstRowFirstColumn="0" w:firstRowLastColumn="0" w:lastRowFirstColumn="0" w:lastRowLastColumn="0"/>
          <w:trHeight w:val="590"/>
        </w:trPr>
        <w:tc>
          <w:tcPr>
            <w:cnfStyle w:val="001000000000" w:firstRow="0" w:lastRow="0" w:firstColumn="1" w:lastColumn="0" w:oddVBand="0" w:evenVBand="0" w:oddHBand="0" w:evenHBand="0" w:firstRowFirstColumn="0" w:firstRowLastColumn="0" w:lastRowFirstColumn="0" w:lastRowLastColumn="0"/>
            <w:tcW w:w="679" w:type="pct"/>
            <w:noWrap/>
            <w:hideMark/>
          </w:tcPr>
          <w:p w14:paraId="0359E66F" w14:textId="77777777" w:rsidR="00524CC9" w:rsidRPr="00524CC9" w:rsidRDefault="00524CC9" w:rsidP="00524CC9">
            <w:pPr>
              <w:spacing w:before="0" w:after="0"/>
              <w:ind w:firstLineChars="100" w:firstLine="180"/>
              <w:jc w:val="left"/>
              <w:rPr>
                <w:rFonts w:asciiTheme="minorHAnsi" w:eastAsia="Times New Roman" w:hAnsiTheme="minorHAnsi" w:cstheme="minorHAnsi"/>
                <w:color w:val="000000"/>
                <w:sz w:val="18"/>
                <w:szCs w:val="18"/>
                <w:lang w:eastAsia="cs-CZ"/>
              </w:rPr>
            </w:pPr>
            <w:r w:rsidRPr="00524CC9">
              <w:rPr>
                <w:rFonts w:asciiTheme="minorHAnsi" w:eastAsia="Times New Roman" w:hAnsiTheme="minorHAnsi" w:cstheme="minorHAnsi"/>
                <w:color w:val="000000"/>
                <w:sz w:val="18"/>
                <w:szCs w:val="18"/>
                <w:lang w:eastAsia="cs-CZ"/>
              </w:rPr>
              <w:t>Zkratka</w:t>
            </w:r>
          </w:p>
        </w:tc>
        <w:tc>
          <w:tcPr>
            <w:tcW w:w="1465" w:type="pct"/>
            <w:noWrap/>
            <w:hideMark/>
          </w:tcPr>
          <w:p w14:paraId="2AE9E813" w14:textId="77777777" w:rsidR="00524CC9" w:rsidRPr="00524CC9" w:rsidRDefault="00524CC9" w:rsidP="00524CC9">
            <w:pPr>
              <w:spacing w:before="0" w:after="0"/>
              <w:ind w:firstLineChars="100" w:firstLine="180"/>
              <w:jc w:val="left"/>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524CC9">
              <w:rPr>
                <w:rFonts w:asciiTheme="minorHAnsi" w:eastAsia="Times New Roman" w:hAnsiTheme="minorHAnsi" w:cstheme="minorHAnsi"/>
                <w:color w:val="000000"/>
                <w:sz w:val="18"/>
                <w:szCs w:val="18"/>
                <w:lang w:eastAsia="cs-CZ"/>
              </w:rPr>
              <w:t>Název / zaměření</w:t>
            </w:r>
          </w:p>
        </w:tc>
        <w:tc>
          <w:tcPr>
            <w:tcW w:w="437" w:type="pct"/>
            <w:hideMark/>
          </w:tcPr>
          <w:p w14:paraId="6A78D9C5" w14:textId="77777777" w:rsidR="00524CC9" w:rsidRPr="00524CC9" w:rsidRDefault="00524CC9" w:rsidP="00524CC9">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524CC9">
              <w:rPr>
                <w:rFonts w:asciiTheme="minorHAnsi" w:eastAsia="Times New Roman" w:hAnsiTheme="minorHAnsi" w:cstheme="minorHAnsi"/>
                <w:color w:val="000000"/>
                <w:sz w:val="18"/>
                <w:szCs w:val="18"/>
                <w:lang w:eastAsia="cs-CZ"/>
              </w:rPr>
              <w:t xml:space="preserve">Začátek  </w:t>
            </w:r>
          </w:p>
        </w:tc>
        <w:tc>
          <w:tcPr>
            <w:tcW w:w="417" w:type="pct"/>
            <w:hideMark/>
          </w:tcPr>
          <w:p w14:paraId="39475599" w14:textId="77777777" w:rsidR="00524CC9" w:rsidRPr="00524CC9" w:rsidRDefault="00524CC9" w:rsidP="00524CC9">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524CC9">
              <w:rPr>
                <w:rFonts w:asciiTheme="minorHAnsi" w:eastAsia="Times New Roman" w:hAnsiTheme="minorHAnsi" w:cstheme="minorHAnsi"/>
                <w:color w:val="000000"/>
                <w:sz w:val="18"/>
                <w:szCs w:val="18"/>
                <w:lang w:eastAsia="cs-CZ"/>
              </w:rPr>
              <w:t xml:space="preserve">Konec  </w:t>
            </w:r>
          </w:p>
        </w:tc>
        <w:tc>
          <w:tcPr>
            <w:tcW w:w="652" w:type="pct"/>
            <w:hideMark/>
          </w:tcPr>
          <w:p w14:paraId="00ABB22A" w14:textId="77777777" w:rsidR="00524CC9" w:rsidRPr="00524CC9" w:rsidRDefault="00524CC9" w:rsidP="00524CC9">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524CC9">
              <w:rPr>
                <w:rFonts w:asciiTheme="minorHAnsi" w:eastAsia="Times New Roman" w:hAnsiTheme="minorHAnsi" w:cstheme="minorHAnsi"/>
                <w:color w:val="000000"/>
                <w:sz w:val="18"/>
                <w:szCs w:val="18"/>
                <w:lang w:eastAsia="cs-CZ"/>
              </w:rPr>
              <w:t>Poskytovatel podpory za ČR</w:t>
            </w:r>
          </w:p>
        </w:tc>
        <w:tc>
          <w:tcPr>
            <w:tcW w:w="719" w:type="pct"/>
            <w:hideMark/>
          </w:tcPr>
          <w:p w14:paraId="55DEB818" w14:textId="77777777" w:rsidR="00524CC9" w:rsidRPr="00524CC9" w:rsidRDefault="00524CC9" w:rsidP="00524CC9">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524CC9">
              <w:rPr>
                <w:rFonts w:asciiTheme="minorHAnsi" w:eastAsia="Times New Roman" w:hAnsiTheme="minorHAnsi" w:cstheme="minorHAnsi"/>
                <w:color w:val="000000"/>
                <w:sz w:val="18"/>
                <w:szCs w:val="18"/>
                <w:lang w:eastAsia="cs-CZ"/>
              </w:rPr>
              <w:t>Fina</w:t>
            </w:r>
            <w:r w:rsidR="00F0018E">
              <w:rPr>
                <w:rFonts w:asciiTheme="minorHAnsi" w:eastAsia="Times New Roman" w:hAnsiTheme="minorHAnsi" w:cstheme="minorHAnsi"/>
                <w:color w:val="000000"/>
                <w:sz w:val="18"/>
                <w:szCs w:val="18"/>
                <w:lang w:eastAsia="cs-CZ"/>
              </w:rPr>
              <w:t>n</w:t>
            </w:r>
            <w:r w:rsidRPr="00524CC9">
              <w:rPr>
                <w:rFonts w:asciiTheme="minorHAnsi" w:eastAsia="Times New Roman" w:hAnsiTheme="minorHAnsi" w:cstheme="minorHAnsi"/>
                <w:color w:val="000000"/>
                <w:sz w:val="18"/>
                <w:szCs w:val="18"/>
                <w:lang w:eastAsia="cs-CZ"/>
              </w:rPr>
              <w:t>ční alokace</w:t>
            </w:r>
            <w:r w:rsidR="009B66B5">
              <w:rPr>
                <w:rFonts w:asciiTheme="minorHAnsi" w:eastAsia="Times New Roman" w:hAnsiTheme="minorHAnsi" w:cstheme="minorHAnsi"/>
                <w:color w:val="000000"/>
                <w:sz w:val="18"/>
                <w:szCs w:val="18"/>
                <w:lang w:eastAsia="cs-CZ"/>
              </w:rPr>
              <w:t xml:space="preserve"> v </w:t>
            </w:r>
            <w:r w:rsidRPr="00524CC9">
              <w:rPr>
                <w:rFonts w:asciiTheme="minorHAnsi" w:eastAsia="Times New Roman" w:hAnsiTheme="minorHAnsi" w:cstheme="minorHAnsi"/>
                <w:color w:val="000000"/>
                <w:sz w:val="18"/>
                <w:szCs w:val="18"/>
                <w:lang w:eastAsia="cs-CZ"/>
              </w:rPr>
              <w:t>ČR / mil. €</w:t>
            </w:r>
          </w:p>
        </w:tc>
        <w:tc>
          <w:tcPr>
            <w:tcW w:w="632" w:type="pct"/>
            <w:hideMark/>
          </w:tcPr>
          <w:p w14:paraId="5C494B75" w14:textId="77777777" w:rsidR="00524CC9" w:rsidRPr="00524CC9" w:rsidRDefault="00524CC9" w:rsidP="00524CC9">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524CC9">
              <w:rPr>
                <w:rFonts w:asciiTheme="minorHAnsi" w:eastAsia="Times New Roman" w:hAnsiTheme="minorHAnsi" w:cstheme="minorHAnsi"/>
                <w:color w:val="000000"/>
                <w:sz w:val="18"/>
                <w:szCs w:val="18"/>
                <w:lang w:eastAsia="cs-CZ"/>
              </w:rPr>
              <w:t>Návaznost na předcházející</w:t>
            </w:r>
          </w:p>
        </w:tc>
      </w:tr>
      <w:tr w:rsidR="00F00D81" w:rsidRPr="00524CC9" w14:paraId="6901818D" w14:textId="77777777" w:rsidTr="00F00D81">
        <w:trPr>
          <w:trHeight w:val="763"/>
        </w:trPr>
        <w:tc>
          <w:tcPr>
            <w:cnfStyle w:val="001000000000" w:firstRow="0" w:lastRow="0" w:firstColumn="1" w:lastColumn="0" w:oddVBand="0" w:evenVBand="0" w:oddHBand="0" w:evenHBand="0" w:firstRowFirstColumn="0" w:firstRowLastColumn="0" w:lastRowFirstColumn="0" w:lastRowLastColumn="0"/>
            <w:tcW w:w="679" w:type="pct"/>
            <w:hideMark/>
          </w:tcPr>
          <w:p w14:paraId="00216D0E" w14:textId="77777777" w:rsidR="00524CC9" w:rsidRPr="00524CC9" w:rsidRDefault="00524CC9" w:rsidP="00F00D81">
            <w:pPr>
              <w:spacing w:before="0" w:after="0"/>
              <w:jc w:val="left"/>
              <w:rPr>
                <w:rFonts w:asciiTheme="minorHAnsi" w:eastAsia="Times New Roman" w:hAnsiTheme="minorHAnsi" w:cstheme="minorHAnsi"/>
                <w:color w:val="000000"/>
                <w:sz w:val="18"/>
                <w:szCs w:val="18"/>
                <w:lang w:eastAsia="cs-CZ"/>
              </w:rPr>
            </w:pPr>
            <w:r w:rsidRPr="00524CC9">
              <w:rPr>
                <w:rFonts w:asciiTheme="minorHAnsi" w:eastAsia="Times New Roman" w:hAnsiTheme="minorHAnsi" w:cstheme="minorHAnsi"/>
                <w:color w:val="000000"/>
                <w:sz w:val="18"/>
                <w:szCs w:val="18"/>
                <w:lang w:eastAsia="cs-CZ"/>
              </w:rPr>
              <w:t>Biodiversa+</w:t>
            </w:r>
          </w:p>
        </w:tc>
        <w:tc>
          <w:tcPr>
            <w:tcW w:w="1465" w:type="pct"/>
            <w:hideMark/>
          </w:tcPr>
          <w:p w14:paraId="1D61741A" w14:textId="77777777" w:rsidR="00524CC9" w:rsidRPr="00524CC9" w:rsidRDefault="00524CC9" w:rsidP="00C0154A">
            <w:pPr>
              <w:spacing w:before="0" w:after="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524CC9">
              <w:rPr>
                <w:rFonts w:asciiTheme="minorHAnsi" w:eastAsia="Times New Roman" w:hAnsiTheme="minorHAnsi" w:cstheme="minorHAnsi"/>
                <w:color w:val="000000"/>
                <w:sz w:val="18"/>
                <w:szCs w:val="18"/>
                <w:lang w:eastAsia="cs-CZ"/>
              </w:rPr>
              <w:t>Rescuing biodiversity to safeguard life on Earth</w:t>
            </w:r>
          </w:p>
        </w:tc>
        <w:tc>
          <w:tcPr>
            <w:tcW w:w="437" w:type="pct"/>
            <w:hideMark/>
          </w:tcPr>
          <w:p w14:paraId="3EAFD4E5" w14:textId="77777777" w:rsidR="00524CC9" w:rsidRPr="00524CC9" w:rsidRDefault="00524CC9" w:rsidP="00524CC9">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524CC9">
              <w:rPr>
                <w:rFonts w:asciiTheme="minorHAnsi" w:eastAsia="Times New Roman" w:hAnsiTheme="minorHAnsi" w:cstheme="minorHAnsi"/>
                <w:color w:val="000000"/>
                <w:sz w:val="18"/>
                <w:szCs w:val="18"/>
                <w:lang w:eastAsia="cs-CZ"/>
              </w:rPr>
              <w:t>01.10.2021</w:t>
            </w:r>
          </w:p>
        </w:tc>
        <w:tc>
          <w:tcPr>
            <w:tcW w:w="417" w:type="pct"/>
            <w:hideMark/>
          </w:tcPr>
          <w:p w14:paraId="7A871B65" w14:textId="77777777" w:rsidR="00524CC9" w:rsidRPr="00524CC9" w:rsidRDefault="00524CC9" w:rsidP="00524CC9">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524CC9">
              <w:rPr>
                <w:rFonts w:asciiTheme="minorHAnsi" w:eastAsia="Times New Roman" w:hAnsiTheme="minorHAnsi" w:cstheme="minorHAnsi"/>
                <w:color w:val="000000"/>
                <w:sz w:val="18"/>
                <w:szCs w:val="18"/>
                <w:lang w:eastAsia="cs-CZ"/>
              </w:rPr>
              <w:t>30.09.2028</w:t>
            </w:r>
          </w:p>
        </w:tc>
        <w:tc>
          <w:tcPr>
            <w:tcW w:w="652" w:type="pct"/>
            <w:hideMark/>
          </w:tcPr>
          <w:p w14:paraId="2C32F977" w14:textId="77777777" w:rsidR="00524CC9" w:rsidRPr="00524CC9" w:rsidRDefault="00524CC9" w:rsidP="00524CC9">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524CC9">
              <w:rPr>
                <w:rFonts w:asciiTheme="minorHAnsi" w:eastAsia="Times New Roman" w:hAnsiTheme="minorHAnsi" w:cstheme="minorHAnsi"/>
                <w:color w:val="000000"/>
                <w:sz w:val="18"/>
                <w:szCs w:val="18"/>
                <w:lang w:eastAsia="cs-CZ"/>
              </w:rPr>
              <w:t>TA ČR (navázáno na program MŽP - Prostředí pro život)</w:t>
            </w:r>
          </w:p>
        </w:tc>
        <w:tc>
          <w:tcPr>
            <w:tcW w:w="719" w:type="pct"/>
            <w:noWrap/>
            <w:hideMark/>
          </w:tcPr>
          <w:p w14:paraId="3A9902CD" w14:textId="77777777" w:rsidR="00524CC9" w:rsidRPr="00524CC9" w:rsidRDefault="00524CC9" w:rsidP="00524CC9">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524CC9">
              <w:rPr>
                <w:rFonts w:asciiTheme="minorHAnsi" w:eastAsia="Times New Roman" w:hAnsiTheme="minorHAnsi" w:cstheme="minorHAnsi"/>
                <w:color w:val="000000"/>
                <w:sz w:val="18"/>
                <w:szCs w:val="18"/>
                <w:lang w:eastAsia="cs-CZ"/>
              </w:rPr>
              <w:t>4,4</w:t>
            </w:r>
          </w:p>
        </w:tc>
        <w:tc>
          <w:tcPr>
            <w:tcW w:w="632" w:type="pct"/>
            <w:hideMark/>
          </w:tcPr>
          <w:p w14:paraId="1B0D51A2" w14:textId="77777777" w:rsidR="00524CC9" w:rsidRPr="00524CC9" w:rsidRDefault="00524CC9" w:rsidP="00524CC9">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524CC9">
              <w:rPr>
                <w:rFonts w:asciiTheme="minorHAnsi" w:eastAsia="Times New Roman" w:hAnsiTheme="minorHAnsi" w:cstheme="minorHAnsi"/>
                <w:color w:val="000000"/>
                <w:sz w:val="18"/>
                <w:szCs w:val="18"/>
                <w:lang w:eastAsia="cs-CZ"/>
              </w:rPr>
              <w:t xml:space="preserve">BiodivClim </w:t>
            </w:r>
            <w:r w:rsidRPr="00524CC9">
              <w:rPr>
                <w:rFonts w:asciiTheme="minorHAnsi" w:eastAsia="Times New Roman" w:hAnsiTheme="minorHAnsi" w:cstheme="minorHAnsi"/>
                <w:color w:val="000000"/>
                <w:sz w:val="18"/>
                <w:szCs w:val="18"/>
                <w:lang w:eastAsia="cs-CZ"/>
              </w:rPr>
              <w:br/>
              <w:t>BiodivRestore</w:t>
            </w:r>
          </w:p>
        </w:tc>
      </w:tr>
      <w:tr w:rsidR="00F00D81" w:rsidRPr="00524CC9" w14:paraId="44FE7A4A" w14:textId="77777777" w:rsidTr="00F00D81">
        <w:trPr>
          <w:trHeight w:val="763"/>
        </w:trPr>
        <w:tc>
          <w:tcPr>
            <w:cnfStyle w:val="001000000000" w:firstRow="0" w:lastRow="0" w:firstColumn="1" w:lastColumn="0" w:oddVBand="0" w:evenVBand="0" w:oddHBand="0" w:evenHBand="0" w:firstRowFirstColumn="0" w:firstRowLastColumn="0" w:lastRowFirstColumn="0" w:lastRowLastColumn="0"/>
            <w:tcW w:w="679" w:type="pct"/>
            <w:noWrap/>
            <w:hideMark/>
          </w:tcPr>
          <w:p w14:paraId="79D3E5EC" w14:textId="77777777" w:rsidR="00524CC9" w:rsidRPr="00524CC9" w:rsidRDefault="00FA7752" w:rsidP="00F00D81">
            <w:pPr>
              <w:spacing w:before="0" w:after="0"/>
              <w:jc w:val="left"/>
              <w:rPr>
                <w:rFonts w:asciiTheme="minorHAnsi" w:eastAsia="Times New Roman" w:hAnsiTheme="minorHAnsi" w:cstheme="minorHAnsi"/>
                <w:color w:val="000000"/>
                <w:sz w:val="18"/>
                <w:szCs w:val="18"/>
                <w:lang w:eastAsia="cs-CZ"/>
              </w:rPr>
            </w:pPr>
            <w:hyperlink r:id="rId40" w:history="1">
              <w:r w:rsidR="00524CC9" w:rsidRPr="00524CC9">
                <w:rPr>
                  <w:rFonts w:asciiTheme="minorHAnsi" w:eastAsia="Times New Roman" w:hAnsiTheme="minorHAnsi" w:cstheme="minorHAnsi"/>
                  <w:color w:val="000000"/>
                  <w:sz w:val="18"/>
                  <w:szCs w:val="18"/>
                  <w:lang w:eastAsia="cs-CZ"/>
                </w:rPr>
                <w:t>Water4All</w:t>
              </w:r>
            </w:hyperlink>
          </w:p>
        </w:tc>
        <w:tc>
          <w:tcPr>
            <w:tcW w:w="1465" w:type="pct"/>
            <w:hideMark/>
          </w:tcPr>
          <w:p w14:paraId="5128778F" w14:textId="77777777" w:rsidR="00524CC9" w:rsidRPr="00524CC9" w:rsidRDefault="00524CC9" w:rsidP="00C0154A">
            <w:pPr>
              <w:spacing w:before="0" w:after="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524CC9">
              <w:rPr>
                <w:rFonts w:asciiTheme="minorHAnsi" w:eastAsia="Times New Roman" w:hAnsiTheme="minorHAnsi" w:cstheme="minorHAnsi"/>
                <w:color w:val="000000"/>
                <w:sz w:val="18"/>
                <w:szCs w:val="18"/>
                <w:lang w:eastAsia="cs-CZ"/>
              </w:rPr>
              <w:t>Water security for the planet</w:t>
            </w:r>
          </w:p>
        </w:tc>
        <w:tc>
          <w:tcPr>
            <w:tcW w:w="437" w:type="pct"/>
            <w:hideMark/>
          </w:tcPr>
          <w:p w14:paraId="187F8749" w14:textId="77777777" w:rsidR="00524CC9" w:rsidRPr="00524CC9" w:rsidRDefault="00524CC9" w:rsidP="00524CC9">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524CC9">
              <w:rPr>
                <w:rFonts w:asciiTheme="minorHAnsi" w:eastAsia="Times New Roman" w:hAnsiTheme="minorHAnsi" w:cstheme="minorHAnsi"/>
                <w:color w:val="000000"/>
                <w:sz w:val="18"/>
                <w:szCs w:val="18"/>
                <w:lang w:eastAsia="cs-CZ"/>
              </w:rPr>
              <w:t>01.06.2022</w:t>
            </w:r>
          </w:p>
        </w:tc>
        <w:tc>
          <w:tcPr>
            <w:tcW w:w="417" w:type="pct"/>
            <w:hideMark/>
          </w:tcPr>
          <w:p w14:paraId="6F75C94B" w14:textId="77777777" w:rsidR="00524CC9" w:rsidRPr="00524CC9" w:rsidRDefault="00524CC9" w:rsidP="00524CC9">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524CC9">
              <w:rPr>
                <w:rFonts w:asciiTheme="minorHAnsi" w:eastAsia="Times New Roman" w:hAnsiTheme="minorHAnsi" w:cstheme="minorHAnsi"/>
                <w:color w:val="000000"/>
                <w:sz w:val="18"/>
                <w:szCs w:val="18"/>
                <w:lang w:eastAsia="cs-CZ"/>
              </w:rPr>
              <w:t>31.05.2029</w:t>
            </w:r>
          </w:p>
        </w:tc>
        <w:tc>
          <w:tcPr>
            <w:tcW w:w="652" w:type="pct"/>
            <w:hideMark/>
          </w:tcPr>
          <w:p w14:paraId="14B830EB" w14:textId="77777777" w:rsidR="00524CC9" w:rsidRPr="00524CC9" w:rsidRDefault="00524CC9" w:rsidP="00524CC9">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524CC9">
              <w:rPr>
                <w:rFonts w:asciiTheme="minorHAnsi" w:eastAsia="Times New Roman" w:hAnsiTheme="minorHAnsi" w:cstheme="minorHAnsi"/>
                <w:color w:val="000000"/>
                <w:sz w:val="18"/>
                <w:szCs w:val="18"/>
                <w:lang w:eastAsia="cs-CZ"/>
              </w:rPr>
              <w:t>TA ČR (navázáno na program MŽP - Prostředí pro život)</w:t>
            </w:r>
          </w:p>
        </w:tc>
        <w:tc>
          <w:tcPr>
            <w:tcW w:w="719" w:type="pct"/>
            <w:noWrap/>
            <w:hideMark/>
          </w:tcPr>
          <w:p w14:paraId="793965C8" w14:textId="77777777" w:rsidR="00524CC9" w:rsidRPr="00524CC9" w:rsidRDefault="00524CC9" w:rsidP="00524CC9">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524CC9">
              <w:rPr>
                <w:rFonts w:asciiTheme="minorHAnsi" w:eastAsia="Times New Roman" w:hAnsiTheme="minorHAnsi" w:cstheme="minorHAnsi"/>
                <w:color w:val="000000"/>
                <w:sz w:val="18"/>
                <w:szCs w:val="18"/>
                <w:lang w:eastAsia="cs-CZ"/>
              </w:rPr>
              <w:t>2,2</w:t>
            </w:r>
          </w:p>
        </w:tc>
        <w:tc>
          <w:tcPr>
            <w:tcW w:w="632" w:type="pct"/>
            <w:hideMark/>
          </w:tcPr>
          <w:p w14:paraId="2A02B5A0" w14:textId="77777777" w:rsidR="00524CC9" w:rsidRPr="00524CC9" w:rsidRDefault="00524CC9" w:rsidP="00524CC9">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524CC9">
              <w:rPr>
                <w:rFonts w:asciiTheme="minorHAnsi" w:eastAsia="Times New Roman" w:hAnsiTheme="minorHAnsi" w:cstheme="minorHAnsi"/>
                <w:color w:val="000000"/>
                <w:sz w:val="18"/>
                <w:szCs w:val="18"/>
                <w:lang w:eastAsia="cs-CZ"/>
              </w:rPr>
              <w:t>Aquatic Pollutants</w:t>
            </w:r>
          </w:p>
        </w:tc>
      </w:tr>
      <w:tr w:rsidR="00F00D81" w:rsidRPr="00524CC9" w14:paraId="2832F889" w14:textId="77777777" w:rsidTr="00F00D81">
        <w:trPr>
          <w:trHeight w:val="763"/>
        </w:trPr>
        <w:tc>
          <w:tcPr>
            <w:cnfStyle w:val="001000000000" w:firstRow="0" w:lastRow="0" w:firstColumn="1" w:lastColumn="0" w:oddVBand="0" w:evenVBand="0" w:oddHBand="0" w:evenHBand="0" w:firstRowFirstColumn="0" w:firstRowLastColumn="0" w:lastRowFirstColumn="0" w:lastRowLastColumn="0"/>
            <w:tcW w:w="679" w:type="pct"/>
            <w:hideMark/>
          </w:tcPr>
          <w:p w14:paraId="71A64771" w14:textId="77777777" w:rsidR="00524CC9" w:rsidRPr="00524CC9" w:rsidRDefault="00FA7752" w:rsidP="00F00D81">
            <w:pPr>
              <w:spacing w:before="0" w:after="0"/>
              <w:jc w:val="left"/>
              <w:rPr>
                <w:rFonts w:asciiTheme="minorHAnsi" w:eastAsia="Times New Roman" w:hAnsiTheme="minorHAnsi" w:cstheme="minorHAnsi"/>
                <w:color w:val="000000"/>
                <w:sz w:val="18"/>
                <w:szCs w:val="18"/>
                <w:lang w:eastAsia="cs-CZ"/>
              </w:rPr>
            </w:pPr>
            <w:hyperlink r:id="rId41" w:history="1">
              <w:r w:rsidR="00524CC9" w:rsidRPr="00524CC9">
                <w:rPr>
                  <w:rFonts w:asciiTheme="minorHAnsi" w:eastAsia="Times New Roman" w:hAnsiTheme="minorHAnsi" w:cstheme="minorHAnsi"/>
                  <w:color w:val="000000"/>
                  <w:sz w:val="18"/>
                  <w:szCs w:val="18"/>
                  <w:lang w:eastAsia="cs-CZ"/>
                </w:rPr>
                <w:t>Clean Energy Transition (CETP)</w:t>
              </w:r>
            </w:hyperlink>
          </w:p>
        </w:tc>
        <w:tc>
          <w:tcPr>
            <w:tcW w:w="1465" w:type="pct"/>
            <w:hideMark/>
          </w:tcPr>
          <w:p w14:paraId="130F9CBC" w14:textId="77777777" w:rsidR="00524CC9" w:rsidRPr="00524CC9" w:rsidRDefault="00524CC9" w:rsidP="00C0154A">
            <w:pPr>
              <w:spacing w:before="0" w:after="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524CC9">
              <w:rPr>
                <w:rFonts w:asciiTheme="minorHAnsi" w:eastAsia="Times New Roman" w:hAnsiTheme="minorHAnsi" w:cstheme="minorHAnsi"/>
                <w:color w:val="000000"/>
                <w:sz w:val="18"/>
                <w:szCs w:val="18"/>
                <w:lang w:eastAsia="cs-CZ"/>
              </w:rPr>
              <w:t>Clean Energy Transition</w:t>
            </w:r>
          </w:p>
        </w:tc>
        <w:tc>
          <w:tcPr>
            <w:tcW w:w="437" w:type="pct"/>
            <w:hideMark/>
          </w:tcPr>
          <w:p w14:paraId="58FC9450" w14:textId="77777777" w:rsidR="00524CC9" w:rsidRPr="00524CC9" w:rsidRDefault="00524CC9" w:rsidP="00524CC9">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524CC9">
              <w:rPr>
                <w:rFonts w:asciiTheme="minorHAnsi" w:eastAsia="Times New Roman" w:hAnsiTheme="minorHAnsi" w:cstheme="minorHAnsi"/>
                <w:color w:val="000000"/>
                <w:sz w:val="18"/>
                <w:szCs w:val="18"/>
                <w:lang w:eastAsia="cs-CZ"/>
              </w:rPr>
              <w:t>01.05.2022</w:t>
            </w:r>
          </w:p>
        </w:tc>
        <w:tc>
          <w:tcPr>
            <w:tcW w:w="417" w:type="pct"/>
            <w:hideMark/>
          </w:tcPr>
          <w:p w14:paraId="6CD2ADDB" w14:textId="77777777" w:rsidR="00524CC9" w:rsidRPr="00524CC9" w:rsidRDefault="00524CC9" w:rsidP="00524CC9">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524CC9">
              <w:rPr>
                <w:rFonts w:asciiTheme="minorHAnsi" w:eastAsia="Times New Roman" w:hAnsiTheme="minorHAnsi" w:cstheme="minorHAnsi"/>
                <w:color w:val="000000"/>
                <w:sz w:val="18"/>
                <w:szCs w:val="18"/>
                <w:lang w:eastAsia="cs-CZ"/>
              </w:rPr>
              <w:t>31.12.2028</w:t>
            </w:r>
          </w:p>
        </w:tc>
        <w:tc>
          <w:tcPr>
            <w:tcW w:w="652" w:type="pct"/>
            <w:hideMark/>
          </w:tcPr>
          <w:p w14:paraId="6964A0DE" w14:textId="77777777" w:rsidR="00524CC9" w:rsidRPr="00524CC9" w:rsidRDefault="00524CC9" w:rsidP="00524CC9">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524CC9">
              <w:rPr>
                <w:rFonts w:asciiTheme="minorHAnsi" w:eastAsia="Times New Roman" w:hAnsiTheme="minorHAnsi" w:cstheme="minorHAnsi"/>
                <w:color w:val="000000"/>
                <w:sz w:val="18"/>
                <w:szCs w:val="18"/>
                <w:lang w:eastAsia="cs-CZ"/>
              </w:rPr>
              <w:t>TA ČR</w:t>
            </w:r>
          </w:p>
        </w:tc>
        <w:tc>
          <w:tcPr>
            <w:tcW w:w="719" w:type="pct"/>
            <w:hideMark/>
          </w:tcPr>
          <w:p w14:paraId="547C5DA8" w14:textId="77777777" w:rsidR="00524CC9" w:rsidRPr="00524CC9" w:rsidRDefault="00524CC9" w:rsidP="00524CC9">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524CC9">
              <w:rPr>
                <w:rFonts w:asciiTheme="minorHAnsi" w:eastAsia="Times New Roman" w:hAnsiTheme="minorHAnsi" w:cstheme="minorHAnsi"/>
                <w:color w:val="000000"/>
                <w:sz w:val="18"/>
                <w:szCs w:val="18"/>
                <w:lang w:eastAsia="cs-CZ"/>
              </w:rPr>
              <w:t>6 (oblast energetiky)</w:t>
            </w:r>
            <w:r w:rsidRPr="00524CC9">
              <w:rPr>
                <w:rFonts w:asciiTheme="minorHAnsi" w:eastAsia="Times New Roman" w:hAnsiTheme="minorHAnsi" w:cstheme="minorHAnsi"/>
                <w:color w:val="000000"/>
                <w:sz w:val="18"/>
                <w:szCs w:val="18"/>
                <w:lang w:eastAsia="cs-CZ"/>
              </w:rPr>
              <w:br/>
              <w:t>2,2 (oblast ŽP)</w:t>
            </w:r>
          </w:p>
        </w:tc>
        <w:tc>
          <w:tcPr>
            <w:tcW w:w="632" w:type="pct"/>
            <w:hideMark/>
          </w:tcPr>
          <w:p w14:paraId="4221DD48" w14:textId="77777777" w:rsidR="00524CC9" w:rsidRPr="00524CC9" w:rsidRDefault="00524CC9" w:rsidP="00524CC9">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524CC9">
              <w:rPr>
                <w:rFonts w:asciiTheme="minorHAnsi" w:eastAsia="Times New Roman" w:hAnsiTheme="minorHAnsi" w:cstheme="minorHAnsi"/>
                <w:color w:val="000000"/>
                <w:sz w:val="18"/>
                <w:szCs w:val="18"/>
                <w:lang w:eastAsia="cs-CZ"/>
              </w:rPr>
              <w:t>EnerDigit</w:t>
            </w:r>
          </w:p>
        </w:tc>
      </w:tr>
      <w:tr w:rsidR="00F00D81" w:rsidRPr="00524CC9" w14:paraId="1B9235AA" w14:textId="77777777" w:rsidTr="00F00D81">
        <w:trPr>
          <w:trHeight w:val="763"/>
        </w:trPr>
        <w:tc>
          <w:tcPr>
            <w:cnfStyle w:val="001000000000" w:firstRow="0" w:lastRow="0" w:firstColumn="1" w:lastColumn="0" w:oddVBand="0" w:evenVBand="0" w:oddHBand="0" w:evenHBand="0" w:firstRowFirstColumn="0" w:firstRowLastColumn="0" w:lastRowFirstColumn="0" w:lastRowLastColumn="0"/>
            <w:tcW w:w="679" w:type="pct"/>
            <w:hideMark/>
          </w:tcPr>
          <w:p w14:paraId="46757064" w14:textId="77777777" w:rsidR="00524CC9" w:rsidRPr="00524CC9" w:rsidRDefault="00FA7752" w:rsidP="00F00D81">
            <w:pPr>
              <w:spacing w:before="0" w:after="0"/>
              <w:jc w:val="left"/>
              <w:rPr>
                <w:rFonts w:asciiTheme="minorHAnsi" w:eastAsia="Times New Roman" w:hAnsiTheme="minorHAnsi" w:cstheme="minorHAnsi"/>
                <w:color w:val="000000"/>
                <w:sz w:val="18"/>
                <w:szCs w:val="18"/>
                <w:lang w:eastAsia="cs-CZ"/>
              </w:rPr>
            </w:pPr>
            <w:hyperlink r:id="rId42" w:history="1">
              <w:r w:rsidR="00524CC9" w:rsidRPr="00524CC9">
                <w:rPr>
                  <w:rFonts w:asciiTheme="minorHAnsi" w:eastAsia="Times New Roman" w:hAnsiTheme="minorHAnsi" w:cstheme="minorHAnsi"/>
                  <w:color w:val="000000"/>
                  <w:sz w:val="18"/>
                  <w:szCs w:val="18"/>
                  <w:lang w:eastAsia="cs-CZ"/>
                </w:rPr>
                <w:t>Driving Urban Transition (DUT)</w:t>
              </w:r>
            </w:hyperlink>
          </w:p>
        </w:tc>
        <w:tc>
          <w:tcPr>
            <w:tcW w:w="1465" w:type="pct"/>
            <w:hideMark/>
          </w:tcPr>
          <w:p w14:paraId="22659741" w14:textId="77777777" w:rsidR="00524CC9" w:rsidRPr="00524CC9" w:rsidRDefault="00524CC9" w:rsidP="00C0154A">
            <w:pPr>
              <w:spacing w:before="0" w:after="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524CC9">
              <w:rPr>
                <w:rFonts w:asciiTheme="minorHAnsi" w:eastAsia="Times New Roman" w:hAnsiTheme="minorHAnsi" w:cstheme="minorHAnsi"/>
                <w:color w:val="000000"/>
                <w:sz w:val="18"/>
                <w:szCs w:val="18"/>
                <w:lang w:eastAsia="cs-CZ"/>
              </w:rPr>
              <w:t>Driving Urban Transition</w:t>
            </w:r>
          </w:p>
        </w:tc>
        <w:tc>
          <w:tcPr>
            <w:tcW w:w="437" w:type="pct"/>
            <w:hideMark/>
          </w:tcPr>
          <w:p w14:paraId="2E6853CF" w14:textId="77777777" w:rsidR="00524CC9" w:rsidRPr="00524CC9" w:rsidRDefault="00524CC9" w:rsidP="00524CC9">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524CC9">
              <w:rPr>
                <w:rFonts w:asciiTheme="minorHAnsi" w:eastAsia="Times New Roman" w:hAnsiTheme="minorHAnsi" w:cstheme="minorHAnsi"/>
                <w:color w:val="000000"/>
                <w:sz w:val="18"/>
                <w:szCs w:val="18"/>
                <w:lang w:eastAsia="cs-CZ"/>
              </w:rPr>
              <w:t>01.01.2022</w:t>
            </w:r>
          </w:p>
        </w:tc>
        <w:tc>
          <w:tcPr>
            <w:tcW w:w="417" w:type="pct"/>
            <w:hideMark/>
          </w:tcPr>
          <w:p w14:paraId="7363F2B4" w14:textId="77777777" w:rsidR="00524CC9" w:rsidRPr="00524CC9" w:rsidRDefault="00524CC9" w:rsidP="00524CC9">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524CC9">
              <w:rPr>
                <w:rFonts w:asciiTheme="minorHAnsi" w:eastAsia="Times New Roman" w:hAnsiTheme="minorHAnsi" w:cstheme="minorHAnsi"/>
                <w:color w:val="000000"/>
                <w:sz w:val="18"/>
                <w:szCs w:val="18"/>
                <w:lang w:eastAsia="cs-CZ"/>
              </w:rPr>
              <w:t>31.12.2028</w:t>
            </w:r>
          </w:p>
        </w:tc>
        <w:tc>
          <w:tcPr>
            <w:tcW w:w="652" w:type="pct"/>
            <w:hideMark/>
          </w:tcPr>
          <w:p w14:paraId="5C62E0AB" w14:textId="77777777" w:rsidR="00524CC9" w:rsidRPr="00524CC9" w:rsidRDefault="00524CC9" w:rsidP="00524CC9">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524CC9">
              <w:rPr>
                <w:rFonts w:asciiTheme="minorHAnsi" w:eastAsia="Times New Roman" w:hAnsiTheme="minorHAnsi" w:cstheme="minorHAnsi"/>
                <w:color w:val="000000"/>
                <w:sz w:val="18"/>
                <w:szCs w:val="18"/>
                <w:lang w:eastAsia="cs-CZ"/>
              </w:rPr>
              <w:t>TA ČR</w:t>
            </w:r>
          </w:p>
        </w:tc>
        <w:tc>
          <w:tcPr>
            <w:tcW w:w="719" w:type="pct"/>
            <w:noWrap/>
            <w:hideMark/>
          </w:tcPr>
          <w:p w14:paraId="5851F4EF" w14:textId="77777777" w:rsidR="00524CC9" w:rsidRPr="00524CC9" w:rsidRDefault="00524CC9" w:rsidP="00524CC9">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524CC9">
              <w:rPr>
                <w:rFonts w:asciiTheme="minorHAnsi" w:eastAsia="Times New Roman" w:hAnsiTheme="minorHAnsi" w:cstheme="minorHAnsi"/>
                <w:color w:val="000000"/>
                <w:sz w:val="18"/>
                <w:szCs w:val="18"/>
                <w:lang w:eastAsia="cs-CZ"/>
              </w:rPr>
              <w:t>6</w:t>
            </w:r>
          </w:p>
        </w:tc>
        <w:tc>
          <w:tcPr>
            <w:tcW w:w="632" w:type="pct"/>
            <w:noWrap/>
            <w:hideMark/>
          </w:tcPr>
          <w:p w14:paraId="5B2E557B" w14:textId="77777777" w:rsidR="00524CC9" w:rsidRPr="00524CC9" w:rsidRDefault="00524CC9" w:rsidP="00524CC9">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524CC9">
              <w:rPr>
                <w:rFonts w:asciiTheme="minorHAnsi" w:eastAsia="Times New Roman" w:hAnsiTheme="minorHAnsi" w:cstheme="minorHAnsi"/>
                <w:color w:val="000000"/>
                <w:sz w:val="18"/>
                <w:szCs w:val="18"/>
                <w:lang w:eastAsia="cs-CZ"/>
              </w:rPr>
              <w:t>nové</w:t>
            </w:r>
          </w:p>
        </w:tc>
      </w:tr>
      <w:tr w:rsidR="00F00D81" w:rsidRPr="00524CC9" w14:paraId="2C5F5CF3" w14:textId="77777777" w:rsidTr="00F00D81">
        <w:trPr>
          <w:trHeight w:val="763"/>
        </w:trPr>
        <w:tc>
          <w:tcPr>
            <w:cnfStyle w:val="001000000000" w:firstRow="0" w:lastRow="0" w:firstColumn="1" w:lastColumn="0" w:oddVBand="0" w:evenVBand="0" w:oddHBand="0" w:evenHBand="0" w:firstRowFirstColumn="0" w:firstRowLastColumn="0" w:lastRowFirstColumn="0" w:lastRowLastColumn="0"/>
            <w:tcW w:w="679" w:type="pct"/>
            <w:hideMark/>
          </w:tcPr>
          <w:p w14:paraId="53217666" w14:textId="77777777" w:rsidR="00524CC9" w:rsidRPr="00524CC9" w:rsidRDefault="00524CC9" w:rsidP="00F00D81">
            <w:pPr>
              <w:spacing w:before="0" w:after="0"/>
              <w:jc w:val="left"/>
              <w:rPr>
                <w:rFonts w:asciiTheme="minorHAnsi" w:eastAsia="Times New Roman" w:hAnsiTheme="minorHAnsi" w:cstheme="minorHAnsi"/>
                <w:color w:val="000000"/>
                <w:sz w:val="18"/>
                <w:szCs w:val="18"/>
                <w:lang w:eastAsia="cs-CZ"/>
              </w:rPr>
            </w:pPr>
            <w:r w:rsidRPr="00524CC9">
              <w:rPr>
                <w:rFonts w:asciiTheme="minorHAnsi" w:eastAsia="Times New Roman" w:hAnsiTheme="minorHAnsi" w:cstheme="minorHAnsi"/>
                <w:color w:val="000000"/>
                <w:sz w:val="18"/>
                <w:szCs w:val="18"/>
                <w:lang w:eastAsia="cs-CZ"/>
              </w:rPr>
              <w:t>EnerDigit</w:t>
            </w:r>
          </w:p>
        </w:tc>
        <w:tc>
          <w:tcPr>
            <w:tcW w:w="1465" w:type="pct"/>
            <w:hideMark/>
          </w:tcPr>
          <w:p w14:paraId="45C8175F" w14:textId="77777777" w:rsidR="00524CC9" w:rsidRPr="00524CC9" w:rsidRDefault="00524CC9" w:rsidP="00C0154A">
            <w:pPr>
              <w:spacing w:before="0" w:after="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524CC9">
              <w:rPr>
                <w:rFonts w:asciiTheme="minorHAnsi" w:eastAsia="Times New Roman" w:hAnsiTheme="minorHAnsi" w:cstheme="minorHAnsi"/>
                <w:color w:val="000000"/>
                <w:sz w:val="18"/>
                <w:szCs w:val="18"/>
                <w:lang w:eastAsia="cs-CZ"/>
              </w:rPr>
              <w:t>ERA-Net Digitalisation of Energy Systems and Networks</w:t>
            </w:r>
          </w:p>
        </w:tc>
        <w:tc>
          <w:tcPr>
            <w:tcW w:w="437" w:type="pct"/>
            <w:hideMark/>
          </w:tcPr>
          <w:p w14:paraId="28357C11" w14:textId="77777777" w:rsidR="00524CC9" w:rsidRPr="00524CC9" w:rsidRDefault="00524CC9" w:rsidP="00524CC9">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524CC9">
              <w:rPr>
                <w:rFonts w:asciiTheme="minorHAnsi" w:eastAsia="Times New Roman" w:hAnsiTheme="minorHAnsi" w:cstheme="minorHAnsi"/>
                <w:color w:val="000000"/>
                <w:sz w:val="18"/>
                <w:szCs w:val="18"/>
                <w:lang w:eastAsia="cs-CZ"/>
              </w:rPr>
              <w:t>01.12.2020</w:t>
            </w:r>
          </w:p>
        </w:tc>
        <w:tc>
          <w:tcPr>
            <w:tcW w:w="417" w:type="pct"/>
            <w:hideMark/>
          </w:tcPr>
          <w:p w14:paraId="26E568E0" w14:textId="77777777" w:rsidR="00524CC9" w:rsidRPr="00524CC9" w:rsidRDefault="00524CC9" w:rsidP="00524CC9">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524CC9">
              <w:rPr>
                <w:rFonts w:asciiTheme="minorHAnsi" w:eastAsia="Times New Roman" w:hAnsiTheme="minorHAnsi" w:cstheme="minorHAnsi"/>
                <w:color w:val="000000"/>
                <w:sz w:val="18"/>
                <w:szCs w:val="18"/>
                <w:lang w:eastAsia="cs-CZ"/>
              </w:rPr>
              <w:t>30.11.2025</w:t>
            </w:r>
          </w:p>
        </w:tc>
        <w:tc>
          <w:tcPr>
            <w:tcW w:w="652" w:type="pct"/>
            <w:hideMark/>
          </w:tcPr>
          <w:p w14:paraId="49F524E7" w14:textId="77777777" w:rsidR="00524CC9" w:rsidRPr="00524CC9" w:rsidRDefault="00524CC9" w:rsidP="00524CC9">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524CC9">
              <w:rPr>
                <w:rFonts w:asciiTheme="minorHAnsi" w:eastAsia="Times New Roman" w:hAnsiTheme="minorHAnsi" w:cstheme="minorHAnsi"/>
                <w:color w:val="000000"/>
                <w:sz w:val="18"/>
                <w:szCs w:val="18"/>
                <w:lang w:eastAsia="cs-CZ"/>
              </w:rPr>
              <w:t>TA ČR</w:t>
            </w:r>
          </w:p>
        </w:tc>
        <w:tc>
          <w:tcPr>
            <w:tcW w:w="719" w:type="pct"/>
            <w:hideMark/>
          </w:tcPr>
          <w:p w14:paraId="5C958F5A" w14:textId="77777777" w:rsidR="00524CC9" w:rsidRPr="00524CC9" w:rsidRDefault="00524CC9" w:rsidP="00524CC9">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524CC9">
              <w:rPr>
                <w:rFonts w:asciiTheme="minorHAnsi" w:eastAsia="Times New Roman" w:hAnsiTheme="minorHAnsi" w:cstheme="minorHAnsi"/>
                <w:color w:val="000000"/>
                <w:sz w:val="18"/>
                <w:szCs w:val="18"/>
                <w:lang w:eastAsia="cs-CZ"/>
              </w:rPr>
              <w:t xml:space="preserve">1 </w:t>
            </w:r>
            <w:r w:rsidRPr="00524CC9">
              <w:rPr>
                <w:rFonts w:asciiTheme="minorHAnsi" w:eastAsia="Times New Roman" w:hAnsiTheme="minorHAnsi" w:cstheme="minorHAnsi"/>
                <w:color w:val="000000"/>
                <w:sz w:val="18"/>
                <w:szCs w:val="18"/>
                <w:lang w:eastAsia="cs-CZ"/>
              </w:rPr>
              <w:br/>
              <w:t>(na další výzvu)</w:t>
            </w:r>
          </w:p>
        </w:tc>
        <w:tc>
          <w:tcPr>
            <w:tcW w:w="632" w:type="pct"/>
            <w:hideMark/>
          </w:tcPr>
          <w:p w14:paraId="70A95CF0" w14:textId="77777777" w:rsidR="00524CC9" w:rsidRPr="00524CC9" w:rsidRDefault="00524CC9" w:rsidP="00524CC9">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524CC9">
              <w:rPr>
                <w:rFonts w:asciiTheme="minorHAnsi" w:eastAsia="Times New Roman" w:hAnsiTheme="minorHAnsi" w:cstheme="minorHAnsi"/>
                <w:color w:val="000000"/>
                <w:sz w:val="18"/>
                <w:szCs w:val="18"/>
                <w:lang w:eastAsia="cs-CZ"/>
              </w:rPr>
              <w:t>Positive Energy Districts  (PED)</w:t>
            </w:r>
          </w:p>
        </w:tc>
      </w:tr>
      <w:tr w:rsidR="00F00D81" w:rsidRPr="00524CC9" w14:paraId="1AF598ED" w14:textId="77777777" w:rsidTr="00F00D81">
        <w:trPr>
          <w:trHeight w:val="763"/>
        </w:trPr>
        <w:tc>
          <w:tcPr>
            <w:cnfStyle w:val="001000000000" w:firstRow="0" w:lastRow="0" w:firstColumn="1" w:lastColumn="0" w:oddVBand="0" w:evenVBand="0" w:oddHBand="0" w:evenHBand="0" w:firstRowFirstColumn="0" w:firstRowLastColumn="0" w:lastRowFirstColumn="0" w:lastRowLastColumn="0"/>
            <w:tcW w:w="679" w:type="pct"/>
            <w:hideMark/>
          </w:tcPr>
          <w:p w14:paraId="617D9032" w14:textId="77777777" w:rsidR="00524CC9" w:rsidRPr="00524CC9" w:rsidRDefault="00524CC9" w:rsidP="00F00D81">
            <w:pPr>
              <w:spacing w:before="0" w:after="0"/>
              <w:jc w:val="left"/>
              <w:rPr>
                <w:rFonts w:asciiTheme="minorHAnsi" w:eastAsia="Times New Roman" w:hAnsiTheme="minorHAnsi" w:cstheme="minorHAnsi"/>
                <w:color w:val="000000"/>
                <w:sz w:val="18"/>
                <w:szCs w:val="18"/>
                <w:lang w:eastAsia="cs-CZ"/>
              </w:rPr>
            </w:pPr>
            <w:r w:rsidRPr="00524CC9">
              <w:rPr>
                <w:rFonts w:asciiTheme="minorHAnsi" w:eastAsia="Times New Roman" w:hAnsiTheme="minorHAnsi" w:cstheme="minorHAnsi"/>
                <w:color w:val="000000"/>
                <w:sz w:val="18"/>
                <w:szCs w:val="18"/>
                <w:lang w:eastAsia="cs-CZ"/>
              </w:rPr>
              <w:t>ERA-MIN3</w:t>
            </w:r>
          </w:p>
        </w:tc>
        <w:tc>
          <w:tcPr>
            <w:tcW w:w="1465" w:type="pct"/>
            <w:hideMark/>
          </w:tcPr>
          <w:p w14:paraId="2911B7AA" w14:textId="77777777" w:rsidR="00524CC9" w:rsidRPr="00524CC9" w:rsidRDefault="00524CC9" w:rsidP="00C0154A">
            <w:pPr>
              <w:spacing w:before="0" w:after="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524CC9">
              <w:rPr>
                <w:rFonts w:asciiTheme="minorHAnsi" w:eastAsia="Times New Roman" w:hAnsiTheme="minorHAnsi" w:cstheme="minorHAnsi"/>
                <w:color w:val="000000"/>
                <w:sz w:val="18"/>
                <w:szCs w:val="18"/>
                <w:lang w:eastAsia="cs-CZ"/>
              </w:rPr>
              <w:t>Raw Materials for the Sustainable Development and the Circular Economy</w:t>
            </w:r>
          </w:p>
        </w:tc>
        <w:tc>
          <w:tcPr>
            <w:tcW w:w="437" w:type="pct"/>
            <w:hideMark/>
          </w:tcPr>
          <w:p w14:paraId="27BFC502" w14:textId="77777777" w:rsidR="00524CC9" w:rsidRPr="00524CC9" w:rsidRDefault="00524CC9" w:rsidP="00524CC9">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524CC9">
              <w:rPr>
                <w:rFonts w:asciiTheme="minorHAnsi" w:eastAsia="Times New Roman" w:hAnsiTheme="minorHAnsi" w:cstheme="minorHAnsi"/>
                <w:color w:val="000000"/>
                <w:sz w:val="18"/>
                <w:szCs w:val="18"/>
                <w:lang w:eastAsia="cs-CZ"/>
              </w:rPr>
              <w:t>01.12.2020</w:t>
            </w:r>
          </w:p>
        </w:tc>
        <w:tc>
          <w:tcPr>
            <w:tcW w:w="417" w:type="pct"/>
            <w:hideMark/>
          </w:tcPr>
          <w:p w14:paraId="02F5A5D0" w14:textId="77777777" w:rsidR="00524CC9" w:rsidRPr="00524CC9" w:rsidRDefault="00524CC9" w:rsidP="00524CC9">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524CC9">
              <w:rPr>
                <w:rFonts w:asciiTheme="minorHAnsi" w:eastAsia="Times New Roman" w:hAnsiTheme="minorHAnsi" w:cstheme="minorHAnsi"/>
                <w:color w:val="000000"/>
                <w:sz w:val="18"/>
                <w:szCs w:val="18"/>
                <w:lang w:eastAsia="cs-CZ"/>
              </w:rPr>
              <w:t>30.11.2025</w:t>
            </w:r>
          </w:p>
        </w:tc>
        <w:tc>
          <w:tcPr>
            <w:tcW w:w="652" w:type="pct"/>
            <w:hideMark/>
          </w:tcPr>
          <w:p w14:paraId="24E6C600" w14:textId="77777777" w:rsidR="00524CC9" w:rsidRPr="00524CC9" w:rsidRDefault="00524CC9" w:rsidP="00524CC9">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524CC9">
              <w:rPr>
                <w:rFonts w:asciiTheme="minorHAnsi" w:eastAsia="Times New Roman" w:hAnsiTheme="minorHAnsi" w:cstheme="minorHAnsi"/>
                <w:color w:val="000000"/>
                <w:sz w:val="18"/>
                <w:szCs w:val="18"/>
                <w:lang w:eastAsia="cs-CZ"/>
              </w:rPr>
              <w:t>TA ČR</w:t>
            </w:r>
          </w:p>
        </w:tc>
        <w:tc>
          <w:tcPr>
            <w:tcW w:w="719" w:type="pct"/>
            <w:hideMark/>
          </w:tcPr>
          <w:p w14:paraId="4446B2A3" w14:textId="77777777" w:rsidR="00524CC9" w:rsidRPr="00524CC9" w:rsidRDefault="00524CC9" w:rsidP="00524CC9">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524CC9">
              <w:rPr>
                <w:rFonts w:asciiTheme="minorHAnsi" w:eastAsia="Times New Roman" w:hAnsiTheme="minorHAnsi" w:cstheme="minorHAnsi"/>
                <w:color w:val="000000"/>
                <w:sz w:val="18"/>
                <w:szCs w:val="18"/>
                <w:lang w:eastAsia="cs-CZ"/>
              </w:rPr>
              <w:t xml:space="preserve">0,8 </w:t>
            </w:r>
            <w:r w:rsidRPr="00524CC9">
              <w:rPr>
                <w:rFonts w:asciiTheme="minorHAnsi" w:eastAsia="Times New Roman" w:hAnsiTheme="minorHAnsi" w:cstheme="minorHAnsi"/>
                <w:color w:val="000000"/>
                <w:sz w:val="18"/>
                <w:szCs w:val="18"/>
                <w:lang w:eastAsia="cs-CZ"/>
              </w:rPr>
              <w:br/>
              <w:t>(na další výzvu 2023)</w:t>
            </w:r>
          </w:p>
        </w:tc>
        <w:tc>
          <w:tcPr>
            <w:tcW w:w="632" w:type="pct"/>
            <w:noWrap/>
            <w:hideMark/>
          </w:tcPr>
          <w:p w14:paraId="673FF061" w14:textId="77777777" w:rsidR="00524CC9" w:rsidRPr="00524CC9" w:rsidRDefault="00524CC9" w:rsidP="00524CC9">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524CC9">
              <w:rPr>
                <w:rFonts w:asciiTheme="minorHAnsi" w:eastAsia="Times New Roman" w:hAnsiTheme="minorHAnsi" w:cstheme="minorHAnsi"/>
                <w:color w:val="000000"/>
                <w:sz w:val="18"/>
                <w:szCs w:val="18"/>
                <w:lang w:eastAsia="cs-CZ"/>
              </w:rPr>
              <w:t>ERA-MIN2</w:t>
            </w:r>
          </w:p>
        </w:tc>
      </w:tr>
      <w:tr w:rsidR="00F00D81" w:rsidRPr="00524CC9" w14:paraId="10D7283C" w14:textId="77777777" w:rsidTr="00F00D81">
        <w:trPr>
          <w:trHeight w:val="763"/>
        </w:trPr>
        <w:tc>
          <w:tcPr>
            <w:cnfStyle w:val="001000000000" w:firstRow="0" w:lastRow="0" w:firstColumn="1" w:lastColumn="0" w:oddVBand="0" w:evenVBand="0" w:oddHBand="0" w:evenHBand="0" w:firstRowFirstColumn="0" w:firstRowLastColumn="0" w:lastRowFirstColumn="0" w:lastRowLastColumn="0"/>
            <w:tcW w:w="679" w:type="pct"/>
            <w:hideMark/>
          </w:tcPr>
          <w:p w14:paraId="5AF86DD9" w14:textId="77777777" w:rsidR="00524CC9" w:rsidRPr="00524CC9" w:rsidRDefault="00524CC9" w:rsidP="00F00D81">
            <w:pPr>
              <w:spacing w:before="0" w:after="0"/>
              <w:jc w:val="left"/>
              <w:rPr>
                <w:rFonts w:asciiTheme="minorHAnsi" w:eastAsia="Times New Roman" w:hAnsiTheme="minorHAnsi" w:cstheme="minorHAnsi"/>
                <w:color w:val="000000"/>
                <w:sz w:val="18"/>
                <w:szCs w:val="18"/>
                <w:lang w:eastAsia="cs-CZ"/>
              </w:rPr>
            </w:pPr>
            <w:r w:rsidRPr="00524CC9">
              <w:rPr>
                <w:rFonts w:asciiTheme="minorHAnsi" w:eastAsia="Times New Roman" w:hAnsiTheme="minorHAnsi" w:cstheme="minorHAnsi"/>
                <w:color w:val="000000"/>
                <w:sz w:val="18"/>
                <w:szCs w:val="18"/>
                <w:lang w:eastAsia="cs-CZ"/>
              </w:rPr>
              <w:lastRenderedPageBreak/>
              <w:t>CHIST-ERA IV</w:t>
            </w:r>
          </w:p>
        </w:tc>
        <w:tc>
          <w:tcPr>
            <w:tcW w:w="1465" w:type="pct"/>
            <w:hideMark/>
          </w:tcPr>
          <w:p w14:paraId="079B0F0D" w14:textId="77777777" w:rsidR="00524CC9" w:rsidRPr="00524CC9" w:rsidRDefault="00524CC9" w:rsidP="00C0154A">
            <w:pPr>
              <w:spacing w:before="0" w:after="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524CC9">
              <w:rPr>
                <w:rFonts w:asciiTheme="minorHAnsi" w:eastAsia="Times New Roman" w:hAnsiTheme="minorHAnsi" w:cstheme="minorHAnsi"/>
                <w:color w:val="000000"/>
                <w:sz w:val="18"/>
                <w:szCs w:val="18"/>
                <w:lang w:eastAsia="cs-CZ"/>
              </w:rPr>
              <w:t>European Coordinated Research on Long-term ICT and ICT-based Scientific and Technological Challenges</w:t>
            </w:r>
          </w:p>
        </w:tc>
        <w:tc>
          <w:tcPr>
            <w:tcW w:w="437" w:type="pct"/>
            <w:hideMark/>
          </w:tcPr>
          <w:p w14:paraId="629D2ACE" w14:textId="77777777" w:rsidR="00524CC9" w:rsidRPr="00524CC9" w:rsidRDefault="00524CC9" w:rsidP="00524CC9">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524CC9">
              <w:rPr>
                <w:rFonts w:asciiTheme="minorHAnsi" w:eastAsia="Times New Roman" w:hAnsiTheme="minorHAnsi" w:cstheme="minorHAnsi"/>
                <w:color w:val="000000"/>
                <w:sz w:val="18"/>
                <w:szCs w:val="18"/>
                <w:lang w:eastAsia="cs-CZ"/>
              </w:rPr>
              <w:t>01.12.2019</w:t>
            </w:r>
          </w:p>
        </w:tc>
        <w:tc>
          <w:tcPr>
            <w:tcW w:w="417" w:type="pct"/>
            <w:hideMark/>
          </w:tcPr>
          <w:p w14:paraId="42800CCF" w14:textId="77777777" w:rsidR="00524CC9" w:rsidRPr="00524CC9" w:rsidRDefault="00524CC9" w:rsidP="00524CC9">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524CC9">
              <w:rPr>
                <w:rFonts w:asciiTheme="minorHAnsi" w:eastAsia="Times New Roman" w:hAnsiTheme="minorHAnsi" w:cstheme="minorHAnsi"/>
                <w:color w:val="000000"/>
                <w:sz w:val="18"/>
                <w:szCs w:val="18"/>
                <w:lang w:eastAsia="cs-CZ"/>
              </w:rPr>
              <w:t>30.11.2024</w:t>
            </w:r>
          </w:p>
        </w:tc>
        <w:tc>
          <w:tcPr>
            <w:tcW w:w="652" w:type="pct"/>
            <w:hideMark/>
          </w:tcPr>
          <w:p w14:paraId="45783139" w14:textId="77777777" w:rsidR="00524CC9" w:rsidRPr="00524CC9" w:rsidRDefault="00524CC9" w:rsidP="00524CC9">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524CC9">
              <w:rPr>
                <w:rFonts w:asciiTheme="minorHAnsi" w:eastAsia="Times New Roman" w:hAnsiTheme="minorHAnsi" w:cstheme="minorHAnsi"/>
                <w:color w:val="000000"/>
                <w:sz w:val="18"/>
                <w:szCs w:val="18"/>
                <w:lang w:eastAsia="cs-CZ"/>
              </w:rPr>
              <w:t>TA ČR</w:t>
            </w:r>
          </w:p>
        </w:tc>
        <w:tc>
          <w:tcPr>
            <w:tcW w:w="719" w:type="pct"/>
            <w:hideMark/>
          </w:tcPr>
          <w:p w14:paraId="2F05313F" w14:textId="77777777" w:rsidR="00524CC9" w:rsidRPr="00524CC9" w:rsidRDefault="00524CC9" w:rsidP="00524CC9">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524CC9">
              <w:rPr>
                <w:rFonts w:asciiTheme="minorHAnsi" w:eastAsia="Times New Roman" w:hAnsiTheme="minorHAnsi" w:cstheme="minorHAnsi"/>
                <w:color w:val="000000"/>
                <w:sz w:val="18"/>
                <w:szCs w:val="18"/>
                <w:lang w:eastAsia="cs-CZ"/>
              </w:rPr>
              <w:t>1,25</w:t>
            </w:r>
            <w:r w:rsidRPr="00524CC9">
              <w:rPr>
                <w:rFonts w:asciiTheme="minorHAnsi" w:eastAsia="Times New Roman" w:hAnsiTheme="minorHAnsi" w:cstheme="minorHAnsi"/>
                <w:color w:val="000000"/>
                <w:sz w:val="18"/>
                <w:szCs w:val="18"/>
                <w:lang w:eastAsia="cs-CZ"/>
              </w:rPr>
              <w:br/>
              <w:t>(na další výzvu 2022)</w:t>
            </w:r>
          </w:p>
        </w:tc>
        <w:tc>
          <w:tcPr>
            <w:tcW w:w="632" w:type="pct"/>
            <w:noWrap/>
            <w:hideMark/>
          </w:tcPr>
          <w:p w14:paraId="753F1A0C" w14:textId="77777777" w:rsidR="00524CC9" w:rsidRPr="00524CC9" w:rsidRDefault="00524CC9" w:rsidP="00524CC9">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524CC9">
              <w:rPr>
                <w:rFonts w:asciiTheme="minorHAnsi" w:eastAsia="Times New Roman" w:hAnsiTheme="minorHAnsi" w:cstheme="minorHAnsi"/>
                <w:color w:val="000000"/>
                <w:sz w:val="18"/>
                <w:szCs w:val="18"/>
                <w:lang w:eastAsia="cs-CZ"/>
              </w:rPr>
              <w:t>CHSIT-ERA III</w:t>
            </w:r>
          </w:p>
        </w:tc>
      </w:tr>
      <w:tr w:rsidR="00F00D81" w:rsidRPr="00524CC9" w14:paraId="412ECA3B" w14:textId="77777777" w:rsidTr="00F00D81">
        <w:trPr>
          <w:trHeight w:val="763"/>
        </w:trPr>
        <w:tc>
          <w:tcPr>
            <w:cnfStyle w:val="001000000000" w:firstRow="0" w:lastRow="0" w:firstColumn="1" w:lastColumn="0" w:oddVBand="0" w:evenVBand="0" w:oddHBand="0" w:evenHBand="0" w:firstRowFirstColumn="0" w:firstRowLastColumn="0" w:lastRowFirstColumn="0" w:lastRowLastColumn="0"/>
            <w:tcW w:w="679" w:type="pct"/>
            <w:hideMark/>
          </w:tcPr>
          <w:p w14:paraId="292F529A" w14:textId="77777777" w:rsidR="00524CC9" w:rsidRPr="00524CC9" w:rsidRDefault="00524CC9" w:rsidP="00F00D81">
            <w:pPr>
              <w:spacing w:before="0" w:after="0"/>
              <w:jc w:val="left"/>
              <w:rPr>
                <w:rFonts w:asciiTheme="minorHAnsi" w:eastAsia="Times New Roman" w:hAnsiTheme="minorHAnsi" w:cstheme="minorHAnsi"/>
                <w:color w:val="000000"/>
                <w:sz w:val="18"/>
                <w:szCs w:val="18"/>
                <w:lang w:eastAsia="cs-CZ"/>
              </w:rPr>
            </w:pPr>
            <w:r w:rsidRPr="00524CC9">
              <w:rPr>
                <w:rFonts w:asciiTheme="minorHAnsi" w:eastAsia="Times New Roman" w:hAnsiTheme="minorHAnsi" w:cstheme="minorHAnsi"/>
                <w:color w:val="000000"/>
                <w:sz w:val="18"/>
                <w:szCs w:val="18"/>
                <w:lang w:eastAsia="cs-CZ"/>
              </w:rPr>
              <w:t>M-ERA.NET3</w:t>
            </w:r>
          </w:p>
        </w:tc>
        <w:tc>
          <w:tcPr>
            <w:tcW w:w="1465" w:type="pct"/>
            <w:hideMark/>
          </w:tcPr>
          <w:p w14:paraId="17809864" w14:textId="77777777" w:rsidR="00524CC9" w:rsidRPr="00524CC9" w:rsidRDefault="00524CC9" w:rsidP="00C0154A">
            <w:pPr>
              <w:spacing w:before="0" w:after="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524CC9">
              <w:rPr>
                <w:rFonts w:asciiTheme="minorHAnsi" w:eastAsia="Times New Roman" w:hAnsiTheme="minorHAnsi" w:cstheme="minorHAnsi"/>
                <w:color w:val="000000"/>
                <w:sz w:val="18"/>
                <w:szCs w:val="18"/>
                <w:lang w:eastAsia="cs-CZ"/>
              </w:rPr>
              <w:t>ERA-NET for research and innovation on materials and battery technologies, supporting the European Green Deal</w:t>
            </w:r>
          </w:p>
        </w:tc>
        <w:tc>
          <w:tcPr>
            <w:tcW w:w="437" w:type="pct"/>
            <w:hideMark/>
          </w:tcPr>
          <w:p w14:paraId="3B6301E1" w14:textId="77777777" w:rsidR="00524CC9" w:rsidRPr="00524CC9" w:rsidRDefault="00524CC9" w:rsidP="00524CC9">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524CC9">
              <w:rPr>
                <w:rFonts w:asciiTheme="minorHAnsi" w:eastAsia="Times New Roman" w:hAnsiTheme="minorHAnsi" w:cstheme="minorHAnsi"/>
                <w:color w:val="000000"/>
                <w:sz w:val="18"/>
                <w:szCs w:val="18"/>
                <w:lang w:eastAsia="cs-CZ"/>
              </w:rPr>
              <w:t>01.03.2021</w:t>
            </w:r>
          </w:p>
        </w:tc>
        <w:tc>
          <w:tcPr>
            <w:tcW w:w="417" w:type="pct"/>
            <w:hideMark/>
          </w:tcPr>
          <w:p w14:paraId="604BEE80" w14:textId="77777777" w:rsidR="00524CC9" w:rsidRPr="00524CC9" w:rsidRDefault="00524CC9" w:rsidP="00524CC9">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524CC9">
              <w:rPr>
                <w:rFonts w:asciiTheme="minorHAnsi" w:eastAsia="Times New Roman" w:hAnsiTheme="minorHAnsi" w:cstheme="minorHAnsi"/>
                <w:color w:val="000000"/>
                <w:sz w:val="18"/>
                <w:szCs w:val="18"/>
                <w:lang w:eastAsia="cs-CZ"/>
              </w:rPr>
              <w:t>28.02.2026</w:t>
            </w:r>
          </w:p>
        </w:tc>
        <w:tc>
          <w:tcPr>
            <w:tcW w:w="652" w:type="pct"/>
            <w:hideMark/>
          </w:tcPr>
          <w:p w14:paraId="5C099591" w14:textId="77777777" w:rsidR="00524CC9" w:rsidRPr="00524CC9" w:rsidRDefault="00524CC9" w:rsidP="00524CC9">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524CC9">
              <w:rPr>
                <w:rFonts w:asciiTheme="minorHAnsi" w:eastAsia="Times New Roman" w:hAnsiTheme="minorHAnsi" w:cstheme="minorHAnsi"/>
                <w:color w:val="000000"/>
                <w:sz w:val="18"/>
                <w:szCs w:val="18"/>
                <w:lang w:eastAsia="cs-CZ"/>
              </w:rPr>
              <w:t>TA ČR</w:t>
            </w:r>
          </w:p>
        </w:tc>
        <w:tc>
          <w:tcPr>
            <w:tcW w:w="719" w:type="pct"/>
            <w:hideMark/>
          </w:tcPr>
          <w:p w14:paraId="76BBB92F" w14:textId="77777777" w:rsidR="00524CC9" w:rsidRPr="00524CC9" w:rsidRDefault="00524CC9" w:rsidP="00524CC9">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524CC9">
              <w:rPr>
                <w:rFonts w:asciiTheme="minorHAnsi" w:eastAsia="Times New Roman" w:hAnsiTheme="minorHAnsi" w:cstheme="minorHAnsi"/>
                <w:color w:val="000000"/>
                <w:sz w:val="18"/>
                <w:szCs w:val="18"/>
                <w:lang w:eastAsia="cs-CZ"/>
              </w:rPr>
              <w:t>2</w:t>
            </w:r>
            <w:r w:rsidRPr="00524CC9">
              <w:rPr>
                <w:rFonts w:asciiTheme="minorHAnsi" w:eastAsia="Times New Roman" w:hAnsiTheme="minorHAnsi" w:cstheme="minorHAnsi"/>
                <w:color w:val="000000"/>
                <w:sz w:val="18"/>
                <w:szCs w:val="18"/>
                <w:lang w:eastAsia="cs-CZ"/>
              </w:rPr>
              <w:br/>
              <w:t xml:space="preserve"> (na další výzvu 2022)</w:t>
            </w:r>
          </w:p>
        </w:tc>
        <w:tc>
          <w:tcPr>
            <w:tcW w:w="632" w:type="pct"/>
            <w:noWrap/>
            <w:hideMark/>
          </w:tcPr>
          <w:p w14:paraId="1ABC344A" w14:textId="77777777" w:rsidR="00524CC9" w:rsidRPr="00524CC9" w:rsidRDefault="00524CC9" w:rsidP="00524CC9">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524CC9">
              <w:rPr>
                <w:rFonts w:asciiTheme="minorHAnsi" w:eastAsia="Times New Roman" w:hAnsiTheme="minorHAnsi" w:cstheme="minorHAnsi"/>
                <w:color w:val="000000"/>
                <w:sz w:val="18"/>
                <w:szCs w:val="18"/>
                <w:lang w:eastAsia="cs-CZ"/>
              </w:rPr>
              <w:t>M-ERA.NET2</w:t>
            </w:r>
          </w:p>
        </w:tc>
      </w:tr>
      <w:tr w:rsidR="00F00D81" w:rsidRPr="00524CC9" w14:paraId="787DF913" w14:textId="77777777" w:rsidTr="00F00D81">
        <w:trPr>
          <w:trHeight w:val="763"/>
        </w:trPr>
        <w:tc>
          <w:tcPr>
            <w:cnfStyle w:val="001000000000" w:firstRow="0" w:lastRow="0" w:firstColumn="1" w:lastColumn="0" w:oddVBand="0" w:evenVBand="0" w:oddHBand="0" w:evenHBand="0" w:firstRowFirstColumn="0" w:firstRowLastColumn="0" w:lastRowFirstColumn="0" w:lastRowLastColumn="0"/>
            <w:tcW w:w="679" w:type="pct"/>
            <w:hideMark/>
          </w:tcPr>
          <w:p w14:paraId="3B1120FC" w14:textId="77777777" w:rsidR="00524CC9" w:rsidRPr="00524CC9" w:rsidRDefault="00524CC9" w:rsidP="00F00D81">
            <w:pPr>
              <w:spacing w:before="0" w:after="0"/>
              <w:jc w:val="left"/>
              <w:rPr>
                <w:rFonts w:asciiTheme="minorHAnsi" w:eastAsia="Times New Roman" w:hAnsiTheme="minorHAnsi" w:cstheme="minorHAnsi"/>
                <w:color w:val="000000"/>
                <w:sz w:val="18"/>
                <w:szCs w:val="18"/>
                <w:lang w:eastAsia="cs-CZ"/>
              </w:rPr>
            </w:pPr>
            <w:r w:rsidRPr="00524CC9">
              <w:rPr>
                <w:rFonts w:asciiTheme="minorHAnsi" w:eastAsia="Times New Roman" w:hAnsiTheme="minorHAnsi" w:cstheme="minorHAnsi"/>
                <w:color w:val="000000"/>
                <w:sz w:val="18"/>
                <w:szCs w:val="18"/>
                <w:lang w:eastAsia="cs-CZ"/>
              </w:rPr>
              <w:t>QuantERA II</w:t>
            </w:r>
          </w:p>
        </w:tc>
        <w:tc>
          <w:tcPr>
            <w:tcW w:w="1465" w:type="pct"/>
            <w:hideMark/>
          </w:tcPr>
          <w:p w14:paraId="1B2B3E70" w14:textId="77777777" w:rsidR="00524CC9" w:rsidRPr="00524CC9" w:rsidRDefault="00524CC9" w:rsidP="00C0154A">
            <w:pPr>
              <w:spacing w:before="0" w:after="0"/>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524CC9">
              <w:rPr>
                <w:rFonts w:asciiTheme="minorHAnsi" w:eastAsia="Times New Roman" w:hAnsiTheme="minorHAnsi" w:cstheme="minorHAnsi"/>
                <w:color w:val="000000"/>
                <w:sz w:val="18"/>
                <w:szCs w:val="18"/>
                <w:lang w:eastAsia="cs-CZ"/>
              </w:rPr>
              <w:t>ERA-NET Cofund in Quantum Technologies</w:t>
            </w:r>
          </w:p>
        </w:tc>
        <w:tc>
          <w:tcPr>
            <w:tcW w:w="437" w:type="pct"/>
            <w:hideMark/>
          </w:tcPr>
          <w:p w14:paraId="65070ED3" w14:textId="77777777" w:rsidR="00524CC9" w:rsidRPr="00524CC9" w:rsidRDefault="00524CC9" w:rsidP="00524CC9">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524CC9">
              <w:rPr>
                <w:rFonts w:asciiTheme="minorHAnsi" w:eastAsia="Times New Roman" w:hAnsiTheme="minorHAnsi" w:cstheme="minorHAnsi"/>
                <w:color w:val="000000"/>
                <w:sz w:val="18"/>
                <w:szCs w:val="18"/>
                <w:lang w:eastAsia="cs-CZ"/>
              </w:rPr>
              <w:t>2021/01</w:t>
            </w:r>
          </w:p>
        </w:tc>
        <w:tc>
          <w:tcPr>
            <w:tcW w:w="417" w:type="pct"/>
            <w:hideMark/>
          </w:tcPr>
          <w:p w14:paraId="5AD0A113" w14:textId="77777777" w:rsidR="00524CC9" w:rsidRPr="00524CC9" w:rsidRDefault="00524CC9" w:rsidP="00524CC9">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524CC9">
              <w:rPr>
                <w:rFonts w:asciiTheme="minorHAnsi" w:eastAsia="Times New Roman" w:hAnsiTheme="minorHAnsi" w:cstheme="minorHAnsi"/>
                <w:color w:val="000000"/>
                <w:sz w:val="18"/>
                <w:szCs w:val="18"/>
                <w:lang w:eastAsia="cs-CZ"/>
              </w:rPr>
              <w:t>2025/12</w:t>
            </w:r>
          </w:p>
        </w:tc>
        <w:tc>
          <w:tcPr>
            <w:tcW w:w="652" w:type="pct"/>
            <w:hideMark/>
          </w:tcPr>
          <w:p w14:paraId="10C02960" w14:textId="77777777" w:rsidR="00524CC9" w:rsidRPr="00524CC9" w:rsidRDefault="00524CC9" w:rsidP="00524CC9">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524CC9">
              <w:rPr>
                <w:rFonts w:asciiTheme="minorHAnsi" w:eastAsia="Times New Roman" w:hAnsiTheme="minorHAnsi" w:cstheme="minorHAnsi"/>
                <w:color w:val="000000"/>
                <w:sz w:val="18"/>
                <w:szCs w:val="18"/>
                <w:lang w:eastAsia="cs-CZ"/>
              </w:rPr>
              <w:t>TA ČR</w:t>
            </w:r>
            <w:r w:rsidRPr="00524CC9">
              <w:rPr>
                <w:rFonts w:asciiTheme="minorHAnsi" w:eastAsia="Times New Roman" w:hAnsiTheme="minorHAnsi" w:cstheme="minorHAnsi"/>
                <w:color w:val="000000"/>
                <w:sz w:val="18"/>
                <w:szCs w:val="18"/>
                <w:lang w:eastAsia="cs-CZ"/>
              </w:rPr>
              <w:br/>
              <w:t>MŠMT</w:t>
            </w:r>
          </w:p>
        </w:tc>
        <w:tc>
          <w:tcPr>
            <w:tcW w:w="719" w:type="pct"/>
            <w:hideMark/>
          </w:tcPr>
          <w:p w14:paraId="370008B0" w14:textId="77777777" w:rsidR="00524CC9" w:rsidRPr="00524CC9" w:rsidRDefault="00524CC9" w:rsidP="00524CC9">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524CC9">
              <w:rPr>
                <w:rFonts w:asciiTheme="minorHAnsi" w:eastAsia="Times New Roman" w:hAnsiTheme="minorHAnsi" w:cstheme="minorHAnsi"/>
                <w:color w:val="000000"/>
                <w:sz w:val="18"/>
                <w:szCs w:val="18"/>
                <w:lang w:eastAsia="cs-CZ"/>
              </w:rPr>
              <w:t>TA ČR: 1 + MŠMT : 1  (na další  výzvu 2023)</w:t>
            </w:r>
          </w:p>
        </w:tc>
        <w:tc>
          <w:tcPr>
            <w:tcW w:w="632" w:type="pct"/>
            <w:noWrap/>
            <w:hideMark/>
          </w:tcPr>
          <w:p w14:paraId="175A265A" w14:textId="77777777" w:rsidR="00524CC9" w:rsidRPr="00524CC9" w:rsidRDefault="00524CC9" w:rsidP="00524CC9">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sz w:val="18"/>
                <w:szCs w:val="18"/>
                <w:lang w:eastAsia="cs-CZ"/>
              </w:rPr>
            </w:pPr>
            <w:r w:rsidRPr="00524CC9">
              <w:rPr>
                <w:rFonts w:asciiTheme="minorHAnsi" w:eastAsia="Times New Roman" w:hAnsiTheme="minorHAnsi" w:cstheme="minorHAnsi"/>
                <w:color w:val="000000"/>
                <w:sz w:val="18"/>
                <w:szCs w:val="18"/>
                <w:lang w:eastAsia="cs-CZ"/>
              </w:rPr>
              <w:t>QuantERA</w:t>
            </w:r>
          </w:p>
        </w:tc>
      </w:tr>
    </w:tbl>
    <w:p w14:paraId="13C93874" w14:textId="77777777" w:rsidR="00165B0D" w:rsidRDefault="00165B0D" w:rsidP="008444FF">
      <w:pPr>
        <w:spacing w:line="257" w:lineRule="auto"/>
      </w:pPr>
    </w:p>
    <w:p w14:paraId="29877902" w14:textId="77777777" w:rsidR="008444FF" w:rsidRDefault="00A126BA" w:rsidP="00A126BA">
      <w:pPr>
        <w:pStyle w:val="Nadpis2"/>
      </w:pPr>
      <w:bookmarkStart w:id="50" w:name="_Toc114572335"/>
      <w:r>
        <w:t>Závěr</w:t>
      </w:r>
      <w:bookmarkEnd w:id="50"/>
    </w:p>
    <w:p w14:paraId="4D3A046A" w14:textId="77777777" w:rsidR="008444FF" w:rsidRDefault="00A6415D" w:rsidP="008444FF">
      <w:pPr>
        <w:rPr>
          <w:lang w:eastAsia="cs-CZ"/>
        </w:rPr>
      </w:pPr>
      <w:r>
        <w:rPr>
          <w:lang w:eastAsia="cs-CZ"/>
        </w:rPr>
        <w:t xml:space="preserve">Evropská partnerství představují významný </w:t>
      </w:r>
      <w:r w:rsidR="00E732BB">
        <w:rPr>
          <w:lang w:eastAsia="cs-CZ"/>
        </w:rPr>
        <w:t>mechanismus pro zacílení podpory</w:t>
      </w:r>
      <w:r w:rsidR="009B66B5">
        <w:rPr>
          <w:lang w:eastAsia="cs-CZ"/>
        </w:rPr>
        <w:t xml:space="preserve"> a </w:t>
      </w:r>
      <w:r w:rsidR="00E732BB">
        <w:rPr>
          <w:lang w:eastAsia="cs-CZ"/>
        </w:rPr>
        <w:t>koor</w:t>
      </w:r>
      <w:r w:rsidR="001972D9">
        <w:rPr>
          <w:lang w:eastAsia="cs-CZ"/>
        </w:rPr>
        <w:t>dinaci veřejných</w:t>
      </w:r>
      <w:r w:rsidR="009B66B5">
        <w:rPr>
          <w:lang w:eastAsia="cs-CZ"/>
        </w:rPr>
        <w:t xml:space="preserve"> a </w:t>
      </w:r>
      <w:r w:rsidR="001972D9">
        <w:rPr>
          <w:lang w:eastAsia="cs-CZ"/>
        </w:rPr>
        <w:t>soukromých investic do výzkumných</w:t>
      </w:r>
      <w:r w:rsidR="009B66B5">
        <w:rPr>
          <w:lang w:eastAsia="cs-CZ"/>
        </w:rPr>
        <w:t xml:space="preserve"> a </w:t>
      </w:r>
      <w:r w:rsidR="001972D9">
        <w:rPr>
          <w:lang w:eastAsia="cs-CZ"/>
        </w:rPr>
        <w:t>inovačních aktivit</w:t>
      </w:r>
      <w:r w:rsidR="009B66B5">
        <w:rPr>
          <w:lang w:eastAsia="cs-CZ"/>
        </w:rPr>
        <w:t xml:space="preserve"> v </w:t>
      </w:r>
      <w:r w:rsidR="00E06775">
        <w:rPr>
          <w:lang w:eastAsia="cs-CZ"/>
        </w:rPr>
        <w:t>prioritních tématech EU.</w:t>
      </w:r>
      <w:r w:rsidR="00BA1B27">
        <w:rPr>
          <w:lang w:eastAsia="cs-CZ"/>
        </w:rPr>
        <w:t xml:space="preserve"> Zapojení do těchto partnerství</w:t>
      </w:r>
      <w:r w:rsidR="009315F0">
        <w:rPr>
          <w:lang w:eastAsia="cs-CZ"/>
        </w:rPr>
        <w:t xml:space="preserve"> </w:t>
      </w:r>
      <w:r w:rsidR="00B95016">
        <w:rPr>
          <w:lang w:eastAsia="cs-CZ"/>
        </w:rPr>
        <w:t>jednak posiluje pozici členských zemí</w:t>
      </w:r>
      <w:r w:rsidR="009B66B5">
        <w:rPr>
          <w:lang w:eastAsia="cs-CZ"/>
        </w:rPr>
        <w:t xml:space="preserve"> a </w:t>
      </w:r>
      <w:r w:rsidR="00B95016">
        <w:rPr>
          <w:lang w:eastAsia="cs-CZ"/>
        </w:rPr>
        <w:t>jednotlivých výzkumných</w:t>
      </w:r>
      <w:r w:rsidR="009B66B5">
        <w:rPr>
          <w:lang w:eastAsia="cs-CZ"/>
        </w:rPr>
        <w:t xml:space="preserve"> a </w:t>
      </w:r>
      <w:r w:rsidR="00B95016">
        <w:rPr>
          <w:lang w:eastAsia="cs-CZ"/>
        </w:rPr>
        <w:t>inovačních subjektů</w:t>
      </w:r>
      <w:r w:rsidR="009B66B5">
        <w:rPr>
          <w:lang w:eastAsia="cs-CZ"/>
        </w:rPr>
        <w:t xml:space="preserve"> v </w:t>
      </w:r>
      <w:r w:rsidR="00B95016">
        <w:rPr>
          <w:lang w:eastAsia="cs-CZ"/>
        </w:rPr>
        <w:t>Evropském výzkumném prostoru</w:t>
      </w:r>
      <w:r w:rsidR="00747711">
        <w:rPr>
          <w:lang w:eastAsia="cs-CZ"/>
        </w:rPr>
        <w:t xml:space="preserve">, jednak </w:t>
      </w:r>
      <w:r w:rsidR="00D9238E">
        <w:rPr>
          <w:lang w:eastAsia="cs-CZ"/>
        </w:rPr>
        <w:t>vytváří lepší výchozí pozici pro zapojení do konkrétních výzev vyhlašovaných</w:t>
      </w:r>
      <w:r w:rsidR="009B66B5">
        <w:rPr>
          <w:lang w:eastAsia="cs-CZ"/>
        </w:rPr>
        <w:t xml:space="preserve"> v </w:t>
      </w:r>
      <w:r w:rsidR="00D9238E">
        <w:rPr>
          <w:lang w:eastAsia="cs-CZ"/>
        </w:rPr>
        <w:t>H</w:t>
      </w:r>
      <w:r w:rsidR="005632FF">
        <w:rPr>
          <w:lang w:eastAsia="cs-CZ"/>
        </w:rPr>
        <w:t xml:space="preserve">orizontu </w:t>
      </w:r>
      <w:r w:rsidR="00D9238E">
        <w:rPr>
          <w:lang w:eastAsia="cs-CZ"/>
        </w:rPr>
        <w:t>E</w:t>
      </w:r>
      <w:r w:rsidR="005632FF">
        <w:rPr>
          <w:lang w:eastAsia="cs-CZ"/>
        </w:rPr>
        <w:t>vropa</w:t>
      </w:r>
      <w:r w:rsidR="00162AC2">
        <w:rPr>
          <w:lang w:eastAsia="cs-CZ"/>
        </w:rPr>
        <w:t>.</w:t>
      </w:r>
    </w:p>
    <w:p w14:paraId="45C8234F" w14:textId="77777777" w:rsidR="003B58C4" w:rsidRDefault="00162AC2" w:rsidP="008444FF">
      <w:pPr>
        <w:rPr>
          <w:lang w:eastAsia="cs-CZ"/>
        </w:rPr>
      </w:pPr>
      <w:r>
        <w:rPr>
          <w:lang w:eastAsia="cs-CZ"/>
        </w:rPr>
        <w:t xml:space="preserve">ČR </w:t>
      </w:r>
      <w:r w:rsidR="00504820">
        <w:rPr>
          <w:lang w:eastAsia="cs-CZ"/>
        </w:rPr>
        <w:t xml:space="preserve">ve všech typech evropských partnerství </w:t>
      </w:r>
      <w:r w:rsidR="00EA4BD2">
        <w:rPr>
          <w:lang w:eastAsia="cs-CZ"/>
        </w:rPr>
        <w:t>– společně programovaných, institucionálních</w:t>
      </w:r>
      <w:r w:rsidR="009B66B5">
        <w:rPr>
          <w:lang w:eastAsia="cs-CZ"/>
        </w:rPr>
        <w:t xml:space="preserve"> a </w:t>
      </w:r>
      <w:r w:rsidR="00EA4BD2">
        <w:rPr>
          <w:lang w:eastAsia="cs-CZ"/>
        </w:rPr>
        <w:t xml:space="preserve">společně financovaných – </w:t>
      </w:r>
      <w:r>
        <w:rPr>
          <w:lang w:eastAsia="cs-CZ"/>
        </w:rPr>
        <w:t>plně</w:t>
      </w:r>
      <w:r w:rsidR="00EA4BD2">
        <w:rPr>
          <w:lang w:eastAsia="cs-CZ"/>
        </w:rPr>
        <w:t xml:space="preserve"> </w:t>
      </w:r>
      <w:r>
        <w:rPr>
          <w:lang w:eastAsia="cs-CZ"/>
        </w:rPr>
        <w:t xml:space="preserve">nevyužívá svůj potenciál pro </w:t>
      </w:r>
      <w:r w:rsidR="00EA4BD2">
        <w:rPr>
          <w:lang w:eastAsia="cs-CZ"/>
        </w:rPr>
        <w:t xml:space="preserve">aktivní </w:t>
      </w:r>
      <w:r>
        <w:rPr>
          <w:lang w:eastAsia="cs-CZ"/>
        </w:rPr>
        <w:t>zapojení</w:t>
      </w:r>
      <w:r w:rsidR="00EA4BD2">
        <w:rPr>
          <w:lang w:eastAsia="cs-CZ"/>
        </w:rPr>
        <w:t xml:space="preserve">. Přestože </w:t>
      </w:r>
      <w:r w:rsidR="002C5A95">
        <w:rPr>
          <w:lang w:eastAsia="cs-CZ"/>
        </w:rPr>
        <w:t>se situace</w:t>
      </w:r>
      <w:r w:rsidR="009B66B5">
        <w:rPr>
          <w:lang w:eastAsia="cs-CZ"/>
        </w:rPr>
        <w:t xml:space="preserve"> v </w:t>
      </w:r>
      <w:r w:rsidR="002C5A95">
        <w:rPr>
          <w:lang w:eastAsia="cs-CZ"/>
        </w:rPr>
        <w:t>posledních letech především díky aktivnější roli MŠMT</w:t>
      </w:r>
      <w:r w:rsidR="009B66B5">
        <w:rPr>
          <w:lang w:eastAsia="cs-CZ"/>
        </w:rPr>
        <w:t xml:space="preserve"> a </w:t>
      </w:r>
      <w:r w:rsidR="002C5A95">
        <w:rPr>
          <w:lang w:eastAsia="cs-CZ"/>
        </w:rPr>
        <w:t>TA</w:t>
      </w:r>
      <w:r w:rsidR="00C853D7">
        <w:rPr>
          <w:lang w:eastAsia="cs-CZ"/>
        </w:rPr>
        <w:t xml:space="preserve"> </w:t>
      </w:r>
      <w:r w:rsidR="002C5A95">
        <w:rPr>
          <w:lang w:eastAsia="cs-CZ"/>
        </w:rPr>
        <w:t xml:space="preserve">ČR </w:t>
      </w:r>
      <w:r w:rsidR="005632FF">
        <w:rPr>
          <w:lang w:eastAsia="cs-CZ"/>
        </w:rPr>
        <w:t>(dané personálním</w:t>
      </w:r>
      <w:r w:rsidR="009B66B5">
        <w:rPr>
          <w:lang w:eastAsia="cs-CZ"/>
        </w:rPr>
        <w:t xml:space="preserve"> a </w:t>
      </w:r>
      <w:r w:rsidR="005632FF">
        <w:rPr>
          <w:lang w:eastAsia="cs-CZ"/>
        </w:rPr>
        <w:t>rozpočtovým posílením výkonu agendy)</w:t>
      </w:r>
      <w:r w:rsidR="009B66B5">
        <w:rPr>
          <w:lang w:eastAsia="cs-CZ"/>
        </w:rPr>
        <w:t xml:space="preserve"> v </w:t>
      </w:r>
      <w:r w:rsidR="00E018DD">
        <w:rPr>
          <w:lang w:eastAsia="cs-CZ"/>
        </w:rPr>
        <w:t xml:space="preserve">oblasti společně financovaných evropských partnerství postupně zlepšuje, </w:t>
      </w:r>
      <w:r w:rsidR="0023698B">
        <w:rPr>
          <w:lang w:eastAsia="cs-CZ"/>
        </w:rPr>
        <w:t>integrace ČR do struktur evropských part</w:t>
      </w:r>
      <w:r w:rsidR="00D61C2A">
        <w:rPr>
          <w:lang w:eastAsia="cs-CZ"/>
        </w:rPr>
        <w:t xml:space="preserve">nerství je stále nedostatečná. Významný prostor existuje </w:t>
      </w:r>
      <w:r w:rsidR="00345271">
        <w:rPr>
          <w:lang w:eastAsia="cs-CZ"/>
        </w:rPr>
        <w:t>například</w:t>
      </w:r>
      <w:r w:rsidR="009B66B5">
        <w:rPr>
          <w:lang w:eastAsia="cs-CZ"/>
        </w:rPr>
        <w:t xml:space="preserve"> v </w:t>
      </w:r>
      <w:r w:rsidR="00345271">
        <w:rPr>
          <w:lang w:eastAsia="cs-CZ"/>
        </w:rPr>
        <w:t xml:space="preserve">zapojení </w:t>
      </w:r>
      <w:r w:rsidR="00E110E7">
        <w:rPr>
          <w:lang w:eastAsia="cs-CZ"/>
        </w:rPr>
        <w:t xml:space="preserve">průmyslových </w:t>
      </w:r>
      <w:r w:rsidR="00345271">
        <w:rPr>
          <w:lang w:eastAsia="cs-CZ"/>
        </w:rPr>
        <w:t>asociací</w:t>
      </w:r>
      <w:r w:rsidR="00E110E7">
        <w:rPr>
          <w:lang w:eastAsia="cs-CZ"/>
        </w:rPr>
        <w:t xml:space="preserve">, technologických </w:t>
      </w:r>
      <w:r w:rsidR="00345271">
        <w:rPr>
          <w:lang w:eastAsia="cs-CZ"/>
        </w:rPr>
        <w:t>platforem</w:t>
      </w:r>
      <w:r w:rsidR="008175D4">
        <w:rPr>
          <w:lang w:eastAsia="cs-CZ"/>
        </w:rPr>
        <w:t>, klastrů</w:t>
      </w:r>
      <w:r w:rsidR="009B66B5">
        <w:rPr>
          <w:lang w:eastAsia="cs-CZ"/>
        </w:rPr>
        <w:t xml:space="preserve"> a </w:t>
      </w:r>
      <w:r w:rsidR="00E110E7">
        <w:rPr>
          <w:lang w:eastAsia="cs-CZ"/>
        </w:rPr>
        <w:t xml:space="preserve">dalších oborových uskupení do </w:t>
      </w:r>
      <w:r w:rsidR="006C4D82">
        <w:rPr>
          <w:lang w:eastAsia="cs-CZ"/>
        </w:rPr>
        <w:t>spo</w:t>
      </w:r>
      <w:r w:rsidR="00421CC5">
        <w:rPr>
          <w:lang w:eastAsia="cs-CZ"/>
        </w:rPr>
        <w:t>lečně programovaný</w:t>
      </w:r>
      <w:r w:rsidR="00747711">
        <w:rPr>
          <w:lang w:eastAsia="cs-CZ"/>
        </w:rPr>
        <w:t>ch evropských partnerství, která</w:t>
      </w:r>
      <w:r w:rsidR="00421CC5">
        <w:rPr>
          <w:lang w:eastAsia="cs-CZ"/>
        </w:rPr>
        <w:t xml:space="preserve"> do značné míry ovlivňují směr</w:t>
      </w:r>
      <w:r w:rsidR="009B66B5">
        <w:rPr>
          <w:lang w:eastAsia="cs-CZ"/>
        </w:rPr>
        <w:t xml:space="preserve"> a </w:t>
      </w:r>
      <w:r w:rsidR="00421CC5">
        <w:rPr>
          <w:lang w:eastAsia="cs-CZ"/>
        </w:rPr>
        <w:t xml:space="preserve">tematické zaměření </w:t>
      </w:r>
      <w:r w:rsidR="00620391">
        <w:rPr>
          <w:lang w:eastAsia="cs-CZ"/>
        </w:rPr>
        <w:t>podpory</w:t>
      </w:r>
      <w:r w:rsidR="009B66B5">
        <w:rPr>
          <w:lang w:eastAsia="cs-CZ"/>
        </w:rPr>
        <w:t xml:space="preserve"> v </w:t>
      </w:r>
      <w:r w:rsidR="00620391">
        <w:rPr>
          <w:lang w:eastAsia="cs-CZ"/>
        </w:rPr>
        <w:t>průmyslovém pilíři H</w:t>
      </w:r>
      <w:r w:rsidR="005632FF">
        <w:rPr>
          <w:lang w:eastAsia="cs-CZ"/>
        </w:rPr>
        <w:t xml:space="preserve">orizontu </w:t>
      </w:r>
      <w:r w:rsidR="00620391">
        <w:rPr>
          <w:lang w:eastAsia="cs-CZ"/>
        </w:rPr>
        <w:t>E</w:t>
      </w:r>
      <w:r w:rsidR="005632FF">
        <w:rPr>
          <w:lang w:eastAsia="cs-CZ"/>
        </w:rPr>
        <w:t>vropa</w:t>
      </w:r>
      <w:r w:rsidR="00620391">
        <w:rPr>
          <w:lang w:eastAsia="cs-CZ"/>
        </w:rPr>
        <w:t>. Akt</w:t>
      </w:r>
      <w:r w:rsidR="00747711">
        <w:rPr>
          <w:lang w:eastAsia="cs-CZ"/>
        </w:rPr>
        <w:t xml:space="preserve">ivní účast </w:t>
      </w:r>
      <w:r w:rsidR="008175D4">
        <w:rPr>
          <w:lang w:eastAsia="cs-CZ"/>
        </w:rPr>
        <w:t>subjektů</w:t>
      </w:r>
      <w:r w:rsidR="009B66B5">
        <w:rPr>
          <w:lang w:eastAsia="cs-CZ"/>
        </w:rPr>
        <w:t xml:space="preserve"> z </w:t>
      </w:r>
      <w:r w:rsidR="008175D4">
        <w:rPr>
          <w:lang w:eastAsia="cs-CZ"/>
        </w:rPr>
        <w:t>ČR</w:t>
      </w:r>
      <w:r w:rsidR="009B66B5">
        <w:rPr>
          <w:lang w:eastAsia="cs-CZ"/>
        </w:rPr>
        <w:t xml:space="preserve"> v </w:t>
      </w:r>
      <w:r w:rsidR="00620391">
        <w:rPr>
          <w:lang w:eastAsia="cs-CZ"/>
        </w:rPr>
        <w:t xml:space="preserve">těchto </w:t>
      </w:r>
      <w:r w:rsidR="008175D4">
        <w:rPr>
          <w:lang w:eastAsia="cs-CZ"/>
        </w:rPr>
        <w:t xml:space="preserve">evropských </w:t>
      </w:r>
      <w:r w:rsidR="00620391">
        <w:rPr>
          <w:lang w:eastAsia="cs-CZ"/>
        </w:rPr>
        <w:t>partnerstvíc</w:t>
      </w:r>
      <w:r w:rsidR="00714227">
        <w:rPr>
          <w:lang w:eastAsia="cs-CZ"/>
        </w:rPr>
        <w:t>h zlepší výchozí pozici výzkumných organizací</w:t>
      </w:r>
      <w:r w:rsidR="009B66B5">
        <w:rPr>
          <w:lang w:eastAsia="cs-CZ"/>
        </w:rPr>
        <w:t xml:space="preserve"> a </w:t>
      </w:r>
      <w:r w:rsidR="00714227">
        <w:rPr>
          <w:lang w:eastAsia="cs-CZ"/>
        </w:rPr>
        <w:t>podniků</w:t>
      </w:r>
      <w:r w:rsidR="009B66B5">
        <w:rPr>
          <w:lang w:eastAsia="cs-CZ"/>
        </w:rPr>
        <w:t xml:space="preserve"> z </w:t>
      </w:r>
      <w:r w:rsidR="00714227">
        <w:rPr>
          <w:lang w:eastAsia="cs-CZ"/>
        </w:rPr>
        <w:t xml:space="preserve">ČR při </w:t>
      </w:r>
      <w:r w:rsidR="003B58C4">
        <w:rPr>
          <w:lang w:eastAsia="cs-CZ"/>
        </w:rPr>
        <w:t>včasné přípravě projektových záměrů</w:t>
      </w:r>
      <w:r w:rsidR="009B66B5">
        <w:rPr>
          <w:lang w:eastAsia="cs-CZ"/>
        </w:rPr>
        <w:t xml:space="preserve"> a </w:t>
      </w:r>
      <w:r w:rsidR="003B58C4">
        <w:rPr>
          <w:lang w:eastAsia="cs-CZ"/>
        </w:rPr>
        <w:t>konsorcií.</w:t>
      </w:r>
    </w:p>
    <w:p w14:paraId="29FF6E82" w14:textId="77777777" w:rsidR="000D3D1D" w:rsidRDefault="000D3D1D" w:rsidP="000D3D1D"/>
    <w:p w14:paraId="473F3EC7" w14:textId="77777777" w:rsidR="003A63DE" w:rsidRDefault="003A63DE" w:rsidP="003A63DE">
      <w:pPr>
        <w:spacing w:line="257" w:lineRule="auto"/>
      </w:pPr>
    </w:p>
    <w:p w14:paraId="6058320E" w14:textId="77777777" w:rsidR="008444FF" w:rsidRDefault="008444FF" w:rsidP="008444FF">
      <w:pPr>
        <w:rPr>
          <w:lang w:eastAsia="cs-CZ"/>
        </w:rPr>
      </w:pPr>
    </w:p>
    <w:p w14:paraId="32853427" w14:textId="77777777" w:rsidR="008444FF" w:rsidRDefault="008444FF" w:rsidP="008444FF">
      <w:pPr>
        <w:pStyle w:val="Nadpis1"/>
        <w:rPr>
          <w:lang w:eastAsia="cs-CZ"/>
        </w:rPr>
      </w:pPr>
      <w:bookmarkStart w:id="51" w:name="_Ref112502584"/>
      <w:bookmarkStart w:id="52" w:name="_Toc112687218"/>
      <w:bookmarkStart w:id="53" w:name="_Toc114572336"/>
      <w:r>
        <w:lastRenderedPageBreak/>
        <w:t>Synergie evropských</w:t>
      </w:r>
      <w:r w:rsidR="009B66B5">
        <w:t xml:space="preserve"> a </w:t>
      </w:r>
      <w:r>
        <w:t>národních nástrojů podpory</w:t>
      </w:r>
      <w:bookmarkEnd w:id="51"/>
      <w:bookmarkEnd w:id="52"/>
      <w:bookmarkEnd w:id="53"/>
    </w:p>
    <w:p w14:paraId="3B2E99AE" w14:textId="77777777" w:rsidR="008444FF" w:rsidRDefault="008444FF" w:rsidP="008444FF">
      <w:r w:rsidRPr="006833FC">
        <w:t>Synergie</w:t>
      </w:r>
      <w:r>
        <w:t xml:space="preserve"> jako koncept</w:t>
      </w:r>
      <w:r w:rsidRPr="006833FC">
        <w:t xml:space="preserve"> </w:t>
      </w:r>
      <w:r>
        <w:t>by měly umožňovat lepší koordinaci mezi fondy financujícími projekty</w:t>
      </w:r>
      <w:r w:rsidR="009B66B5">
        <w:t xml:space="preserve"> v </w:t>
      </w:r>
      <w:r>
        <w:t>oblasti VaVaI tak, aby umožnily jejich realizaci, zlepšily jejich implementaci, zvýšily jejich velikost či dopad, případně dále rozvinuly vytvořené výsledky</w:t>
      </w:r>
      <w:r w:rsidR="009B66B5">
        <w:t xml:space="preserve"> a </w:t>
      </w:r>
      <w:r>
        <w:t>přispěly</w:t>
      </w:r>
      <w:r w:rsidR="009B66B5">
        <w:t xml:space="preserve"> k </w:t>
      </w:r>
      <w:r>
        <w:t>jejich praktické aplikaci. Synergické provázání podpory by mělo přinést vyšší efekt (p</w:t>
      </w:r>
      <w:r w:rsidR="003669C3">
        <w:t>op</w:t>
      </w:r>
      <w:r>
        <w:t>ř. financování více projektů, podpor</w:t>
      </w:r>
      <w:r w:rsidR="003669C3">
        <w:t>u</w:t>
      </w:r>
      <w:r>
        <w:t xml:space="preserve"> investic, rozpracování výsledků projektů) než oddělené financování bez této koordinace. </w:t>
      </w:r>
    </w:p>
    <w:p w14:paraId="05CA7611" w14:textId="77777777" w:rsidR="008444FF" w:rsidRDefault="008444FF" w:rsidP="008444FF">
      <w:r>
        <w:t>Potřeba</w:t>
      </w:r>
      <w:r w:rsidR="009B66B5">
        <w:t xml:space="preserve"> a </w:t>
      </w:r>
      <w:r>
        <w:t>nutnost podpory synergií mezi různými finančními schématy je dána primárně snahou</w:t>
      </w:r>
      <w:r w:rsidR="009B66B5">
        <w:t xml:space="preserve"> o </w:t>
      </w:r>
      <w:r>
        <w:t>efektivní využití omezených zdrojů</w:t>
      </w:r>
      <w:r w:rsidR="009B66B5">
        <w:t xml:space="preserve"> a </w:t>
      </w:r>
      <w:r>
        <w:t>zvýšení tak jejich účinnosti. Podpora některých forem synergií tak může zefektivnit práci výzkumníků při podávání grantů, neboť jim</w:t>
      </w:r>
      <w:r w:rsidR="009B66B5">
        <w:t xml:space="preserve"> v </w:t>
      </w:r>
      <w:r>
        <w:t>některých případech umožní financování žádostí</w:t>
      </w:r>
      <w:r w:rsidR="009B66B5">
        <w:t xml:space="preserve"> z </w:t>
      </w:r>
      <w:r>
        <w:t>jiných zdrojů, ačkoliv</w:t>
      </w:r>
      <w:r w:rsidR="009B66B5">
        <w:t xml:space="preserve"> v </w:t>
      </w:r>
      <w:r>
        <w:t>konkrétní výzvě došlo</w:t>
      </w:r>
      <w:r w:rsidR="009B66B5">
        <w:t xml:space="preserve"> k </w:t>
      </w:r>
      <w:r>
        <w:t xml:space="preserve">vyčerpání alokace. </w:t>
      </w:r>
    </w:p>
    <w:p w14:paraId="43201316" w14:textId="77777777" w:rsidR="002E3B0A" w:rsidRDefault="002E3B0A" w:rsidP="008444FF">
      <w:r>
        <w:t xml:space="preserve">Tato kapitola je zaměřena na </w:t>
      </w:r>
      <w:r w:rsidR="004661A3">
        <w:t>shrnutí hlavních typů synergií</w:t>
      </w:r>
      <w:r w:rsidR="009B66B5">
        <w:t xml:space="preserve"> a </w:t>
      </w:r>
      <w:r w:rsidR="004661A3">
        <w:t>zkušeností</w:t>
      </w:r>
      <w:r w:rsidR="009B66B5">
        <w:t xml:space="preserve"> s </w:t>
      </w:r>
      <w:r w:rsidR="004661A3">
        <w:t>jejich implementací</w:t>
      </w:r>
      <w:r w:rsidR="009B66B5">
        <w:t xml:space="preserve"> v </w:t>
      </w:r>
      <w:r w:rsidR="004661A3">
        <w:t xml:space="preserve">ČR. Důraz je kladen na </w:t>
      </w:r>
      <w:r w:rsidR="00B226BF">
        <w:t>aktuální vývoj</w:t>
      </w:r>
      <w:r w:rsidR="009B66B5">
        <w:t xml:space="preserve"> v </w:t>
      </w:r>
      <w:r w:rsidR="00B226BF">
        <w:t>této oblasti</w:t>
      </w:r>
      <w:r w:rsidR="009B66B5">
        <w:t xml:space="preserve"> a </w:t>
      </w:r>
      <w:r w:rsidR="00B226BF">
        <w:t>identifikaci příležitostí pro efektivní</w:t>
      </w:r>
      <w:r w:rsidR="009B66B5">
        <w:t xml:space="preserve"> a </w:t>
      </w:r>
      <w:r w:rsidR="00430648">
        <w:t xml:space="preserve">komplementární </w:t>
      </w:r>
      <w:r w:rsidR="00B226BF">
        <w:t xml:space="preserve">využití různých </w:t>
      </w:r>
      <w:r w:rsidR="00430648">
        <w:t>finančních schémat na podporu výzkumných</w:t>
      </w:r>
      <w:r w:rsidR="009B66B5">
        <w:t xml:space="preserve"> a </w:t>
      </w:r>
      <w:r w:rsidR="00430648">
        <w:t>inovačních aktivit</w:t>
      </w:r>
      <w:r w:rsidR="009B66B5">
        <w:t xml:space="preserve"> v </w:t>
      </w:r>
      <w:r w:rsidR="00430648">
        <w:t>ČR.</w:t>
      </w:r>
    </w:p>
    <w:p w14:paraId="40891393" w14:textId="77777777" w:rsidR="008444FF" w:rsidRPr="005413FF" w:rsidRDefault="008444FF" w:rsidP="008444FF">
      <w:pPr>
        <w:pStyle w:val="Nadpis2"/>
      </w:pPr>
      <w:bookmarkStart w:id="54" w:name="_Toc112687219"/>
      <w:bookmarkStart w:id="55" w:name="_Toc114572337"/>
      <w:r w:rsidRPr="005413FF">
        <w:t>Podpora synergií</w:t>
      </w:r>
      <w:r w:rsidR="009B66B5">
        <w:t xml:space="preserve"> v </w:t>
      </w:r>
      <w:r w:rsidRPr="005413FF">
        <w:t>oblasti VaVaI</w:t>
      </w:r>
      <w:bookmarkEnd w:id="54"/>
      <w:bookmarkEnd w:id="55"/>
      <w:r w:rsidRPr="005413FF">
        <w:t xml:space="preserve"> </w:t>
      </w:r>
    </w:p>
    <w:p w14:paraId="65C0CD69" w14:textId="77777777" w:rsidR="008444FF" w:rsidRDefault="008444FF" w:rsidP="008444FF">
      <w:r>
        <w:t xml:space="preserve">Synergie mohou být mezi různými zdroji podpory, primárně jsou jimi myšleny synergie mezi přímo řízenými nástroji </w:t>
      </w:r>
      <w:r w:rsidR="003669C3">
        <w:t>EU</w:t>
      </w:r>
      <w:r w:rsidR="00B454A2">
        <w:t xml:space="preserve"> (</w:t>
      </w:r>
      <w:r w:rsidR="005D3390">
        <w:t>na</w:t>
      </w:r>
      <w:r w:rsidR="00B454A2">
        <w:t xml:space="preserve">př. </w:t>
      </w:r>
      <w:r w:rsidR="005D3390">
        <w:t>RP</w:t>
      </w:r>
      <w:r>
        <w:t>), nástroji se sdíleným řízením (</w:t>
      </w:r>
      <w:r w:rsidR="005D3390">
        <w:t>na</w:t>
      </w:r>
      <w:r>
        <w:t>př. operační programy), národními zdroji (</w:t>
      </w:r>
      <w:r w:rsidR="005D3390">
        <w:t>na</w:t>
      </w:r>
      <w:r>
        <w:t>př. programy T</w:t>
      </w:r>
      <w:r w:rsidR="005D3390">
        <w:t>A</w:t>
      </w:r>
      <w:r w:rsidR="003108AE">
        <w:t xml:space="preserve"> </w:t>
      </w:r>
      <w:r>
        <w:t xml:space="preserve">ČR) a/nebo soukromými zdroji. Evropská komise zdůrazňuje hlavně </w:t>
      </w:r>
      <w:r w:rsidRPr="00A42C8E">
        <w:rPr>
          <w:b/>
          <w:bCs/>
        </w:rPr>
        <w:t>synergie mezi přímo řízenými nástroji</w:t>
      </w:r>
      <w:r w:rsidR="009B66B5">
        <w:rPr>
          <w:b/>
          <w:bCs/>
        </w:rPr>
        <w:t xml:space="preserve"> a </w:t>
      </w:r>
      <w:r w:rsidRPr="00A42C8E">
        <w:rPr>
          <w:b/>
          <w:bCs/>
        </w:rPr>
        <w:t>nástroji se sdíleným řízením</w:t>
      </w:r>
      <w:r>
        <w:t>. V oblasti VaVaI se jedná</w:t>
      </w:r>
      <w:r w:rsidR="009B66B5">
        <w:t xml:space="preserve"> o </w:t>
      </w:r>
      <w:r>
        <w:t>synergie mezi Horizontem</w:t>
      </w:r>
      <w:r w:rsidR="00B454A2">
        <w:t xml:space="preserve"> 2020</w:t>
      </w:r>
      <w:r w:rsidR="009B66B5">
        <w:t xml:space="preserve"> v </w:t>
      </w:r>
      <w:r w:rsidR="00B454A2">
        <w:t>programovém období 2014–</w:t>
      </w:r>
      <w:r>
        <w:t>2020 (resp. Horizontem Ev</w:t>
      </w:r>
      <w:r w:rsidR="00B454A2">
        <w:t>ropa</w:t>
      </w:r>
      <w:r w:rsidR="009B66B5">
        <w:t xml:space="preserve"> v </w:t>
      </w:r>
      <w:r w:rsidR="00B454A2">
        <w:t>programovém období 2021–2</w:t>
      </w:r>
      <w:r>
        <w:t>027)</w:t>
      </w:r>
      <w:r w:rsidR="009B66B5">
        <w:t xml:space="preserve"> a </w:t>
      </w:r>
      <w:r>
        <w:t>Operačním programem Výzkum, vývoj</w:t>
      </w:r>
      <w:r w:rsidR="009B66B5">
        <w:t xml:space="preserve"> a </w:t>
      </w:r>
      <w:r>
        <w:t>vzdělávání (resp. Operačním programem Jan Amos Komenský) / Operačním programem Podnikání</w:t>
      </w:r>
      <w:r w:rsidR="009B66B5">
        <w:t xml:space="preserve"> a </w:t>
      </w:r>
      <w:r>
        <w:t>inovace pro konkurenceschopnost (resp. Operačním programem Technologie</w:t>
      </w:r>
      <w:r w:rsidR="009B66B5">
        <w:t xml:space="preserve"> a </w:t>
      </w:r>
      <w:r>
        <w:t>aplikace pro konkurenceschopnost). Právě oblast VaVaI</w:t>
      </w:r>
      <w:r w:rsidR="00493F5A">
        <w:t xml:space="preserve"> a RP </w:t>
      </w:r>
      <w:r>
        <w:t>Horizont 2020 byl zvolen pro pil</w:t>
      </w:r>
      <w:r w:rsidR="00B454A2">
        <w:t>otní testování podpory synergií</w:t>
      </w:r>
      <w:r>
        <w:t xml:space="preserve"> společně</w:t>
      </w:r>
      <w:r w:rsidR="009B66B5">
        <w:t xml:space="preserve"> s </w:t>
      </w:r>
      <w:r w:rsidR="005D3390">
        <w:t>fondy politiky soudržnosti EU</w:t>
      </w:r>
      <w:r>
        <w:t xml:space="preserve"> (dále také „ESI fondy“). </w:t>
      </w:r>
    </w:p>
    <w:p w14:paraId="30951B46" w14:textId="77777777" w:rsidR="008444FF" w:rsidRDefault="008444FF" w:rsidP="008444FF">
      <w:r>
        <w:t>Podpora synergií byla</w:t>
      </w:r>
      <w:r w:rsidR="009B66B5">
        <w:t xml:space="preserve"> a </w:t>
      </w:r>
      <w:r>
        <w:t>stále častěji je opakovaná</w:t>
      </w:r>
      <w:r w:rsidR="009B66B5">
        <w:t xml:space="preserve"> a </w:t>
      </w:r>
      <w:r>
        <w:t>zdůrazňovaná</w:t>
      </w:r>
      <w:r w:rsidR="009B66B5">
        <w:t xml:space="preserve"> v </w:t>
      </w:r>
      <w:r>
        <w:t>politických prohlášeních, konkrétní implementace však zaostávala. Pro překonání této dichotomie Evropská komise vydala dokument, který měl synergie</w:t>
      </w:r>
      <w:r w:rsidR="009B66B5">
        <w:t xml:space="preserve"> a </w:t>
      </w:r>
      <w:r>
        <w:t xml:space="preserve">možnosti jejich využití lépe přiblížit. Tento </w:t>
      </w:r>
      <w:r w:rsidRPr="00637574">
        <w:rPr>
          <w:b/>
          <w:bCs/>
        </w:rPr>
        <w:t>tzv. Synergy Guide</w:t>
      </w:r>
      <w:r>
        <w:rPr>
          <w:rStyle w:val="Znakapoznpodarou"/>
        </w:rPr>
        <w:footnoteReference w:id="42"/>
      </w:r>
      <w:r>
        <w:t xml:space="preserve"> byl vydán</w:t>
      </w:r>
      <w:r w:rsidR="009B66B5">
        <w:t xml:space="preserve"> v </w:t>
      </w:r>
      <w:r>
        <w:t>roce 2014. Evropská komise se rovněž rozhodla pilotovat synergie na SME Instrumentu, kde projekty malých</w:t>
      </w:r>
      <w:r w:rsidR="009B66B5">
        <w:t xml:space="preserve"> a </w:t>
      </w:r>
      <w:r>
        <w:t xml:space="preserve">středních podniků mohly získat tzv. </w:t>
      </w:r>
      <w:r w:rsidRPr="00637574">
        <w:rPr>
          <w:b/>
          <w:bCs/>
        </w:rPr>
        <w:t>Pečeť excelence (Seal of Excellence)</w:t>
      </w:r>
      <w:r w:rsidR="009B66B5">
        <w:t xml:space="preserve"> v </w:t>
      </w:r>
      <w:r>
        <w:t xml:space="preserve">případě, že splnily kritéria hodnocení výzvy, ale </w:t>
      </w:r>
      <w:r w:rsidR="00B454A2">
        <w:t>v</w:t>
      </w:r>
      <w:r>
        <w:t>zhledem</w:t>
      </w:r>
      <w:r w:rsidR="009B66B5">
        <w:t xml:space="preserve"> k </w:t>
      </w:r>
      <w:r>
        <w:t>omezeným zdrojům nemohly být financovány. Pečeť excelence měla daným projektům potvrdit jejich kvalitu</w:t>
      </w:r>
      <w:r w:rsidR="009B66B5">
        <w:t xml:space="preserve"> a </w:t>
      </w:r>
      <w:r>
        <w:t>vhodnost</w:t>
      </w:r>
      <w:r w:rsidR="009B66B5">
        <w:t xml:space="preserve"> k </w:t>
      </w:r>
      <w:r>
        <w:t>financování, byť</w:t>
      </w:r>
      <w:r w:rsidR="009B66B5">
        <w:t xml:space="preserve"> z </w:t>
      </w:r>
      <w:r>
        <w:t>jiných zdrojů,</w:t>
      </w:r>
      <w:r w:rsidR="009B66B5">
        <w:t xml:space="preserve"> a </w:t>
      </w:r>
      <w:r>
        <w:t xml:space="preserve">rovněž umožnit poskytovatelům alternativního financování neprovádět věcné hodnocení projektu, neboť již </w:t>
      </w:r>
      <w:r>
        <w:lastRenderedPageBreak/>
        <w:t>bylo provedeno,</w:t>
      </w:r>
      <w:r w:rsidR="009B66B5">
        <w:t xml:space="preserve"> a </w:t>
      </w:r>
      <w:r>
        <w:t>zkrátit tak dobu nutnou</w:t>
      </w:r>
      <w:r w:rsidR="009B66B5">
        <w:t xml:space="preserve"> k </w:t>
      </w:r>
      <w:r>
        <w:t>rozhodnutí</w:t>
      </w:r>
      <w:r w:rsidR="009B66B5">
        <w:t xml:space="preserve"> o </w:t>
      </w:r>
      <w:r>
        <w:t>financování</w:t>
      </w:r>
      <w:r w:rsidR="00B454A2">
        <w:t>,</w:t>
      </w:r>
      <w:r w:rsidR="009B66B5">
        <w:t xml:space="preserve"> a </w:t>
      </w:r>
      <w:r>
        <w:t xml:space="preserve">tím umožnit rychlý začátek realizace projektu. </w:t>
      </w:r>
    </w:p>
    <w:p w14:paraId="460D32CD" w14:textId="77777777" w:rsidR="008444FF" w:rsidRDefault="008444FF" w:rsidP="008444FF">
      <w:r>
        <w:t>Zároveň došlo</w:t>
      </w:r>
      <w:r w:rsidR="009B66B5">
        <w:t xml:space="preserve"> k </w:t>
      </w:r>
      <w:r>
        <w:t xml:space="preserve">vytvoření pracovní skupiny </w:t>
      </w:r>
      <w:r w:rsidRPr="00637574">
        <w:rPr>
          <w:b/>
          <w:bCs/>
        </w:rPr>
        <w:t>Seal of Excellence Community of Practice</w:t>
      </w:r>
      <w:r>
        <w:t xml:space="preserve">, která je vedena zástupci </w:t>
      </w:r>
      <w:r w:rsidR="00A832E3">
        <w:t>Evropské komise</w:t>
      </w:r>
      <w:r w:rsidR="009B66B5">
        <w:t xml:space="preserve"> z </w:t>
      </w:r>
      <w:r>
        <w:t>Generálního ředitelství pro výzkum</w:t>
      </w:r>
      <w:r w:rsidR="009B66B5">
        <w:t xml:space="preserve"> a </w:t>
      </w:r>
      <w:r>
        <w:t>inovace (DG R</w:t>
      </w:r>
      <w:r>
        <w:rPr>
          <w:rFonts w:cs="Calibri"/>
        </w:rPr>
        <w:t>TD</w:t>
      </w:r>
      <w:r>
        <w:t>)</w:t>
      </w:r>
      <w:r w:rsidR="009B66B5">
        <w:t xml:space="preserve"> a </w:t>
      </w:r>
      <w:r>
        <w:t>Generálního ředitelství pro regionální</w:t>
      </w:r>
      <w:r w:rsidR="009B66B5">
        <w:t xml:space="preserve"> a </w:t>
      </w:r>
      <w:r>
        <w:t>městskou politiku (DG REGIO)</w:t>
      </w:r>
      <w:r w:rsidR="009B66B5">
        <w:t xml:space="preserve"> a </w:t>
      </w:r>
      <w:r>
        <w:t>složena ze zástupců poskytovatelů evropských států (národních či regionálních). Pracovní skupina diskutovala p</w:t>
      </w:r>
      <w:r w:rsidR="00B454A2">
        <w:t>raktickou implementaci synergií</w:t>
      </w:r>
      <w:r w:rsidR="00D40909">
        <w:t xml:space="preserve"> nejprve</w:t>
      </w:r>
      <w:r w:rsidR="009B66B5">
        <w:t xml:space="preserve"> s </w:t>
      </w:r>
      <w:r>
        <w:t>SME Instrumentem, postupně</w:t>
      </w:r>
      <w:r w:rsidR="009B66B5">
        <w:t xml:space="preserve"> s </w:t>
      </w:r>
      <w:r>
        <w:t>dalšími nástroji (</w:t>
      </w:r>
      <w:r w:rsidR="00D30C77">
        <w:t>na</w:t>
      </w:r>
      <w:r>
        <w:t>př. Teaming, Marie Sk</w:t>
      </w:r>
      <w:r>
        <w:rPr>
          <w:rFonts w:cs="Calibri"/>
        </w:rPr>
        <w:t>ł</w:t>
      </w:r>
      <w:r>
        <w:t xml:space="preserve">odowska Curie Actions – Individual </w:t>
      </w:r>
      <w:r w:rsidR="00B454A2">
        <w:t>Fellowships)</w:t>
      </w:r>
      <w:r w:rsidR="009B66B5">
        <w:t xml:space="preserve"> a </w:t>
      </w:r>
      <w:r>
        <w:t>identifikovala největší překážky</w:t>
      </w:r>
      <w:r w:rsidR="009B66B5">
        <w:t xml:space="preserve"> a </w:t>
      </w:r>
      <w:r>
        <w:t>obtíže, kterým poskytovatelé</w:t>
      </w:r>
      <w:r w:rsidR="009B66B5">
        <w:t xml:space="preserve"> z </w:t>
      </w:r>
      <w:r>
        <w:t xml:space="preserve">národních, regionálních či ESI fondů čelí. </w:t>
      </w:r>
    </w:p>
    <w:p w14:paraId="0362C7C8" w14:textId="77777777" w:rsidR="008444FF" w:rsidRDefault="008444FF" w:rsidP="008444FF">
      <w:r>
        <w:t>Díky práci Community of Practice, kde jako jedna ze společných překážek byla všemi poskytovateli identifikována veřejná podpora, došlo ke spolupráci</w:t>
      </w:r>
      <w:r w:rsidR="009B66B5">
        <w:t xml:space="preserve"> s </w:t>
      </w:r>
      <w:r>
        <w:t>Generálním ředitelstvím pro veřejnou soutěž (DG COMP)</w:t>
      </w:r>
      <w:r w:rsidR="009B66B5">
        <w:t xml:space="preserve"> a </w:t>
      </w:r>
      <w:r>
        <w:t>proběhla diskuze</w:t>
      </w:r>
      <w:r w:rsidR="009B66B5">
        <w:t xml:space="preserve"> k </w:t>
      </w:r>
      <w:r>
        <w:t>možnosti aktualizace</w:t>
      </w:r>
      <w:r w:rsidRPr="00354F1C">
        <w:rPr>
          <w:b/>
          <w:bCs/>
        </w:rPr>
        <w:t xml:space="preserve"> Obecného nařízení</w:t>
      </w:r>
      <w:r w:rsidR="009B66B5">
        <w:rPr>
          <w:b/>
          <w:bCs/>
        </w:rPr>
        <w:t xml:space="preserve"> o </w:t>
      </w:r>
      <w:r w:rsidRPr="00354F1C">
        <w:rPr>
          <w:b/>
          <w:bCs/>
        </w:rPr>
        <w:t>blokových výjimkách</w:t>
      </w:r>
      <w:r>
        <w:t xml:space="preserve"> </w:t>
      </w:r>
      <w:r w:rsidRPr="00A13933">
        <w:rPr>
          <w:b/>
          <w:bCs/>
        </w:rPr>
        <w:t>(dále také „GBER“)</w:t>
      </w:r>
      <w:r>
        <w:t>. Proběhly dvě veřejné konzultace (2019</w:t>
      </w:r>
      <w:r>
        <w:rPr>
          <w:rStyle w:val="Znakapoznpodarou"/>
        </w:rPr>
        <w:footnoteReference w:id="43"/>
      </w:r>
      <w:r w:rsidR="009B66B5">
        <w:t xml:space="preserve"> a </w:t>
      </w:r>
      <w:r>
        <w:t>2020</w:t>
      </w:r>
      <w:r>
        <w:rPr>
          <w:rStyle w:val="Znakapoznpodarou"/>
        </w:rPr>
        <w:footnoteReference w:id="44"/>
      </w:r>
      <w:r>
        <w:t>)</w:t>
      </w:r>
      <w:r w:rsidR="009B66B5">
        <w:t xml:space="preserve"> a </w:t>
      </w:r>
      <w:r>
        <w:t>následně</w:t>
      </w:r>
      <w:r w:rsidR="009B66B5">
        <w:t xml:space="preserve"> v </w:t>
      </w:r>
      <w:r>
        <w:t>srpnu 2021 došlo</w:t>
      </w:r>
      <w:r w:rsidR="009B66B5">
        <w:t xml:space="preserve"> k </w:t>
      </w:r>
      <w:r>
        <w:t>novelizaci GBER.</w:t>
      </w:r>
      <w:r w:rsidRPr="00354F1C">
        <w:t xml:space="preserve"> </w:t>
      </w:r>
      <w:r>
        <w:t>V nařízení došlo</w:t>
      </w:r>
      <w:r w:rsidR="009B66B5">
        <w:t xml:space="preserve"> k </w:t>
      </w:r>
      <w:r>
        <w:t>přidání speciálních článků 25a, 25b, 25c</w:t>
      </w:r>
      <w:r w:rsidR="009B66B5">
        <w:t xml:space="preserve"> a </w:t>
      </w:r>
      <w:r>
        <w:t>25d, které jsou věnovány synergiím</w:t>
      </w:r>
      <w:r w:rsidR="009B66B5">
        <w:t xml:space="preserve"> a </w:t>
      </w:r>
      <w:r>
        <w:t xml:space="preserve">slučitelnosti podpory synergických projektů. </w:t>
      </w:r>
    </w:p>
    <w:p w14:paraId="78C55855" w14:textId="77777777" w:rsidR="008444FF" w:rsidRDefault="008444FF" w:rsidP="008444FF">
      <w:r>
        <w:t>Vzhledem ke zkušenostem, které byly zí</w:t>
      </w:r>
      <w:r w:rsidR="00B454A2">
        <w:t>skány</w:t>
      </w:r>
      <w:r w:rsidR="009B66B5">
        <w:t xml:space="preserve"> v </w:t>
      </w:r>
      <w:r w:rsidR="00B454A2">
        <w:t>programovém období 2014–</w:t>
      </w:r>
      <w:r>
        <w:t>2020,</w:t>
      </w:r>
      <w:r w:rsidR="009B66B5">
        <w:t xml:space="preserve"> k </w:t>
      </w:r>
      <w:r>
        <w:t>pokračující podpoře hledání synergií</w:t>
      </w:r>
      <w:r>
        <w:rPr>
          <w:rStyle w:val="Znakapoznpodarou"/>
        </w:rPr>
        <w:footnoteReference w:id="45"/>
      </w:r>
      <w:r w:rsidR="009B66B5">
        <w:t xml:space="preserve"> a </w:t>
      </w:r>
      <w:r>
        <w:t>možnosti zlepšit</w:t>
      </w:r>
      <w:r w:rsidR="009B66B5">
        <w:t xml:space="preserve"> a </w:t>
      </w:r>
      <w:r>
        <w:t xml:space="preserve">zefektivnit využívání dostupných finančních zdrojů, </w:t>
      </w:r>
      <w:r w:rsidR="00AA2026">
        <w:t>Evropská komise</w:t>
      </w:r>
      <w:r>
        <w:t xml:space="preserve"> koncept synergií stále velmi podporuje.  </w:t>
      </w:r>
    </w:p>
    <w:p w14:paraId="7219DBAE" w14:textId="77777777" w:rsidR="008444FF" w:rsidRDefault="008444FF" w:rsidP="008444FF">
      <w:r>
        <w:t xml:space="preserve">Výchozí podporou ze strany </w:t>
      </w:r>
      <w:r w:rsidR="00AA2026">
        <w:t>Evropské komise</w:t>
      </w:r>
      <w:r>
        <w:t xml:space="preserve"> je provázání legislativy</w:t>
      </w:r>
      <w:r w:rsidR="009B66B5">
        <w:t xml:space="preserve"> v </w:t>
      </w:r>
      <w:r>
        <w:t>oblasti Horizontu Evropa</w:t>
      </w:r>
      <w:r w:rsidR="009B66B5">
        <w:t xml:space="preserve"> a </w:t>
      </w:r>
      <w:r>
        <w:t>ESI fondů pro prog</w:t>
      </w:r>
      <w:r w:rsidR="00B454A2">
        <w:t>ramové období 2021–</w:t>
      </w:r>
      <w:r>
        <w:t>2027. Relevantní články nařízení Horizontu Evropa</w:t>
      </w:r>
      <w:r>
        <w:rPr>
          <w:rStyle w:val="Znakapoznpodarou"/>
        </w:rPr>
        <w:footnoteReference w:id="46"/>
      </w:r>
      <w:r>
        <w:t xml:space="preserve"> jsou čl. 2 odstavec 23; čl. 15 odstavce 2, 3, 4, 5</w:t>
      </w:r>
      <w:r w:rsidR="009B66B5">
        <w:t xml:space="preserve"> a </w:t>
      </w:r>
      <w:r>
        <w:t>6; čl. 24 odstavec 4; čl.  48 odstavec 7</w:t>
      </w:r>
      <w:r w:rsidR="009B66B5">
        <w:t xml:space="preserve"> a </w:t>
      </w:r>
      <w:r>
        <w:t>čl. 50. Relevantní články tzv. obecného nařízení pro fondy EU</w:t>
      </w:r>
      <w:r>
        <w:rPr>
          <w:rStyle w:val="Znakapoznpodarou"/>
        </w:rPr>
        <w:footnoteReference w:id="47"/>
      </w:r>
      <w:r>
        <w:t xml:space="preserve"> jsou čl. 2 odstavec 45; čl. 26; čl. 63 odstavec 9; čl. 7</w:t>
      </w:r>
      <w:r w:rsidR="00B454A2">
        <w:t>1 odstavec 5; čl. 73 odstavec 4</w:t>
      </w:r>
      <w:r w:rsidR="009B66B5">
        <w:t xml:space="preserve"> a </w:t>
      </w:r>
      <w:r>
        <w:t>zdůvodnění body 19</w:t>
      </w:r>
      <w:r w:rsidR="009B66B5">
        <w:t xml:space="preserve"> a </w:t>
      </w:r>
      <w:r>
        <w:t>61.</w:t>
      </w:r>
    </w:p>
    <w:p w14:paraId="2CC6EFC4" w14:textId="77777777" w:rsidR="008444FF" w:rsidRDefault="008444FF" w:rsidP="008444FF">
      <w:r>
        <w:t>Fondy EU při přípr</w:t>
      </w:r>
      <w:r w:rsidR="00B454A2">
        <w:t xml:space="preserve">avě na </w:t>
      </w:r>
      <w:r w:rsidR="00626EC5">
        <w:t>programové</w:t>
      </w:r>
      <w:r w:rsidR="00B454A2">
        <w:t xml:space="preserve"> období 2021–</w:t>
      </w:r>
      <w:r>
        <w:t>2027 proto musely zvážit možnosti synergií</w:t>
      </w:r>
      <w:r w:rsidR="009B66B5">
        <w:t xml:space="preserve"> s </w:t>
      </w:r>
      <w:r>
        <w:t>ostatními nástroji EU</w:t>
      </w:r>
      <w:r w:rsidR="009B66B5">
        <w:t xml:space="preserve"> a </w:t>
      </w:r>
      <w:r>
        <w:t>národními dotačními tituly</w:t>
      </w:r>
      <w:r w:rsidR="009B66B5">
        <w:t xml:space="preserve"> a </w:t>
      </w:r>
      <w:r>
        <w:t>tyto vazby jsou přílohou</w:t>
      </w:r>
      <w:r>
        <w:rPr>
          <w:rStyle w:val="Znakapoznpodarou"/>
        </w:rPr>
        <w:footnoteReference w:id="48"/>
      </w:r>
      <w:r>
        <w:t xml:space="preserve"> české </w:t>
      </w:r>
      <w:r>
        <w:lastRenderedPageBreak/>
        <w:t>Doho</w:t>
      </w:r>
      <w:r w:rsidR="00B454A2">
        <w:t>dy</w:t>
      </w:r>
      <w:r w:rsidR="009B66B5">
        <w:t xml:space="preserve"> o </w:t>
      </w:r>
      <w:r w:rsidR="00B454A2">
        <w:t>partnerství na období 2021–</w:t>
      </w:r>
      <w:r>
        <w:t>2027, což je strategický dokument,</w:t>
      </w:r>
      <w:r w:rsidR="009B66B5">
        <w:t xml:space="preserve"> v </w:t>
      </w:r>
      <w:r>
        <w:t>němž jsou souhrnně popsány základní cíle, charakteristiky</w:t>
      </w:r>
      <w:r w:rsidR="009B66B5">
        <w:t xml:space="preserve"> a </w:t>
      </w:r>
      <w:r>
        <w:t>parametry využívání fondů EU pro dané programové období za daný stát</w:t>
      </w:r>
      <w:r>
        <w:rPr>
          <w:rStyle w:val="Znakapoznpodarou"/>
        </w:rPr>
        <w:footnoteReference w:id="49"/>
      </w:r>
      <w:r>
        <w:t xml:space="preserve">. </w:t>
      </w:r>
    </w:p>
    <w:p w14:paraId="2925CF19" w14:textId="77777777" w:rsidR="008444FF" w:rsidRDefault="008444FF" w:rsidP="008444FF">
      <w:r>
        <w:t xml:space="preserve">Aktuálnost tématu byla potvrzena skutečností, že podporu synergií si zvolila </w:t>
      </w:r>
      <w:r w:rsidR="00B454A2">
        <w:t xml:space="preserve">ČR </w:t>
      </w:r>
      <w:r>
        <w:t>jako jedno</w:t>
      </w:r>
      <w:r w:rsidR="009B66B5">
        <w:t xml:space="preserve"> z </w:t>
      </w:r>
      <w:r w:rsidR="000C1030">
        <w:t>prioritních</w:t>
      </w:r>
      <w:r>
        <w:t xml:space="preserve"> témat oblasti VaVaI svého předsednictví</w:t>
      </w:r>
      <w:r w:rsidR="009B66B5">
        <w:t xml:space="preserve"> v </w:t>
      </w:r>
      <w:r>
        <w:t xml:space="preserve">Radě </w:t>
      </w:r>
      <w:r w:rsidR="000C1030">
        <w:t>EU</w:t>
      </w:r>
      <w:r>
        <w:t xml:space="preserve">, </w:t>
      </w:r>
      <w:r w:rsidR="000C1030">
        <w:t>jehož se chopila</w:t>
      </w:r>
      <w:r>
        <w:t xml:space="preserve"> </w:t>
      </w:r>
      <w:r w:rsidR="000C1030">
        <w:t xml:space="preserve">dne </w:t>
      </w:r>
      <w:r>
        <w:t xml:space="preserve">1. července 2022. </w:t>
      </w:r>
      <w:r w:rsidR="000C1030">
        <w:t>MŠMT</w:t>
      </w:r>
      <w:r>
        <w:t xml:space="preserve"> </w:t>
      </w:r>
      <w:r w:rsidR="000C1030">
        <w:t>i</w:t>
      </w:r>
      <w:r>
        <w:t>hned po převzetí předsednické štafety uspořádal</w:t>
      </w:r>
      <w:r w:rsidR="000C1030">
        <w:t>o</w:t>
      </w:r>
      <w:r>
        <w:t xml:space="preserve"> k</w:t>
      </w:r>
      <w:r w:rsidRPr="007649B7">
        <w:rPr>
          <w:b/>
          <w:bCs/>
        </w:rPr>
        <w:t>onferenci</w:t>
      </w:r>
      <w:r w:rsidR="009B66B5">
        <w:rPr>
          <w:b/>
          <w:bCs/>
        </w:rPr>
        <w:t xml:space="preserve"> k </w:t>
      </w:r>
      <w:r w:rsidRPr="007649B7">
        <w:rPr>
          <w:b/>
          <w:bCs/>
        </w:rPr>
        <w:t>synergiím ve financování výzkumu</w:t>
      </w:r>
      <w:r w:rsidR="009B66B5">
        <w:rPr>
          <w:b/>
          <w:bCs/>
        </w:rPr>
        <w:t xml:space="preserve"> a </w:t>
      </w:r>
      <w:r w:rsidRPr="007649B7">
        <w:rPr>
          <w:b/>
          <w:bCs/>
        </w:rPr>
        <w:t>inovací</w:t>
      </w:r>
      <w:r w:rsidR="009B66B5">
        <w:rPr>
          <w:b/>
          <w:bCs/>
        </w:rPr>
        <w:t xml:space="preserve"> v </w:t>
      </w:r>
      <w:r w:rsidRPr="007649B7">
        <w:rPr>
          <w:b/>
          <w:bCs/>
        </w:rPr>
        <w:t>Evropě</w:t>
      </w:r>
      <w:r>
        <w:rPr>
          <w:rStyle w:val="Znakapoznpodarou"/>
        </w:rPr>
        <w:footnoteReference w:id="50"/>
      </w:r>
      <w:r>
        <w:t xml:space="preserve">, kde byly diskutovány praktické aspekty implementace synergií. Závěry konference jsou představeny formou tzv. </w:t>
      </w:r>
      <w:r w:rsidRPr="007649B7">
        <w:rPr>
          <w:b/>
          <w:bCs/>
        </w:rPr>
        <w:t>Pražsk</w:t>
      </w:r>
      <w:r>
        <w:rPr>
          <w:b/>
          <w:bCs/>
        </w:rPr>
        <w:t>é</w:t>
      </w:r>
      <w:r w:rsidRPr="007649B7">
        <w:rPr>
          <w:b/>
          <w:bCs/>
        </w:rPr>
        <w:t xml:space="preserve"> deklarace</w:t>
      </w:r>
      <w:r w:rsidR="009B66B5">
        <w:t xml:space="preserve"> o </w:t>
      </w:r>
      <w:r w:rsidRPr="00FE163B">
        <w:rPr>
          <w:b/>
          <w:bCs/>
        </w:rPr>
        <w:t>synergiích ve financování výzkumu</w:t>
      </w:r>
      <w:r w:rsidR="009B66B5">
        <w:rPr>
          <w:b/>
          <w:bCs/>
        </w:rPr>
        <w:t xml:space="preserve"> a </w:t>
      </w:r>
      <w:r w:rsidRPr="00FE163B">
        <w:rPr>
          <w:b/>
          <w:bCs/>
        </w:rPr>
        <w:t>inovací</w:t>
      </w:r>
      <w:r w:rsidR="009B66B5">
        <w:rPr>
          <w:b/>
          <w:bCs/>
        </w:rPr>
        <w:t xml:space="preserve"> v </w:t>
      </w:r>
      <w:r w:rsidRPr="00FE163B">
        <w:rPr>
          <w:b/>
          <w:bCs/>
        </w:rPr>
        <w:t>Evropě</w:t>
      </w:r>
      <w:r>
        <w:rPr>
          <w:rStyle w:val="Znakapoznpodarou"/>
          <w:b/>
          <w:bCs/>
        </w:rPr>
        <w:footnoteReference w:id="51"/>
      </w:r>
      <w:r>
        <w:t>, která vyzývá evropské zainteresované strany, aby pokračovaly</w:t>
      </w:r>
      <w:r w:rsidR="009B66B5">
        <w:t xml:space="preserve"> v </w:t>
      </w:r>
      <w:r>
        <w:t>odstraňování bariér pro plné využití synergií,</w:t>
      </w:r>
      <w:r w:rsidR="009B66B5">
        <w:t xml:space="preserve"> a </w:t>
      </w:r>
      <w:r>
        <w:t xml:space="preserve">která </w:t>
      </w:r>
      <w:r w:rsidR="000C1030">
        <w:t xml:space="preserve">byla </w:t>
      </w:r>
      <w:r>
        <w:t>předložena členským státům EU</w:t>
      </w:r>
      <w:r w:rsidR="009B66B5">
        <w:t xml:space="preserve"> k </w:t>
      </w:r>
      <w:r>
        <w:t xml:space="preserve">vyjádření jejich politické podpory. </w:t>
      </w:r>
    </w:p>
    <w:p w14:paraId="2E85C118" w14:textId="77777777" w:rsidR="008444FF" w:rsidRPr="00734FC2" w:rsidRDefault="008444FF" w:rsidP="008444FF">
      <w:r>
        <w:t xml:space="preserve">Právě zmíněnou konferenci využili zástupci </w:t>
      </w:r>
      <w:r w:rsidR="00AA2026">
        <w:t>Evropské komise</w:t>
      </w:r>
      <w:r w:rsidR="009B66B5">
        <w:t xml:space="preserve"> k </w:t>
      </w:r>
      <w:r>
        <w:t xml:space="preserve">představení nového dokumentu </w:t>
      </w:r>
      <w:r w:rsidRPr="00076763">
        <w:rPr>
          <w:b/>
          <w:bCs/>
        </w:rPr>
        <w:t>Oznámení</w:t>
      </w:r>
      <w:r w:rsidR="009B66B5">
        <w:rPr>
          <w:b/>
          <w:bCs/>
        </w:rPr>
        <w:t xml:space="preserve"> k </w:t>
      </w:r>
      <w:r w:rsidRPr="00076763">
        <w:rPr>
          <w:b/>
          <w:bCs/>
        </w:rPr>
        <w:t>synergiím mezi ERDF programy</w:t>
      </w:r>
      <w:r w:rsidR="009B66B5">
        <w:rPr>
          <w:b/>
          <w:bCs/>
        </w:rPr>
        <w:t xml:space="preserve"> a </w:t>
      </w:r>
      <w:r w:rsidRPr="00076763">
        <w:rPr>
          <w:b/>
          <w:bCs/>
        </w:rPr>
        <w:t>Horizontem Evropa</w:t>
      </w:r>
      <w:r>
        <w:rPr>
          <w:rStyle w:val="Znakapoznpodarou"/>
        </w:rPr>
        <w:footnoteReference w:id="52"/>
      </w:r>
      <w:r>
        <w:t xml:space="preserve">, jehož </w:t>
      </w:r>
      <w:r w:rsidR="00B454A2">
        <w:t>návrh</w:t>
      </w:r>
      <w:r>
        <w:t xml:space="preserve"> byl zveřejněn těsně před zahájením konference. Finální zveřejnění proběhne na podzim 2022, nicméně </w:t>
      </w:r>
      <w:r w:rsidR="00AA2026">
        <w:t>Evropská komise</w:t>
      </w:r>
      <w:r>
        <w:t xml:space="preserve"> žádné změny</w:t>
      </w:r>
      <w:r w:rsidR="009B66B5">
        <w:t xml:space="preserve"> v </w:t>
      </w:r>
      <w:r w:rsidR="00B454A2">
        <w:t>návrhu</w:t>
      </w:r>
      <w:r>
        <w:t xml:space="preserve"> dokumentu nepředpokládá. Dokument představuje dosavadní zkušenosti </w:t>
      </w:r>
      <w:r w:rsidR="00AA2026">
        <w:t>Evropské komise</w:t>
      </w:r>
      <w:r w:rsidR="009B66B5">
        <w:t xml:space="preserve"> a </w:t>
      </w:r>
      <w:r>
        <w:t>poskytovatelů</w:t>
      </w:r>
      <w:r w:rsidR="009B66B5">
        <w:t xml:space="preserve"> s </w:t>
      </w:r>
      <w:r>
        <w:t>implementací synergií, uvádí postupy, jak při implementaci pracovat</w:t>
      </w:r>
      <w:r w:rsidR="009B66B5">
        <w:t xml:space="preserve"> a </w:t>
      </w:r>
      <w:r>
        <w:t>na jaké kroky</w:t>
      </w:r>
      <w:r w:rsidR="009B66B5">
        <w:t xml:space="preserve"> a </w:t>
      </w:r>
      <w:r>
        <w:t>problematiky nezapomenout,</w:t>
      </w:r>
      <w:r w:rsidR="009B66B5">
        <w:t xml:space="preserve"> a </w:t>
      </w:r>
      <w:r>
        <w:t xml:space="preserve">konkrétní příklady. Slabinou nového dokumentu je, že se soustředí </w:t>
      </w:r>
      <w:r w:rsidR="000C1030">
        <w:t xml:space="preserve">výlučně </w:t>
      </w:r>
      <w:r>
        <w:t>na synergie Horizontu Evropa</w:t>
      </w:r>
      <w:r w:rsidR="009B66B5">
        <w:t xml:space="preserve"> s </w:t>
      </w:r>
      <w:r>
        <w:t>ERDF programy</w:t>
      </w:r>
      <w:r>
        <w:rPr>
          <w:rStyle w:val="Znakapoznpodarou"/>
        </w:rPr>
        <w:footnoteReference w:id="53"/>
      </w:r>
      <w:r w:rsidR="009B66B5">
        <w:t xml:space="preserve"> a </w:t>
      </w:r>
      <w:r>
        <w:t>opomíjí možnosti financování</w:t>
      </w:r>
      <w:r w:rsidR="009B66B5">
        <w:t xml:space="preserve"> z </w:t>
      </w:r>
      <w:r>
        <w:t>ESF</w:t>
      </w:r>
      <w:r>
        <w:rPr>
          <w:rStyle w:val="Znakapoznpodarou"/>
        </w:rPr>
        <w:footnoteReference w:id="54"/>
      </w:r>
      <w:r w:rsidR="009B66B5">
        <w:t xml:space="preserve"> a </w:t>
      </w:r>
      <w:r>
        <w:t>především národních (či regionálních) zdrojů.</w:t>
      </w:r>
    </w:p>
    <w:p w14:paraId="7CD2F539" w14:textId="77777777" w:rsidR="008444FF" w:rsidRPr="005413FF" w:rsidRDefault="008444FF" w:rsidP="008444FF">
      <w:pPr>
        <w:pStyle w:val="Nadpis2"/>
      </w:pPr>
      <w:bookmarkStart w:id="56" w:name="_Toc112687220"/>
      <w:bookmarkStart w:id="57" w:name="_Toc114572338"/>
      <w:r w:rsidRPr="005413FF">
        <w:t>Typy synergií</w:t>
      </w:r>
      <w:bookmarkEnd w:id="56"/>
      <w:r w:rsidR="009B66B5">
        <w:t xml:space="preserve"> a </w:t>
      </w:r>
      <w:r>
        <w:t>zkušenosti ČR</w:t>
      </w:r>
      <w:bookmarkEnd w:id="57"/>
    </w:p>
    <w:p w14:paraId="4416914E" w14:textId="77777777" w:rsidR="008444FF" w:rsidRDefault="008444FF" w:rsidP="008444FF">
      <w:r>
        <w:t>Lze rozlišovat několik typů synergií</w:t>
      </w:r>
      <w:r>
        <w:rPr>
          <w:rStyle w:val="Znakapoznpodarou"/>
        </w:rPr>
        <w:footnoteReference w:id="55"/>
      </w:r>
      <w:r>
        <w:t>. Zde jsou uvedeny typy synergií</w:t>
      </w:r>
      <w:r w:rsidR="00D40909">
        <w:t>, tak</w:t>
      </w:r>
      <w:r>
        <w:t xml:space="preserve"> jak jsou uvedené</w:t>
      </w:r>
      <w:r w:rsidR="009B66B5">
        <w:t xml:space="preserve"> v </w:t>
      </w:r>
      <w:r>
        <w:t xml:space="preserve">nově vydaném </w:t>
      </w:r>
      <w:r w:rsidR="00D40909">
        <w:t>návrhu</w:t>
      </w:r>
      <w:r>
        <w:t xml:space="preserve"> Oznámení</w:t>
      </w:r>
      <w:r w:rsidR="009B66B5">
        <w:t xml:space="preserve"> k </w:t>
      </w:r>
      <w:r>
        <w:t>synergiím mezi ERDF programy</w:t>
      </w:r>
      <w:r w:rsidR="009B66B5">
        <w:t xml:space="preserve"> a </w:t>
      </w:r>
      <w:r>
        <w:t>Horizontem Evropa (viz výše). Vždy je však nutné mít na paměti, že Horizont Evropa</w:t>
      </w:r>
      <w:r w:rsidR="009B66B5">
        <w:t xml:space="preserve"> a </w:t>
      </w:r>
      <w:r>
        <w:t>ERDF programy mají ze své podstaty jiné hlavní cíle</w:t>
      </w:r>
      <w:r w:rsidR="009B66B5">
        <w:t xml:space="preserve"> a </w:t>
      </w:r>
      <w:r>
        <w:t>financování projektů</w:t>
      </w:r>
      <w:r w:rsidR="009B66B5">
        <w:t xml:space="preserve"> z </w:t>
      </w:r>
      <w:r>
        <w:t xml:space="preserve">těchto zdrojů jim musí odpovídat. </w:t>
      </w:r>
    </w:p>
    <w:p w14:paraId="647B13D0" w14:textId="77777777" w:rsidR="008444FF" w:rsidRDefault="008444FF" w:rsidP="008444FF">
      <w:r w:rsidRPr="00821C73">
        <w:t>ČR je</w:t>
      </w:r>
      <w:r w:rsidR="009B66B5">
        <w:t xml:space="preserve"> v </w:t>
      </w:r>
      <w:r w:rsidRPr="00821C73">
        <w:t xml:space="preserve">hledání možností uplatnění synergií </w:t>
      </w:r>
      <w:r w:rsidR="00350310">
        <w:t>od</w:t>
      </w:r>
      <w:r w:rsidR="00350310" w:rsidRPr="00821C73">
        <w:t xml:space="preserve"> </w:t>
      </w:r>
      <w:r>
        <w:t>minulého</w:t>
      </w:r>
      <w:r w:rsidRPr="00821C73">
        <w:t xml:space="preserve"> programov</w:t>
      </w:r>
      <w:r>
        <w:t>ého</w:t>
      </w:r>
      <w:r w:rsidR="00D40909">
        <w:t xml:space="preserve"> období 2014–</w:t>
      </w:r>
      <w:r w:rsidRPr="00821C73">
        <w:t xml:space="preserve">2020 </w:t>
      </w:r>
      <w:r w:rsidR="00350310">
        <w:t xml:space="preserve">velmi </w:t>
      </w:r>
      <w:r w:rsidRPr="00821C73">
        <w:t>aktivní</w:t>
      </w:r>
      <w:r w:rsidR="009B66B5">
        <w:t xml:space="preserve"> a </w:t>
      </w:r>
      <w:r>
        <w:t>využívá své zkušen</w:t>
      </w:r>
      <w:r w:rsidR="00D40909">
        <w:t>osti</w:t>
      </w:r>
      <w:r w:rsidR="009B66B5">
        <w:t xml:space="preserve"> i </w:t>
      </w:r>
      <w:r w:rsidR="00D40909">
        <w:t>pro současné období 2021–</w:t>
      </w:r>
      <w:r>
        <w:t xml:space="preserve">2027. V ČR jsou hledány </w:t>
      </w:r>
      <w:r>
        <w:lastRenderedPageBreak/>
        <w:t>synergie</w:t>
      </w:r>
      <w:r w:rsidR="009B66B5">
        <w:t xml:space="preserve"> s </w:t>
      </w:r>
      <w:r>
        <w:t>ESI fondy</w:t>
      </w:r>
      <w:r w:rsidR="00D40909">
        <w:t xml:space="preserve"> </w:t>
      </w:r>
      <w:r>
        <w:t>/</w:t>
      </w:r>
      <w:r w:rsidR="00D40909">
        <w:t xml:space="preserve"> </w:t>
      </w:r>
      <w:r>
        <w:t>fondy EU,</w:t>
      </w:r>
      <w:r w:rsidR="009B66B5">
        <w:t xml:space="preserve"> s </w:t>
      </w:r>
      <w:r>
        <w:t>národními zdroji (i</w:t>
      </w:r>
      <w:r w:rsidR="009B66B5">
        <w:t xml:space="preserve"> s </w:t>
      </w:r>
      <w:r>
        <w:t>regionálními zdroji</w:t>
      </w:r>
      <w:r>
        <w:rPr>
          <w:rStyle w:val="Znakapoznpodarou"/>
        </w:rPr>
        <w:footnoteReference w:id="56"/>
      </w:r>
      <w:r>
        <w:t>). Zástupci některých českých poskytovatelů (např.</w:t>
      </w:r>
      <w:r w:rsidR="009B66B5">
        <w:t xml:space="preserve"> z </w:t>
      </w:r>
      <w:r>
        <w:t>národních MŠMT, TA</w:t>
      </w:r>
      <w:r w:rsidR="00C853D7">
        <w:t xml:space="preserve"> </w:t>
      </w:r>
      <w:r>
        <w:t>ČR, MMR) jsou členové pracovní skupin</w:t>
      </w:r>
      <w:r w:rsidRPr="002961B9">
        <w:t>y Seal of Excellence Community of Practice</w:t>
      </w:r>
      <w:r w:rsidR="009B66B5">
        <w:t xml:space="preserve"> a </w:t>
      </w:r>
      <w:r>
        <w:t>sdílí své zkušenosti</w:t>
      </w:r>
      <w:r w:rsidR="009B66B5">
        <w:t xml:space="preserve"> i </w:t>
      </w:r>
      <w:r>
        <w:t>mezi sebou</w:t>
      </w:r>
      <w:r w:rsidR="009B66B5">
        <w:t xml:space="preserve"> a </w:t>
      </w:r>
      <w:r>
        <w:t>dalšími českými institucemi</w:t>
      </w:r>
      <w:r w:rsidR="009B66B5">
        <w:t xml:space="preserve"> v </w:t>
      </w:r>
      <w:r>
        <w:t>neformální pracovní skupině</w:t>
      </w:r>
      <w:r w:rsidR="009B66B5">
        <w:t xml:space="preserve"> k </w:t>
      </w:r>
      <w:r>
        <w:t>synergiím. Neformální pracovní skupina rovněž již dvakrát uspořádala setkání</w:t>
      </w:r>
      <w:r w:rsidR="009B66B5">
        <w:t xml:space="preserve"> s </w:t>
      </w:r>
      <w:r>
        <w:t>národními poskytovateli (tzv. Synergies open)</w:t>
      </w:r>
      <w:r w:rsidR="009B66B5">
        <w:t xml:space="preserve"> s </w:t>
      </w:r>
      <w:r>
        <w:t>cílem informovat je</w:t>
      </w:r>
      <w:r w:rsidR="009B66B5">
        <w:t xml:space="preserve"> o </w:t>
      </w:r>
      <w:r>
        <w:t>synergiích, aktuálním vývoji problematiky, zkušenostech poskytovatelů, kteří již synergie implementují</w:t>
      </w:r>
      <w:r w:rsidR="00D40909">
        <w:t>,</w:t>
      </w:r>
      <w:r w:rsidR="009B66B5">
        <w:t xml:space="preserve"> a </w:t>
      </w:r>
      <w:r>
        <w:t>navázat kontakty</w:t>
      </w:r>
      <w:r w:rsidR="00350310">
        <w:t>.</w:t>
      </w:r>
    </w:p>
    <w:p w14:paraId="733029B0" w14:textId="77777777" w:rsidR="008444FF" w:rsidRPr="002A1A20" w:rsidRDefault="008444FF" w:rsidP="008444FF">
      <w:pPr>
        <w:pStyle w:val="Nadpis3"/>
      </w:pPr>
      <w:bookmarkStart w:id="58" w:name="_Toc114572339"/>
      <w:r w:rsidRPr="002A1A20">
        <w:t>Pečeť excelence (Seal of Excellence)</w:t>
      </w:r>
      <w:bookmarkEnd w:id="58"/>
      <w:r w:rsidRPr="002A1A20">
        <w:t xml:space="preserve"> </w:t>
      </w:r>
    </w:p>
    <w:p w14:paraId="19BC4059" w14:textId="77777777" w:rsidR="008444FF" w:rsidRDefault="008444FF" w:rsidP="008444FF">
      <w:r>
        <w:t xml:space="preserve">Pečeť excelence je označením kvality, kterou uděluje </w:t>
      </w:r>
      <w:r w:rsidR="00AA2026">
        <w:t>Evropská komise</w:t>
      </w:r>
      <w:r>
        <w:t xml:space="preserve"> žádostem</w:t>
      </w:r>
      <w:r w:rsidR="009B66B5">
        <w:t xml:space="preserve"> o </w:t>
      </w:r>
      <w:r>
        <w:t>podporu, které byly podány do soutěžní výzvy evropského nástroje</w:t>
      </w:r>
      <w:r w:rsidR="009B66B5">
        <w:t xml:space="preserve"> a </w:t>
      </w:r>
      <w:r>
        <w:t>zhodnoceny, že splnily minimální kvalitativní požadavky daného nástroje, ale které nemohly získat financování kvůli nedostatku alokace (rozpočtovým omezením). Pečeť excelence indikuje, že projekt by mohl být vhodným kandidátem na obdržení podpory</w:t>
      </w:r>
      <w:r w:rsidR="009B66B5">
        <w:t xml:space="preserve"> z </w:t>
      </w:r>
      <w:r>
        <w:t>jiných evropských či národní zdrojů. Jedná se tedy</w:t>
      </w:r>
      <w:r w:rsidR="009B66B5">
        <w:t xml:space="preserve"> o </w:t>
      </w:r>
      <w:r>
        <w:t>alternativní způsob financování, kdy finance nejsou získány od vypisovatele původní výzvy, ale</w:t>
      </w:r>
      <w:r w:rsidR="009B66B5">
        <w:t xml:space="preserve"> v </w:t>
      </w:r>
      <w:r>
        <w:t xml:space="preserve">ideální případě od jiného (náhradního) poskytovatele. </w:t>
      </w:r>
    </w:p>
    <w:p w14:paraId="65FD501A" w14:textId="77777777" w:rsidR="008444FF" w:rsidRPr="008F69D0" w:rsidRDefault="008444FF" w:rsidP="008444FF">
      <w:pPr>
        <w:spacing w:line="259" w:lineRule="auto"/>
      </w:pPr>
      <w:r>
        <w:t>Snahou je využít proběhnuvší hodnoticí proces</w:t>
      </w:r>
      <w:r w:rsidR="009B66B5">
        <w:t xml:space="preserve"> a </w:t>
      </w:r>
      <w:r>
        <w:t xml:space="preserve">jeho výsledky. Díky tomu může „náhradní“ poskytovatel nastavit jednodušší evaluační proces, případně některé jeho kroky vynechat. Žadatel naopak získá finance na realizaci původního projektu, byť je možné, že za mírně odlišných podmínek. </w:t>
      </w:r>
      <w:r w:rsidRPr="008F69D0">
        <w:t xml:space="preserve">Důležitou zásadou </w:t>
      </w:r>
      <w:r w:rsidR="00D40909">
        <w:t>principu P</w:t>
      </w:r>
      <w:r>
        <w:t>ečetě excelence</w:t>
      </w:r>
      <w:r w:rsidRPr="008F69D0">
        <w:t xml:space="preserve"> je jednoduchost, tj. minimální administrativní zátěž pro žadatele</w:t>
      </w:r>
      <w:r w:rsidR="009B66B5">
        <w:t xml:space="preserve"> i </w:t>
      </w:r>
      <w:r w:rsidRPr="008F69D0">
        <w:t>národního poskytovatele podpory. V praxi se předpokládá, že žádost bude poskytovatelem přebrána ve formě,</w:t>
      </w:r>
      <w:r w:rsidR="00D40909">
        <w:t xml:space="preserve"> ve které byla podána do výzvy r</w:t>
      </w:r>
      <w:r w:rsidRPr="008F69D0">
        <w:t>ámcového programu (bez dalšího hodnocení nebo nadměrných administrativních požadavků na žadatele)</w:t>
      </w:r>
      <w:r w:rsidR="009B66B5">
        <w:t xml:space="preserve"> a </w:t>
      </w:r>
      <w:r w:rsidRPr="008F69D0">
        <w:t>financována na základě vyhodnocení mezinárodními experty</w:t>
      </w:r>
      <w:r w:rsidR="009B66B5">
        <w:t xml:space="preserve"> z </w:t>
      </w:r>
      <w:r w:rsidRPr="008F69D0">
        <w:t xml:space="preserve">databáze </w:t>
      </w:r>
      <w:r w:rsidR="00AA2026">
        <w:t>Evropské komise</w:t>
      </w:r>
      <w:r w:rsidRPr="008F69D0">
        <w:t xml:space="preserve">. Nicméně ve skutečnosti podporu držitelů </w:t>
      </w:r>
      <w:r>
        <w:t>pečetě excelence</w:t>
      </w:r>
      <w:r w:rsidRPr="008F69D0">
        <w:t xml:space="preserve"> na národní/regionální úrovni komplikuje nekompatibilita požadavků na způsobilost</w:t>
      </w:r>
      <w:r w:rsidR="009B66B5">
        <w:t xml:space="preserve"> k </w:t>
      </w:r>
      <w:r w:rsidRPr="008F69D0">
        <w:t>financování</w:t>
      </w:r>
      <w:r w:rsidR="009B66B5">
        <w:t xml:space="preserve"> z </w:t>
      </w:r>
      <w:r w:rsidR="00350310">
        <w:t>RP</w:t>
      </w:r>
      <w:r w:rsidR="009B66B5">
        <w:t xml:space="preserve"> a </w:t>
      </w:r>
      <w:r w:rsidRPr="008F69D0">
        <w:t xml:space="preserve">např. ERDF. </w:t>
      </w:r>
      <w:r w:rsidR="00AA2026">
        <w:t>Evropská komise</w:t>
      </w:r>
      <w:r w:rsidRPr="008F69D0">
        <w:t xml:space="preserve"> proto dlouhodobě usiluje</w:t>
      </w:r>
      <w:r w:rsidR="009B66B5">
        <w:t xml:space="preserve"> o </w:t>
      </w:r>
      <w:r w:rsidRPr="008F69D0">
        <w:t>zjednodušení pravidel pro synergické využívání rozdílných nástrojů</w:t>
      </w:r>
      <w:r w:rsidR="009B66B5">
        <w:t xml:space="preserve"> k </w:t>
      </w:r>
      <w:r w:rsidRPr="008F69D0">
        <w:t>podpoře výzkumu</w:t>
      </w:r>
      <w:r w:rsidR="009B66B5">
        <w:t xml:space="preserve"> a </w:t>
      </w:r>
      <w:r w:rsidRPr="008F69D0">
        <w:t xml:space="preserve">inovací. V </w:t>
      </w:r>
      <w:r w:rsidR="00626EC5">
        <w:t>programovém</w:t>
      </w:r>
      <w:r w:rsidR="00B454A2">
        <w:t xml:space="preserve"> období 2021</w:t>
      </w:r>
      <w:r w:rsidR="00350310">
        <w:t>-</w:t>
      </w:r>
      <w:r w:rsidRPr="008F69D0">
        <w:t>2027 klade na tuto oblast zvýšený důraz.</w:t>
      </w:r>
    </w:p>
    <w:p w14:paraId="41F6D102" w14:textId="77777777" w:rsidR="008444FF" w:rsidRDefault="008444FF" w:rsidP="008444FF">
      <w:r>
        <w:t>Tento typ synergie je (aspoň</w:t>
      </w:r>
      <w:r w:rsidR="009B66B5">
        <w:t xml:space="preserve"> v </w:t>
      </w:r>
      <w:r>
        <w:t>současné době) zamýšlen primárně pro komponenty Horizontu Evropa, kde je pouze jeden žadatel, tzv. mono-beneficiary</w:t>
      </w:r>
      <w:r w:rsidR="00350310">
        <w:t xml:space="preserve"> projekty</w:t>
      </w:r>
      <w:r>
        <w:t>. V současné době to jsou EIC</w:t>
      </w:r>
      <w:r>
        <w:rPr>
          <w:rStyle w:val="Znakapoznpodarou"/>
        </w:rPr>
        <w:footnoteReference w:id="57"/>
      </w:r>
      <w:r>
        <w:t xml:space="preserve"> Accelerator, EIC Transition, Marie Sk</w:t>
      </w:r>
      <w:r>
        <w:rPr>
          <w:rFonts w:cs="Calibri"/>
        </w:rPr>
        <w:t>ł</w:t>
      </w:r>
      <w:r>
        <w:t>odowska Curie Actions (dále taky MSCA), ERC</w:t>
      </w:r>
      <w:r>
        <w:rPr>
          <w:rStyle w:val="Znakapoznpodarou"/>
        </w:rPr>
        <w:footnoteReference w:id="58"/>
      </w:r>
      <w:r>
        <w:t xml:space="preserve"> Proof of Concept, Teaming</w:t>
      </w:r>
      <w:r>
        <w:rPr>
          <w:rStyle w:val="Znakapoznpodarou"/>
        </w:rPr>
        <w:footnoteReference w:id="59"/>
      </w:r>
      <w:r>
        <w:t xml:space="preserve">. </w:t>
      </w:r>
    </w:p>
    <w:p w14:paraId="464D41C8" w14:textId="77777777" w:rsidR="008444FF" w:rsidRDefault="008444FF" w:rsidP="008444FF">
      <w:r>
        <w:lastRenderedPageBreak/>
        <w:t>V ČR je tento instrument,</w:t>
      </w:r>
      <w:r w:rsidR="009B66B5">
        <w:t xml:space="preserve"> s </w:t>
      </w:r>
      <w:r>
        <w:t>nímž má zkušenosti především MŠMT</w:t>
      </w:r>
      <w:r w:rsidR="009B66B5">
        <w:t xml:space="preserve"> a </w:t>
      </w:r>
      <w:r>
        <w:t>TA</w:t>
      </w:r>
      <w:r w:rsidR="00C853D7">
        <w:t xml:space="preserve"> </w:t>
      </w:r>
      <w:r>
        <w:t>ČR, využíván více způsoby. V některých případech jsou podpořeni pouze držitelé Pečeti excelence,</w:t>
      </w:r>
      <w:r w:rsidR="009B66B5">
        <w:t xml:space="preserve"> v </w:t>
      </w:r>
      <w:r>
        <w:t>některých případech je použit pr</w:t>
      </w:r>
      <w:r w:rsidR="00FF1854">
        <w:t>incip jako takový, ale není při</w:t>
      </w:r>
      <w:r>
        <w:t xml:space="preserve">tom omezen pouze na držitele Pečeti excelence.  </w:t>
      </w:r>
    </w:p>
    <w:p w14:paraId="1CE17A71" w14:textId="77777777" w:rsidR="008444FF" w:rsidRDefault="008444FF" w:rsidP="008444FF">
      <w:r>
        <w:t>MŠMT tento princip využilo při financování projektů MS</w:t>
      </w:r>
      <w:r w:rsidR="00FF1854">
        <w:t>CA – I</w:t>
      </w:r>
      <w:r>
        <w:t>ndividual fellowships (IF),</w:t>
      </w:r>
      <w:r w:rsidR="00FF1854">
        <w:t xml:space="preserve"> konkrétně evropské fellowships</w:t>
      </w:r>
      <w:r w:rsidR="009B66B5">
        <w:t xml:space="preserve"> z </w:t>
      </w:r>
      <w:r>
        <w:t xml:space="preserve">tzv. no-money listu. Projekty musely </w:t>
      </w:r>
      <w:r w:rsidR="00FF1854">
        <w:t xml:space="preserve">dosáhnout </w:t>
      </w:r>
      <w:r>
        <w:t>tzv. threshold, tj. při kvalitativním hodnocení získat min. 70 % bodů. Tyto projekty byly financovány</w:t>
      </w:r>
      <w:r w:rsidR="009B66B5">
        <w:t xml:space="preserve"> z </w:t>
      </w:r>
      <w:r>
        <w:t>OP VVV, kde na jejich podporu byly vyhlášeny 4 výzvy. Ačkoli</w:t>
      </w:r>
      <w:r w:rsidR="00315C33">
        <w:t>v</w:t>
      </w:r>
      <w:r>
        <w:t xml:space="preserve"> </w:t>
      </w:r>
      <w:r w:rsidR="00AA2026">
        <w:t>Evropská komise</w:t>
      </w:r>
      <w:r>
        <w:t xml:space="preserve"> uděluje Pečeť excelence</w:t>
      </w:r>
      <w:r w:rsidR="009B66B5">
        <w:t xml:space="preserve"> v </w:t>
      </w:r>
      <w:r>
        <w:t>případě MSCA-IF až od zisku alespoň 85 % bodů, MŠMT prostřednictvím OP VVV umožnilo</w:t>
      </w:r>
      <w:r w:rsidR="009B66B5">
        <w:t xml:space="preserve"> i </w:t>
      </w:r>
      <w:r>
        <w:t>realiza</w:t>
      </w:r>
      <w:r w:rsidR="00FF1854">
        <w:t xml:space="preserve">ci projektů, které překonaly </w:t>
      </w:r>
      <w:r w:rsidR="00315C33">
        <w:t xml:space="preserve">hranici </w:t>
      </w:r>
      <w:r w:rsidR="00FF1854">
        <w:t xml:space="preserve">70 </w:t>
      </w:r>
      <w:r>
        <w:t>% bodů, tedy hraniční práh pro financovatelnost MSCA-IF projektů</w:t>
      </w:r>
      <w:r w:rsidR="009B66B5">
        <w:t xml:space="preserve"> z </w:t>
      </w:r>
      <w:r>
        <w:t>evropských zdrojů. MŠMT</w:t>
      </w:r>
      <w:r w:rsidR="009B66B5">
        <w:t xml:space="preserve"> v </w:t>
      </w:r>
      <w:r>
        <w:t>podpoře projektů MSCA</w:t>
      </w:r>
      <w:r>
        <w:rPr>
          <w:rStyle w:val="Znakapoznpodarou"/>
        </w:rPr>
        <w:footnoteReference w:id="60"/>
      </w:r>
      <w:r w:rsidR="009B66B5">
        <w:t xml:space="preserve"> v </w:t>
      </w:r>
      <w:r>
        <w:t>OP JAK plánuje pokračovat</w:t>
      </w:r>
      <w:r w:rsidR="009B66B5">
        <w:t xml:space="preserve"> a </w:t>
      </w:r>
      <w:r>
        <w:t>rozšířit ji</w:t>
      </w:r>
      <w:r w:rsidR="009B66B5">
        <w:t xml:space="preserve"> o </w:t>
      </w:r>
      <w:r>
        <w:t>tzv. Global fellowships kombinující výjezdovou fázi ve třetích neasociovaných zem</w:t>
      </w:r>
      <w:r w:rsidR="00CC4D7E">
        <w:t>ích</w:t>
      </w:r>
      <w:r w:rsidR="009B66B5">
        <w:t xml:space="preserve"> s </w:t>
      </w:r>
      <w:r w:rsidR="00CC4D7E">
        <w:t>návratovou fází na některou</w:t>
      </w:r>
      <w:r w:rsidR="009B66B5">
        <w:t xml:space="preserve"> z </w:t>
      </w:r>
      <w:r>
        <w:t xml:space="preserve">českých výzkumných organizací. Výzva MSCA Fellowships CZ </w:t>
      </w:r>
      <w:r w:rsidRPr="00BB40E4">
        <w:t>byla vyhlášena</w:t>
      </w:r>
      <w:r w:rsidR="009B66B5">
        <w:t xml:space="preserve"> v </w:t>
      </w:r>
      <w:r w:rsidRPr="00BB40E4">
        <w:t>srpnu 2022</w:t>
      </w:r>
      <w:r>
        <w:t>. MŠMT</w:t>
      </w:r>
      <w:r w:rsidR="009B66B5">
        <w:t xml:space="preserve"> z </w:t>
      </w:r>
      <w:r>
        <w:t>OP JAK nově plánovalo podpořit také projekty</w:t>
      </w:r>
      <w:r w:rsidR="009B66B5">
        <w:t xml:space="preserve"> s </w:t>
      </w:r>
      <w:r>
        <w:t>Pečetí excelence</w:t>
      </w:r>
      <w:r w:rsidR="009B66B5">
        <w:t xml:space="preserve"> z </w:t>
      </w:r>
      <w:r>
        <w:t>výzev MSCA-COFUND. V první výzvě Horizontu Evropa však žádný český projekt Pečeť excelence nezískal, tak výzva OP JAK nebyla</w:t>
      </w:r>
      <w:r w:rsidR="009B66B5">
        <w:t xml:space="preserve"> v </w:t>
      </w:r>
      <w:r>
        <w:t xml:space="preserve">roce 2022 vyhlášena. </w:t>
      </w:r>
    </w:p>
    <w:p w14:paraId="0481B6ED" w14:textId="77777777" w:rsidR="008444FF" w:rsidRDefault="008444FF" w:rsidP="008444FF">
      <w:r>
        <w:t>MŠMT</w:t>
      </w:r>
      <w:r w:rsidR="00CC4D7E">
        <w:t xml:space="preserve"> má rovněž program ERC CZ (2012–</w:t>
      </w:r>
      <w:r>
        <w:t>2026), který podporuje projekty, které byly předloženy do některé</w:t>
      </w:r>
      <w:r w:rsidR="009B66B5">
        <w:t xml:space="preserve"> z </w:t>
      </w:r>
      <w:r>
        <w:t xml:space="preserve">výzev </w:t>
      </w:r>
      <w:r w:rsidR="00315C33">
        <w:t>ERC</w:t>
      </w:r>
      <w:r w:rsidR="009B66B5">
        <w:t xml:space="preserve"> a </w:t>
      </w:r>
      <w:r>
        <w:t>které postoupily</w:t>
      </w:r>
      <w:r w:rsidR="009B66B5">
        <w:t xml:space="preserve"> v </w:t>
      </w:r>
      <w:r>
        <w:t>rámci mezinárodního peer review hodnocení do druhého kola, avšak podporu</w:t>
      </w:r>
      <w:r w:rsidR="009B66B5">
        <w:t xml:space="preserve"> z </w:t>
      </w:r>
      <w:r>
        <w:t>Horizontu 2020</w:t>
      </w:r>
      <w:r w:rsidR="00CC4D7E">
        <w:t xml:space="preserve"> </w:t>
      </w:r>
      <w:r>
        <w:t>/</w:t>
      </w:r>
      <w:r w:rsidR="00CC4D7E">
        <w:t xml:space="preserve"> </w:t>
      </w:r>
      <w:r>
        <w:t>Horizontu Evropa nezískaly. Projekty</w:t>
      </w:r>
      <w:r w:rsidR="009B66B5">
        <w:t xml:space="preserve"> s </w:t>
      </w:r>
      <w:r>
        <w:t>hodnocením A jsou podpořeny</w:t>
      </w:r>
      <w:r w:rsidR="009B66B5">
        <w:t xml:space="preserve"> v </w:t>
      </w:r>
      <w:r>
        <w:t>plném rozsahu</w:t>
      </w:r>
      <w:r w:rsidR="009B66B5">
        <w:t xml:space="preserve"> z </w:t>
      </w:r>
      <w:r>
        <w:t>hlediska délky trvání</w:t>
      </w:r>
      <w:r w:rsidR="009B66B5">
        <w:t xml:space="preserve"> i </w:t>
      </w:r>
      <w:r>
        <w:t>finanční alokace jako projekty podané do Horizontu 2020</w:t>
      </w:r>
      <w:r w:rsidR="00CC4D7E">
        <w:t xml:space="preserve"> </w:t>
      </w:r>
      <w:r>
        <w:t>/</w:t>
      </w:r>
      <w:r w:rsidR="00CC4D7E">
        <w:t xml:space="preserve"> </w:t>
      </w:r>
      <w:r>
        <w:t>Horizontu Evropa. Projekty</w:t>
      </w:r>
      <w:r w:rsidR="009B66B5">
        <w:t xml:space="preserve"> s </w:t>
      </w:r>
      <w:r>
        <w:t>hodnocením B jsou podpořeny po dobu max. 2 let. V obou případech jsou projekty povinny do 2 let od zahájení realizace projektu podat návrh projektu do ERC</w:t>
      </w:r>
      <w:r w:rsidR="009B66B5">
        <w:t xml:space="preserve"> v </w:t>
      </w:r>
      <w:r>
        <w:t>Horizontu 2020</w:t>
      </w:r>
      <w:r w:rsidR="00CC4D7E">
        <w:t xml:space="preserve"> </w:t>
      </w:r>
      <w:r>
        <w:t>/</w:t>
      </w:r>
      <w:r w:rsidR="00CC4D7E">
        <w:t xml:space="preserve"> </w:t>
      </w:r>
      <w:r>
        <w:t>Horizontu Evropa. Program tak funguje na principu podpory Pečetě excelence, ačkoliv</w:t>
      </w:r>
      <w:r w:rsidR="009B66B5">
        <w:t xml:space="preserve"> v </w:t>
      </w:r>
      <w:r>
        <w:t>samotném znění programu tento pojem není použit. Je to</w:t>
      </w:r>
      <w:r w:rsidR="009B66B5">
        <w:t xml:space="preserve"> z </w:t>
      </w:r>
      <w:r>
        <w:t xml:space="preserve">toho důvodu, že znění programu bylo schváleno ještě před zavedením tohoto pojmu ze strany </w:t>
      </w:r>
      <w:r w:rsidR="00AA2026">
        <w:t>Evropské komise</w:t>
      </w:r>
      <w:r>
        <w:t xml:space="preserve">. Zároveň </w:t>
      </w:r>
      <w:r w:rsidR="00AA2026">
        <w:t>Evropská komise</w:t>
      </w:r>
      <w:r>
        <w:t xml:space="preserve"> uděluje Pečeť excelence pouze </w:t>
      </w:r>
      <w:r w:rsidR="00626EC5">
        <w:t>projektům</w:t>
      </w:r>
      <w:r w:rsidR="009B66B5">
        <w:t xml:space="preserve"> z </w:t>
      </w:r>
      <w:r w:rsidR="00626EC5">
        <w:t>výzvy ERC Proof-of-C</w:t>
      </w:r>
      <w:r>
        <w:t>oncept,</w:t>
      </w:r>
      <w:r w:rsidR="009B66B5">
        <w:t xml:space="preserve"> v </w:t>
      </w:r>
      <w:r>
        <w:t xml:space="preserve">ostatních částech nikoliv. </w:t>
      </w:r>
    </w:p>
    <w:p w14:paraId="7F535B1D" w14:textId="77777777" w:rsidR="008444FF" w:rsidRDefault="008444FF" w:rsidP="008444FF">
      <w:r>
        <w:t>Naopak přesné převzetí</w:t>
      </w:r>
      <w:r w:rsidR="009B66B5">
        <w:t xml:space="preserve"> a </w:t>
      </w:r>
      <w:r>
        <w:t>podpoření pouze projektů, které byly držiteli Pečetě excelence, realizovala TA</w:t>
      </w:r>
      <w:r w:rsidR="00C853D7">
        <w:t xml:space="preserve"> </w:t>
      </w:r>
      <w:r>
        <w:t>ČR</w:t>
      </w:r>
      <w:r w:rsidR="009B66B5">
        <w:t xml:space="preserve"> s </w:t>
      </w:r>
      <w:r>
        <w:t>nástrojem SME Instrument Phase 1. Veřejné soutěže začaly být vyhlašované</w:t>
      </w:r>
      <w:r w:rsidR="009B66B5">
        <w:t xml:space="preserve"> v </w:t>
      </w:r>
      <w:r>
        <w:t>roce 2017</w:t>
      </w:r>
      <w:r w:rsidR="009B66B5">
        <w:t xml:space="preserve"> z </w:t>
      </w:r>
      <w:r>
        <w:t>programu GAMA (celkem 5 veřejných soutěží), následně</w:t>
      </w:r>
      <w:r w:rsidR="009B66B5">
        <w:t xml:space="preserve"> z </w:t>
      </w:r>
      <w:r>
        <w:t>programu GAMA 2 (1 veřejná soutěž),</w:t>
      </w:r>
      <w:r w:rsidR="009B66B5">
        <w:t xml:space="preserve"> v </w:t>
      </w:r>
      <w:r>
        <w:t>obou případech</w:t>
      </w:r>
      <w:r w:rsidR="009B66B5">
        <w:t xml:space="preserve"> z </w:t>
      </w:r>
      <w:r>
        <w:t xml:space="preserve">podprogramu 2. Poté </w:t>
      </w:r>
      <w:r w:rsidR="00AA2026">
        <w:t>Evropská komise</w:t>
      </w:r>
      <w:r>
        <w:t xml:space="preserve"> začala pilotovat nástroje EIC Pathfinder</w:t>
      </w:r>
      <w:r w:rsidR="009B66B5">
        <w:t xml:space="preserve"> a </w:t>
      </w:r>
      <w:r>
        <w:t>Accelerator</w:t>
      </w:r>
      <w:r w:rsidR="009B66B5">
        <w:t xml:space="preserve"> a </w:t>
      </w:r>
      <w:r>
        <w:t>výzvy SME Instrumentu nebyly vyhlašova</w:t>
      </w:r>
      <w:r w:rsidR="00CC4D7E">
        <w:t>né. Vzhledem ke vzniklému vakuu</w:t>
      </w:r>
      <w:r>
        <w:t xml:space="preserve"> TA</w:t>
      </w:r>
      <w:r w:rsidR="00C853D7">
        <w:t xml:space="preserve"> </w:t>
      </w:r>
      <w:r>
        <w:t>ČR společně</w:t>
      </w:r>
      <w:r w:rsidR="009B66B5">
        <w:t xml:space="preserve"> s </w:t>
      </w:r>
      <w:r>
        <w:t>dalšími poskytovateli</w:t>
      </w:r>
      <w:r w:rsidR="009B66B5">
        <w:t xml:space="preserve"> z </w:t>
      </w:r>
      <w:r>
        <w:t>jiných zemí připravili národní programy</w:t>
      </w:r>
      <w:r w:rsidR="009B66B5">
        <w:t xml:space="preserve"> a </w:t>
      </w:r>
      <w:r>
        <w:t>výzvy kopírující podmínky SME Instrumentu Phase 1</w:t>
      </w:r>
      <w:r>
        <w:rPr>
          <w:rStyle w:val="Znakapoznpodarou"/>
        </w:rPr>
        <w:footnoteReference w:id="61"/>
      </w:r>
      <w:r>
        <w:t>. Tímto způsobem TA</w:t>
      </w:r>
      <w:r w:rsidR="00C853D7">
        <w:t xml:space="preserve"> </w:t>
      </w:r>
      <w:r>
        <w:t>ČR vyhlásila 2 výzvy</w:t>
      </w:r>
      <w:r w:rsidR="009B66B5">
        <w:t xml:space="preserve"> z </w:t>
      </w:r>
      <w:r>
        <w:t xml:space="preserve">programu GAMA 2. </w:t>
      </w:r>
    </w:p>
    <w:p w14:paraId="6C77E033" w14:textId="77777777" w:rsidR="008444FF" w:rsidRDefault="008444FF" w:rsidP="008444FF">
      <w:r>
        <w:lastRenderedPageBreak/>
        <w:t>Výzvy navazujícího nástroje EIC Accelerator, respektive projektů, které získají Pečeť excelence, plánuje TA</w:t>
      </w:r>
      <w:r w:rsidR="00C853D7">
        <w:t xml:space="preserve"> </w:t>
      </w:r>
      <w:r>
        <w:t>ČR podpořit</w:t>
      </w:r>
      <w:r w:rsidR="009B66B5">
        <w:t xml:space="preserve"> z </w:t>
      </w:r>
      <w:r>
        <w:t>prostředků Národního plánu obnovy (NPO), předpokládá se, že první výzva tohoto zaměření bude vyhlášena ještě</w:t>
      </w:r>
      <w:r w:rsidR="009B66B5">
        <w:t xml:space="preserve"> v </w:t>
      </w:r>
      <w:r>
        <w:t xml:space="preserve">roce 2022. </w:t>
      </w:r>
    </w:p>
    <w:p w14:paraId="4DE0EE7A" w14:textId="77777777" w:rsidR="008444FF" w:rsidRDefault="008444FF" w:rsidP="008444FF">
      <w:r w:rsidRPr="46191ACE">
        <w:t>Problematickým aspektem podpory projektů</w:t>
      </w:r>
      <w:r w:rsidR="009B66B5">
        <w:t xml:space="preserve"> v </w:t>
      </w:r>
      <w:r w:rsidRPr="46191ACE">
        <w:t xml:space="preserve">EIC Acceleratoru je </w:t>
      </w:r>
      <w:r w:rsidR="00D845F9">
        <w:t>to</w:t>
      </w:r>
      <w:r w:rsidRPr="46191ACE">
        <w:t>, že žadatelé mohou kromě grantového financování využívat</w:t>
      </w:r>
      <w:r w:rsidR="009B66B5">
        <w:t xml:space="preserve"> i </w:t>
      </w:r>
      <w:r w:rsidRPr="46191ACE">
        <w:t>podporu formou investice (buď</w:t>
      </w:r>
      <w:r w:rsidR="009B66B5">
        <w:t xml:space="preserve"> v </w:t>
      </w:r>
      <w:r w:rsidRPr="46191ACE">
        <w:t>kombinaci</w:t>
      </w:r>
      <w:r w:rsidR="009B66B5">
        <w:t xml:space="preserve"> s </w:t>
      </w:r>
      <w:r w:rsidRPr="46191ACE">
        <w:t>grantem</w:t>
      </w:r>
      <w:r w:rsidR="00D845F9">
        <w:t>,</w:t>
      </w:r>
      <w:r w:rsidRPr="46191ACE">
        <w:t xml:space="preserve"> nebo samostatně). </w:t>
      </w:r>
      <w:r>
        <w:t>Zatímco</w:t>
      </w:r>
      <w:r w:rsidR="009B66B5">
        <w:t xml:space="preserve"> s </w:t>
      </w:r>
      <w:r>
        <w:t>grantovým financováním nepodpořených projektů E</w:t>
      </w:r>
      <w:r w:rsidR="00D845F9">
        <w:t>IC Acceleratoru, které získaly P</w:t>
      </w:r>
      <w:r>
        <w:t>ečeť excelence, má TA</w:t>
      </w:r>
      <w:r w:rsidR="00C853D7">
        <w:t xml:space="preserve"> </w:t>
      </w:r>
      <w:r>
        <w:t>ČR zkušenosti, pro investiční financování není</w:t>
      </w:r>
      <w:r w:rsidR="009B66B5">
        <w:t xml:space="preserve"> v </w:t>
      </w:r>
      <w:r>
        <w:t xml:space="preserve">ČR zatím vytvořen podpůrný systém. </w:t>
      </w:r>
      <w:r w:rsidRPr="46191ACE">
        <w:t xml:space="preserve">Tento fakt </w:t>
      </w:r>
      <w:r>
        <w:t>může snižovat</w:t>
      </w:r>
      <w:r w:rsidRPr="46191ACE">
        <w:t xml:space="preserve"> motivační charakter podpory </w:t>
      </w:r>
      <w:r w:rsidR="00D845F9">
        <w:t>na principu P</w:t>
      </w:r>
      <w:r>
        <w:t>ečetě excelence</w:t>
      </w:r>
      <w:r w:rsidRPr="46191ACE">
        <w:t>,</w:t>
      </w:r>
      <w:r>
        <w:t xml:space="preserve"> neboť podniky mohou dosáhnout pouze na grantovou část f</w:t>
      </w:r>
      <w:r w:rsidRPr="46191ACE">
        <w:t xml:space="preserve">inancování. </w:t>
      </w:r>
      <w:r>
        <w:t>Jelikož</w:t>
      </w:r>
      <w:r w:rsidR="009B66B5">
        <w:t xml:space="preserve"> s </w:t>
      </w:r>
      <w:r>
        <w:t>tímto problémem se potýkají také další členské státy, je účelné vzájemně koordinovat postup</w:t>
      </w:r>
      <w:r w:rsidR="009B66B5">
        <w:t xml:space="preserve"> s </w:t>
      </w:r>
      <w:r>
        <w:t>dalšími evropskými poskytovateli. Taková s</w:t>
      </w:r>
      <w:r w:rsidRPr="46191ACE">
        <w:t>polupráce</w:t>
      </w:r>
      <w:r w:rsidR="009B66B5">
        <w:t xml:space="preserve"> v </w:t>
      </w:r>
      <w:r w:rsidRPr="46191ACE">
        <w:t>současnosti probíhá</w:t>
      </w:r>
      <w:r w:rsidR="009B66B5">
        <w:t xml:space="preserve"> v </w:t>
      </w:r>
      <w:r w:rsidRPr="46191ACE">
        <w:t>rámci Community of Practice pro Seal of Excellence, do které je ČR zapojena.</w:t>
      </w:r>
    </w:p>
    <w:p w14:paraId="4929922A" w14:textId="77777777" w:rsidR="008444FF" w:rsidRPr="002A1A20" w:rsidRDefault="008444FF" w:rsidP="008444FF">
      <w:pPr>
        <w:pStyle w:val="Nadpis3"/>
      </w:pPr>
      <w:bookmarkStart w:id="59" w:name="_Toc114572340"/>
      <w:r w:rsidRPr="002A1A20">
        <w:t>Transfery</w:t>
      </w:r>
      <w:bookmarkEnd w:id="59"/>
      <w:r w:rsidRPr="002A1A20">
        <w:t xml:space="preserve"> </w:t>
      </w:r>
    </w:p>
    <w:p w14:paraId="5AD938E9" w14:textId="77777777" w:rsidR="008444FF" w:rsidRDefault="008444FF" w:rsidP="008444FF">
      <w:r>
        <w:t>Transfer</w:t>
      </w:r>
      <w:r w:rsidR="009B66B5">
        <w:t xml:space="preserve"> z </w:t>
      </w:r>
      <w:r>
        <w:t>ERDF do Horizontu Evropa je novi</w:t>
      </w:r>
      <w:r w:rsidR="00D845F9">
        <w:t>nkou pro programové období 2021–</w:t>
      </w:r>
      <w:r>
        <w:t>2027. Transfer lze udělat pouze pro budoucí projekty</w:t>
      </w:r>
      <w:r w:rsidR="009B66B5">
        <w:t xml:space="preserve"> a </w:t>
      </w:r>
      <w:r>
        <w:t>budoucí výzvy Horizontu Evropa (v následujícím kalendářním roce)</w:t>
      </w:r>
      <w:r w:rsidR="009B66B5">
        <w:t xml:space="preserve"> a </w:t>
      </w:r>
      <w:r>
        <w:t>musí se tak plánovat dostatečně dopředu. Peníze budou použity na ins</w:t>
      </w:r>
      <w:r w:rsidR="00D845F9">
        <w:t>trumenty, na kterých se shodne ř</w:t>
      </w:r>
      <w:r>
        <w:t>ídicí orgán daného operačního programu</w:t>
      </w:r>
      <w:r w:rsidR="009B66B5">
        <w:t xml:space="preserve"> a </w:t>
      </w:r>
      <w:r w:rsidR="00AA2026">
        <w:t>Evropská komise</w:t>
      </w:r>
      <w:r w:rsidR="009B66B5">
        <w:t xml:space="preserve"> a </w:t>
      </w:r>
      <w:r>
        <w:t>ze kterých bude mít užitek dané území (konkrétní členský stát, případně jeho část), což ospravedlňuje použití prostředků</w:t>
      </w:r>
      <w:r w:rsidR="009B66B5">
        <w:t xml:space="preserve"> z </w:t>
      </w:r>
      <w:r>
        <w:t>ERDF. Transfery je možné použít na podporu excelentních žádostí</w:t>
      </w:r>
      <w:r w:rsidR="009B66B5">
        <w:t xml:space="preserve"> z </w:t>
      </w:r>
      <w:r>
        <w:t>daného členského státu (či regionu), které byly podány do Horizontu Evropa, ale kvůli omezenému rozpočtu nemohly být financovány. Transferované prostředky je</w:t>
      </w:r>
      <w:r w:rsidR="009B66B5">
        <w:t xml:space="preserve"> v </w:t>
      </w:r>
      <w:r>
        <w:t>ideálním případě vhodné použít na takové instrumenty Horizontu Evropa, které jsou podané jedním žadatelem (</w:t>
      </w:r>
      <w:r w:rsidR="005A0D3F">
        <w:t xml:space="preserve">tzv. </w:t>
      </w:r>
      <w:r>
        <w:t>mono-beneficiary</w:t>
      </w:r>
      <w:r w:rsidR="005A0D3F">
        <w:t xml:space="preserve"> projekty</w:t>
      </w:r>
      <w:r>
        <w:t>)</w:t>
      </w:r>
      <w:r w:rsidR="009B66B5">
        <w:t xml:space="preserve"> a </w:t>
      </w:r>
      <w:r>
        <w:t>kde je velký převis žádostí nad dostupnou alokací,</w:t>
      </w:r>
      <w:r w:rsidR="009B66B5">
        <w:t xml:space="preserve"> a </w:t>
      </w:r>
      <w:r>
        <w:t xml:space="preserve">takové žádosti zaměřené na vědecké oblasti, které jsou identifikované národní či regionální RIS3 strategií, což ale není povinností. </w:t>
      </w:r>
    </w:p>
    <w:p w14:paraId="5A6932D0" w14:textId="77777777" w:rsidR="008444FF" w:rsidRDefault="008444FF" w:rsidP="008444FF">
      <w:r>
        <w:t>Členský stát může žádat</w:t>
      </w:r>
      <w:r w:rsidR="009B66B5">
        <w:t xml:space="preserve"> o </w:t>
      </w:r>
      <w:r>
        <w:t>transfer až 5 % celkové alokace ERDF. Limit se nevztahuje na konkrétní operační program či na konkrétní kategorii regionů. Teoreticky tak může jeden operační program požádat</w:t>
      </w:r>
      <w:r w:rsidR="009B66B5">
        <w:t xml:space="preserve"> o </w:t>
      </w:r>
      <w:r>
        <w:t xml:space="preserve">transfer svých ERDF prostředků ve vyšší výši než 5 % ERDF alokace daného operačního programu, pokud navrhovaný objem financí nepřesáhne 5 % celkové alokace ERDF daného státu. </w:t>
      </w:r>
    </w:p>
    <w:p w14:paraId="10CF2C2F" w14:textId="77777777" w:rsidR="008444FF" w:rsidRPr="00370F3C" w:rsidRDefault="00626EC5" w:rsidP="00626EC5">
      <w:pPr>
        <w:pStyle w:val="Textkomente"/>
        <w:rPr>
          <w:sz w:val="22"/>
          <w:szCs w:val="22"/>
        </w:rPr>
      </w:pPr>
      <w:r w:rsidRPr="00370F3C">
        <w:rPr>
          <w:sz w:val="22"/>
          <w:szCs w:val="22"/>
        </w:rPr>
        <w:t>Členský stát má indikovat při přípravě dohody</w:t>
      </w:r>
      <w:r w:rsidR="009B66B5">
        <w:rPr>
          <w:sz w:val="22"/>
          <w:szCs w:val="22"/>
        </w:rPr>
        <w:t xml:space="preserve"> o </w:t>
      </w:r>
      <w:r w:rsidRPr="00370F3C">
        <w:rPr>
          <w:sz w:val="22"/>
          <w:szCs w:val="22"/>
        </w:rPr>
        <w:t>partnerství, zda bude transfer financí chtít použít.</w:t>
      </w:r>
      <w:r w:rsidR="008444FF" w:rsidRPr="00370F3C">
        <w:rPr>
          <w:sz w:val="22"/>
          <w:szCs w:val="22"/>
        </w:rPr>
        <w:t xml:space="preserve"> Pokud to</w:t>
      </w:r>
      <w:r w:rsidR="009B66B5">
        <w:rPr>
          <w:sz w:val="22"/>
          <w:szCs w:val="22"/>
        </w:rPr>
        <w:t xml:space="preserve"> v </w:t>
      </w:r>
      <w:r w:rsidR="008444FF" w:rsidRPr="00370F3C">
        <w:rPr>
          <w:sz w:val="22"/>
          <w:szCs w:val="22"/>
        </w:rPr>
        <w:t xml:space="preserve">tomto dokumentu není uvedeno, stále může požádat </w:t>
      </w:r>
      <w:r w:rsidR="00AA2026">
        <w:rPr>
          <w:sz w:val="22"/>
          <w:szCs w:val="22"/>
        </w:rPr>
        <w:t>Evropskou komisi</w:t>
      </w:r>
      <w:r w:rsidR="009B66B5">
        <w:rPr>
          <w:sz w:val="22"/>
          <w:szCs w:val="22"/>
        </w:rPr>
        <w:t xml:space="preserve"> o </w:t>
      </w:r>
      <w:r w:rsidR="008444FF" w:rsidRPr="00370F3C">
        <w:rPr>
          <w:sz w:val="22"/>
          <w:szCs w:val="22"/>
        </w:rPr>
        <w:t>transfer financí později. To je podmíněno vysvětlením, schválením Monitorovacího výboru daného operačního programu</w:t>
      </w:r>
      <w:r w:rsidR="009B66B5">
        <w:rPr>
          <w:sz w:val="22"/>
          <w:szCs w:val="22"/>
        </w:rPr>
        <w:t xml:space="preserve"> a </w:t>
      </w:r>
      <w:r w:rsidR="008444FF" w:rsidRPr="00370F3C">
        <w:rPr>
          <w:sz w:val="22"/>
          <w:szCs w:val="22"/>
        </w:rPr>
        <w:t xml:space="preserve">rovněž schválením </w:t>
      </w:r>
      <w:r w:rsidR="00AA2026">
        <w:rPr>
          <w:sz w:val="22"/>
          <w:szCs w:val="22"/>
        </w:rPr>
        <w:t>Evropskou komisí</w:t>
      </w:r>
      <w:r w:rsidR="008444FF" w:rsidRPr="00370F3C">
        <w:rPr>
          <w:sz w:val="22"/>
          <w:szCs w:val="22"/>
        </w:rPr>
        <w:t>. Při podání „žádosti</w:t>
      </w:r>
      <w:r w:rsidR="009B66B5">
        <w:rPr>
          <w:sz w:val="22"/>
          <w:szCs w:val="22"/>
        </w:rPr>
        <w:t xml:space="preserve"> o </w:t>
      </w:r>
      <w:r w:rsidR="008444FF" w:rsidRPr="00370F3C">
        <w:rPr>
          <w:sz w:val="22"/>
          <w:szCs w:val="22"/>
        </w:rPr>
        <w:t>transfer</w:t>
      </w:r>
      <w:r w:rsidR="008444FF" w:rsidRPr="00370F3C">
        <w:rPr>
          <w:rStyle w:val="Znakapoznpodarou"/>
          <w:sz w:val="22"/>
          <w:szCs w:val="22"/>
        </w:rPr>
        <w:footnoteReference w:id="62"/>
      </w:r>
      <w:r w:rsidR="00AE7527" w:rsidRPr="00370F3C">
        <w:rPr>
          <w:sz w:val="22"/>
          <w:szCs w:val="22"/>
        </w:rPr>
        <w:t>“ ří</w:t>
      </w:r>
      <w:r w:rsidR="008444FF" w:rsidRPr="00370F3C">
        <w:rPr>
          <w:sz w:val="22"/>
          <w:szCs w:val="22"/>
        </w:rPr>
        <w:t>dicí orgán předkládá rovněž finanční plán</w:t>
      </w:r>
      <w:r w:rsidR="009B66B5">
        <w:rPr>
          <w:sz w:val="22"/>
          <w:szCs w:val="22"/>
        </w:rPr>
        <w:t xml:space="preserve"> k </w:t>
      </w:r>
      <w:r w:rsidR="008444FF" w:rsidRPr="00370F3C">
        <w:rPr>
          <w:sz w:val="22"/>
          <w:szCs w:val="22"/>
        </w:rPr>
        <w:t>transferu financí. Jedná se</w:t>
      </w:r>
      <w:r w:rsidR="009B66B5">
        <w:rPr>
          <w:sz w:val="22"/>
          <w:szCs w:val="22"/>
        </w:rPr>
        <w:t xml:space="preserve"> o </w:t>
      </w:r>
      <w:r w:rsidR="008444FF" w:rsidRPr="00370F3C">
        <w:rPr>
          <w:sz w:val="22"/>
          <w:szCs w:val="22"/>
        </w:rPr>
        <w:t>odhad potřebných prostředků pro jejich budoucí využití</w:t>
      </w:r>
      <w:r w:rsidR="009B66B5">
        <w:rPr>
          <w:sz w:val="22"/>
          <w:szCs w:val="22"/>
        </w:rPr>
        <w:t xml:space="preserve"> v </w:t>
      </w:r>
      <w:r w:rsidR="008444FF" w:rsidRPr="00370F3C">
        <w:rPr>
          <w:sz w:val="22"/>
          <w:szCs w:val="22"/>
        </w:rPr>
        <w:t xml:space="preserve">Horizontu </w:t>
      </w:r>
      <w:r w:rsidR="00AE7527" w:rsidRPr="00370F3C">
        <w:rPr>
          <w:sz w:val="22"/>
          <w:szCs w:val="22"/>
        </w:rPr>
        <w:t>Evropa. Při jejich odhadu může ř</w:t>
      </w:r>
      <w:r w:rsidR="008444FF" w:rsidRPr="00370F3C">
        <w:rPr>
          <w:sz w:val="22"/>
          <w:szCs w:val="22"/>
        </w:rPr>
        <w:t xml:space="preserve">ídicí orgán využít pomoc </w:t>
      </w:r>
      <w:r w:rsidR="00AA2026">
        <w:rPr>
          <w:sz w:val="22"/>
          <w:szCs w:val="22"/>
        </w:rPr>
        <w:t>Evropské komise</w:t>
      </w:r>
      <w:r w:rsidR="008444FF" w:rsidRPr="00370F3C">
        <w:rPr>
          <w:sz w:val="22"/>
          <w:szCs w:val="22"/>
        </w:rPr>
        <w:t>, aby byla výše stanovena na základě minulé úspěšnosti žadatelů členského státu</w:t>
      </w:r>
      <w:r w:rsidR="009B66B5">
        <w:rPr>
          <w:sz w:val="22"/>
          <w:szCs w:val="22"/>
        </w:rPr>
        <w:t xml:space="preserve"> v </w:t>
      </w:r>
      <w:r w:rsidR="008444FF" w:rsidRPr="00370F3C">
        <w:rPr>
          <w:sz w:val="22"/>
          <w:szCs w:val="22"/>
        </w:rPr>
        <w:t xml:space="preserve">daném instrumentu. </w:t>
      </w:r>
    </w:p>
    <w:p w14:paraId="59850672" w14:textId="77777777" w:rsidR="008444FF" w:rsidRDefault="008444FF" w:rsidP="008444FF">
      <w:pPr>
        <w:tabs>
          <w:tab w:val="left" w:pos="5270"/>
        </w:tabs>
      </w:pPr>
      <w:r>
        <w:t>V případě, že nedojde</w:t>
      </w:r>
      <w:r w:rsidR="009B66B5">
        <w:t xml:space="preserve"> k </w:t>
      </w:r>
      <w:r>
        <w:t>využití všech převedených financí, může členský stát požádat</w:t>
      </w:r>
      <w:r w:rsidR="009B66B5">
        <w:t xml:space="preserve"> o </w:t>
      </w:r>
      <w:r>
        <w:t xml:space="preserve">navrácení nevyužitých prostředků (tzv. transfer back). Prostředky nemusí být navráceny do </w:t>
      </w:r>
      <w:r>
        <w:lastRenderedPageBreak/>
        <w:t>stejného operačního programu. I tato část podléhá jednání</w:t>
      </w:r>
      <w:r w:rsidR="009B66B5">
        <w:t xml:space="preserve"> s </w:t>
      </w:r>
      <w:r w:rsidR="00AA2026">
        <w:t>Evropskou komisí</w:t>
      </w:r>
      <w:r w:rsidR="009B66B5">
        <w:t xml:space="preserve"> a </w:t>
      </w:r>
      <w:r>
        <w:t xml:space="preserve">jejímu schválení. </w:t>
      </w:r>
    </w:p>
    <w:p w14:paraId="5F55280B" w14:textId="77777777" w:rsidR="008444FF" w:rsidRDefault="008444FF" w:rsidP="008444FF">
      <w:pPr>
        <w:tabs>
          <w:tab w:val="left" w:pos="5270"/>
        </w:tabs>
      </w:pPr>
      <w:r>
        <w:t>Všechny kroky podléhají konkrétním časový</w:t>
      </w:r>
      <w:r w:rsidR="00AE7527">
        <w:t>m lhůtám</w:t>
      </w:r>
      <w:r w:rsidR="009B66B5">
        <w:t xml:space="preserve"> a </w:t>
      </w:r>
      <w:r w:rsidR="00AE7527">
        <w:t>vyžadují spolupráci ř</w:t>
      </w:r>
      <w:r>
        <w:t>ídicího orgánu</w:t>
      </w:r>
      <w:r w:rsidR="009B66B5">
        <w:t xml:space="preserve"> s </w:t>
      </w:r>
      <w:r w:rsidR="00AA2026">
        <w:t>Evropskou komisí</w:t>
      </w:r>
      <w:r w:rsidR="009B66B5">
        <w:t xml:space="preserve"> a </w:t>
      </w:r>
      <w:r w:rsidR="00AE7527">
        <w:t>pečlivé plánování ze strany ř</w:t>
      </w:r>
      <w:r>
        <w:t xml:space="preserve">ídicího orgánu. </w:t>
      </w:r>
    </w:p>
    <w:p w14:paraId="60EE05A9" w14:textId="77777777" w:rsidR="008444FF" w:rsidRDefault="008444FF" w:rsidP="008444FF">
      <w:pPr>
        <w:tabs>
          <w:tab w:val="left" w:pos="5270"/>
        </w:tabs>
      </w:pPr>
      <w:r>
        <w:t xml:space="preserve">Předpokládané </w:t>
      </w:r>
      <w:r w:rsidR="00AE7527">
        <w:t xml:space="preserve">výhody </w:t>
      </w:r>
      <w:r w:rsidR="00AA2026">
        <w:t>o</w:t>
      </w:r>
      <w:r w:rsidR="00AE7527">
        <w:t>proti Pečeti excelence jsou</w:t>
      </w:r>
      <w:r>
        <w:t>, že je daný projekt realizovaný</w:t>
      </w:r>
      <w:r w:rsidR="009B66B5">
        <w:t xml:space="preserve"> v </w:t>
      </w:r>
      <w:r>
        <w:t>Horizontu Evropa,</w:t>
      </w:r>
      <w:r w:rsidR="009B66B5">
        <w:t xml:space="preserve"> s </w:t>
      </w:r>
      <w:r>
        <w:t>čímž se pojí veškerá jeho pravidla</w:t>
      </w:r>
      <w:r w:rsidR="009B66B5">
        <w:t xml:space="preserve"> a </w:t>
      </w:r>
      <w:r>
        <w:t>prestiž. Z pohledu žadatele by</w:t>
      </w:r>
      <w:r w:rsidR="009B66B5">
        <w:t xml:space="preserve"> s </w:t>
      </w:r>
      <w:r>
        <w:t>tímto způsobem financování neměly být spojeny žádné další kroky. Obecně by také mělo dojít ke snížení adminis</w:t>
      </w:r>
      <w:r w:rsidR="00AE7527">
        <w:t>trativní zátěže poskytovatele (ř</w:t>
      </w:r>
      <w:r>
        <w:t>ídicího orgánu), neboť nebude muset vyhlašovat výzvu pro projekty</w:t>
      </w:r>
      <w:r w:rsidR="009B66B5">
        <w:t xml:space="preserve"> s </w:t>
      </w:r>
      <w:r>
        <w:t>Pečetí excelence, kontrolovat projekty</w:t>
      </w:r>
      <w:r w:rsidR="009B66B5">
        <w:t xml:space="preserve"> a </w:t>
      </w:r>
      <w:r>
        <w:t xml:space="preserve">řešit jejich plnou realizaci. </w:t>
      </w:r>
    </w:p>
    <w:p w14:paraId="265C122B" w14:textId="77777777" w:rsidR="008444FF" w:rsidRDefault="008444FF" w:rsidP="008444FF">
      <w:pPr>
        <w:tabs>
          <w:tab w:val="left" w:pos="5270"/>
        </w:tabs>
      </w:pPr>
      <w:r>
        <w:t>Negativa využití tohoto typu synergie je dosavadní neznalost tohoto nástroje. Pro členský stát je důležité, že převedené finance se nezapočítávají do tematické koncentrace</w:t>
      </w:r>
      <w:r w:rsidR="009B66B5">
        <w:t xml:space="preserve"> a </w:t>
      </w:r>
      <w:r>
        <w:t>snižují základ pro výpočet alokace na administrativní zajištění impleme</w:t>
      </w:r>
      <w:r w:rsidR="00BA33EA">
        <w:t>ntace operačního programu. Od ří</w:t>
      </w:r>
      <w:r>
        <w:t>dicího orgánu rovněž tento způsob vyžaduje dostatečně včasné plánování podobné intervence. Na rozdíl od Pečetě excelence nelze tento způsob využít pro financování</w:t>
      </w:r>
      <w:r w:rsidR="009B66B5">
        <w:t xml:space="preserve"> z </w:t>
      </w:r>
      <w:r>
        <w:t xml:space="preserve">národních prostředků. </w:t>
      </w:r>
    </w:p>
    <w:p w14:paraId="3531B312" w14:textId="77777777" w:rsidR="008444FF" w:rsidRDefault="008444FF" w:rsidP="008444FF">
      <w:pPr>
        <w:tabs>
          <w:tab w:val="left" w:pos="5270"/>
        </w:tabs>
      </w:pPr>
      <w:r>
        <w:t xml:space="preserve">Evropská komise předpokládá, že tento nový typ synergie podrobí analýze pro případnou úpravu </w:t>
      </w:r>
      <w:r w:rsidR="00626EC5">
        <w:t>při střednědobé</w:t>
      </w:r>
      <w:r w:rsidR="005A0D3F">
        <w:t>m</w:t>
      </w:r>
      <w:r w:rsidR="00626EC5">
        <w:t xml:space="preserve"> </w:t>
      </w:r>
      <w:r w:rsidR="005A0D3F">
        <w:t>hodnocení</w:t>
      </w:r>
      <w:r>
        <w:t xml:space="preserve"> Horizont</w:t>
      </w:r>
      <w:r w:rsidR="005A0D3F">
        <w:t>u</w:t>
      </w:r>
      <w:r>
        <w:t xml:space="preserve"> Evropa. </w:t>
      </w:r>
    </w:p>
    <w:p w14:paraId="4EAF7CE6" w14:textId="77777777" w:rsidR="008444FF" w:rsidRDefault="008444FF" w:rsidP="008444FF">
      <w:r>
        <w:t>ČR ve schválené Dohodě</w:t>
      </w:r>
      <w:r w:rsidR="009B66B5">
        <w:t xml:space="preserve"> o </w:t>
      </w:r>
      <w:r>
        <w:t>partne</w:t>
      </w:r>
      <w:r w:rsidR="00CE3F46">
        <w:t>rství</w:t>
      </w:r>
      <w:r w:rsidR="009B66B5">
        <w:t xml:space="preserve"> v </w:t>
      </w:r>
      <w:r w:rsidR="00CE3F46">
        <w:t>programovém období 2021–</w:t>
      </w:r>
      <w:r>
        <w:t>2027 neidentifikovala, že by převod do nástrojů pod přímým nebo nepřímým řízením chtěla využít</w:t>
      </w:r>
      <w:r>
        <w:rPr>
          <w:rStyle w:val="Znakapoznpodarou"/>
        </w:rPr>
        <w:footnoteReference w:id="63"/>
      </w:r>
      <w:r>
        <w:t xml:space="preserve">.  </w:t>
      </w:r>
    </w:p>
    <w:p w14:paraId="5D58C9D5" w14:textId="77777777" w:rsidR="008444FF" w:rsidRPr="002A1A20" w:rsidRDefault="008444FF" w:rsidP="008444FF">
      <w:pPr>
        <w:pStyle w:val="Nadpis3"/>
      </w:pPr>
      <w:bookmarkStart w:id="60" w:name="_Toc114572341"/>
      <w:r w:rsidRPr="002A1A20">
        <w:t>Kumulativní financování</w:t>
      </w:r>
      <w:bookmarkEnd w:id="60"/>
      <w:r w:rsidRPr="002A1A20">
        <w:t xml:space="preserve"> </w:t>
      </w:r>
    </w:p>
    <w:p w14:paraId="3243E7AA" w14:textId="77777777" w:rsidR="008444FF" w:rsidRDefault="008444FF" w:rsidP="008444FF">
      <w:pPr>
        <w:tabs>
          <w:tab w:val="left" w:pos="1120"/>
        </w:tabs>
      </w:pPr>
      <w:r>
        <w:t>Kumulativní financování znamená, že operace/projekt získal podporu</w:t>
      </w:r>
      <w:r w:rsidR="009B66B5">
        <w:t xml:space="preserve"> z </w:t>
      </w:r>
      <w:r>
        <w:t xml:space="preserve">více než jednoho fondu, </w:t>
      </w:r>
      <w:r w:rsidR="00CE3F46">
        <w:t>programu či instrumentu na tentýž</w:t>
      </w:r>
      <w:r>
        <w:t xml:space="preserve"> výdaj.</w:t>
      </w:r>
      <w:r w:rsidR="00CE3F46">
        <w:t xml:space="preserve"> A</w:t>
      </w:r>
      <w:r>
        <w:t>by mohlo být kumulativní financování uplatněno, je nutná dohoda mezi všemi zúčastněnými stranami, tj. řídicím orgánem operačního programu</w:t>
      </w:r>
      <w:r w:rsidR="009B66B5">
        <w:t xml:space="preserve"> a </w:t>
      </w:r>
      <w:r>
        <w:t xml:space="preserve">Evropskou komisí či její implementační agenturou, která zajišťuje realizaci přímo řízeného programu. </w:t>
      </w:r>
    </w:p>
    <w:p w14:paraId="721B4530" w14:textId="77777777" w:rsidR="008444FF" w:rsidRDefault="00F359D5" w:rsidP="008444FF">
      <w:pPr>
        <w:tabs>
          <w:tab w:val="left" w:pos="1120"/>
        </w:tabs>
      </w:pPr>
      <w:r>
        <w:t xml:space="preserve">Kumulativní financování </w:t>
      </w:r>
      <w:r w:rsidR="008444FF">
        <w:t>je vhodn</w:t>
      </w:r>
      <w:r>
        <w:t>é</w:t>
      </w:r>
      <w:r w:rsidR="008444FF">
        <w:t xml:space="preserve"> pro nástroje, které vyžadují národní příspěvek či mají nízkou míru financování. Synergické projekty mohou být financovány až do výše 100 %, ale pouze za předpokladu souladu</w:t>
      </w:r>
      <w:r w:rsidR="009B66B5">
        <w:t xml:space="preserve"> s </w:t>
      </w:r>
      <w:r w:rsidR="008444FF">
        <w:t>pravidly veřejné podpory,</w:t>
      </w:r>
      <w:r>
        <w:t xml:space="preserve"> které se na financování</w:t>
      </w:r>
      <w:r w:rsidR="009B66B5">
        <w:t xml:space="preserve"> z </w:t>
      </w:r>
      <w:r>
        <w:t>ERDF</w:t>
      </w:r>
      <w:r w:rsidR="008444FF">
        <w:t xml:space="preserve"> na rozdíl od Horizontu Evropa, vztahují.  </w:t>
      </w:r>
    </w:p>
    <w:p w14:paraId="1B3A39E0" w14:textId="77777777" w:rsidR="008444FF" w:rsidRDefault="008444FF" w:rsidP="008444FF">
      <w:pPr>
        <w:tabs>
          <w:tab w:val="left" w:pos="1120"/>
        </w:tabs>
      </w:pPr>
      <w:r>
        <w:t>Financování probíhá na základě koordinovaných výzev obou financujících institucí. V případě, že žadatel uspěje</w:t>
      </w:r>
      <w:r w:rsidR="009B66B5">
        <w:t xml:space="preserve"> v </w:t>
      </w:r>
      <w:r>
        <w:t>obou výzvách, získá následně 2 rozhodnutí</w:t>
      </w:r>
      <w:r w:rsidR="009B66B5">
        <w:t xml:space="preserve"> o </w:t>
      </w:r>
      <w:r>
        <w:t xml:space="preserve">poskytnutí dotace. Aby se zabránilo financování více než 100 % na výdaje, při implementaci příjemce předkládá výdaje nejprve řídicímu orgánu ERDF, následně </w:t>
      </w:r>
      <w:r w:rsidR="00F15417">
        <w:t>Evropské</w:t>
      </w:r>
      <w:r w:rsidR="00AA2026">
        <w:t xml:space="preserve"> komise</w:t>
      </w:r>
      <w:r>
        <w:t>, zároveň mezitím probíhá komunikace mezi řídicím orgánem</w:t>
      </w:r>
      <w:r w:rsidR="009B66B5">
        <w:t xml:space="preserve"> a </w:t>
      </w:r>
      <w:r w:rsidR="00AA2026">
        <w:t>Evropskou komisí</w:t>
      </w:r>
      <w:r>
        <w:t xml:space="preserve"> (resp. její implementující agenturou). </w:t>
      </w:r>
    </w:p>
    <w:p w14:paraId="56027C31" w14:textId="77777777" w:rsidR="00526A18" w:rsidRDefault="008444FF" w:rsidP="008444FF">
      <w:pPr>
        <w:tabs>
          <w:tab w:val="left" w:pos="1120"/>
        </w:tabs>
      </w:pPr>
      <w:r>
        <w:t>ČR má zkušenost</w:t>
      </w:r>
      <w:r w:rsidR="009B66B5">
        <w:t xml:space="preserve"> s </w:t>
      </w:r>
      <w:r>
        <w:t>kumulativním financování podporou ERA-NET Cofundů, jež podporuje TA</w:t>
      </w:r>
      <w:r w:rsidR="00C853D7">
        <w:t xml:space="preserve"> </w:t>
      </w:r>
      <w:r>
        <w:t>ČR (v</w:t>
      </w:r>
      <w:r w:rsidR="00ED5B4A">
        <w:t> </w:t>
      </w:r>
      <w:r>
        <w:t>aplikovaném výzkumu) od roku 2017. Tento mechanismus umožňuje</w:t>
      </w:r>
      <w:r w:rsidR="005C7BF1">
        <w:t xml:space="preserve"> poskytovatelům</w:t>
      </w:r>
      <w:r w:rsidR="009B66B5">
        <w:t xml:space="preserve"> </w:t>
      </w:r>
      <w:r w:rsidR="009B66B5">
        <w:lastRenderedPageBreak/>
        <w:t>z </w:t>
      </w:r>
      <w:r w:rsidR="005C7BF1">
        <w:t>různých států</w:t>
      </w:r>
      <w:r>
        <w:t xml:space="preserve"> zapojených</w:t>
      </w:r>
      <w:r w:rsidR="005C7BF1">
        <w:t xml:space="preserve"> do dané cofundové výzvy</w:t>
      </w:r>
      <w:r>
        <w:t xml:space="preserve"> vyhlašovat společné mezinárodní výzvy na dohodnuté téma. Projekty</w:t>
      </w:r>
      <w:r w:rsidR="005C7BF1">
        <w:t xml:space="preserve"> jsou podávány konsorcii tvořenými</w:t>
      </w:r>
      <w:r>
        <w:t xml:space="preserve"> mezinárodními partnery, přičemž poskytovatel financuje své národní úspěšné uchazeče ve výzvě na základě výběru projektů na mezinárodní úrovni. Evropská komise finančně </w:t>
      </w:r>
      <w:r w:rsidRPr="00CF2492">
        <w:t>přispív</w:t>
      </w:r>
      <w:r w:rsidR="005A0D3F">
        <w:t>ala</w:t>
      </w:r>
      <w:r>
        <w:t xml:space="preserve"> na realizaci ERA-NET Cofundů</w:t>
      </w:r>
      <w:r w:rsidR="009B66B5">
        <w:t xml:space="preserve"> z </w:t>
      </w:r>
      <w:r>
        <w:t>Horizontu 2020 (tzv. top</w:t>
      </w:r>
      <w:r w:rsidR="005A0D3F">
        <w:t>-</w:t>
      </w:r>
      <w:r>
        <w:t>up</w:t>
      </w:r>
      <w:r w:rsidR="005A0D3F">
        <w:t xml:space="preserve"> příspěvkem</w:t>
      </w:r>
      <w:r>
        <w:t>). TA</w:t>
      </w:r>
      <w:r w:rsidR="00F15417">
        <w:t xml:space="preserve"> </w:t>
      </w:r>
      <w:r>
        <w:t>ČR toto realizuje pomocí příslušných národních programů. Koncept ERA-NET Cofundů se</w:t>
      </w:r>
      <w:r w:rsidR="00F15417">
        <w:t xml:space="preserve"> s </w:t>
      </w:r>
      <w:r w:rsidR="005C7BF1">
        <w:t>Horizontem Evropa</w:t>
      </w:r>
      <w:r w:rsidR="009B66B5">
        <w:t xml:space="preserve"> a </w:t>
      </w:r>
      <w:r w:rsidR="005C7BF1">
        <w:t>vznikem e</w:t>
      </w:r>
      <w:r>
        <w:t>vropských partnerství transfor</w:t>
      </w:r>
      <w:r w:rsidR="005C7BF1">
        <w:t>moval právě do e</w:t>
      </w:r>
      <w:r>
        <w:t>vropských partnerství. TA</w:t>
      </w:r>
      <w:r w:rsidR="00F15417">
        <w:t xml:space="preserve"> </w:t>
      </w:r>
      <w:r>
        <w:t>ČR dohromady vyhlásil</w:t>
      </w:r>
      <w:r w:rsidR="00F15417">
        <w:t>a</w:t>
      </w:r>
      <w:r>
        <w:t xml:space="preserve"> 23 výzev</w:t>
      </w:r>
      <w:r w:rsidR="009B66B5">
        <w:t xml:space="preserve"> s </w:t>
      </w:r>
      <w:r>
        <w:t>tímto zaměřením.</w:t>
      </w:r>
      <w:r w:rsidR="003448B7">
        <w:t xml:space="preserve"> </w:t>
      </w:r>
    </w:p>
    <w:p w14:paraId="23CB0E88" w14:textId="6DA7CA4C" w:rsidR="008444FF" w:rsidRDefault="003448B7" w:rsidP="008444FF">
      <w:pPr>
        <w:tabs>
          <w:tab w:val="left" w:pos="1120"/>
        </w:tabs>
      </w:pPr>
      <w:r>
        <w:t>Ze strany MŠMT byla podpora výzkumných subjektů prostřednictvím jejich zapojení do ERA-NET Cofund zahájena v roce 2016</w:t>
      </w:r>
      <w:r w:rsidR="00EC7509">
        <w:t xml:space="preserve">, kdy ČR </w:t>
      </w:r>
      <w:r w:rsidR="00EC7509" w:rsidRPr="00EC7509">
        <w:t>přistoupila k programu QuantERA podporující výzkum v oblasti kvantov</w:t>
      </w:r>
      <w:r w:rsidR="00417784">
        <w:t>ých</w:t>
      </w:r>
      <w:r w:rsidR="00EC7509" w:rsidRPr="00EC7509">
        <w:t xml:space="preserve"> technologi</w:t>
      </w:r>
      <w:r w:rsidR="00417784">
        <w:t>í</w:t>
      </w:r>
      <w:r>
        <w:t xml:space="preserve">. Kromě </w:t>
      </w:r>
      <w:r w:rsidR="00EC7509">
        <w:t>klasického</w:t>
      </w:r>
      <w:r>
        <w:t xml:space="preserve"> schématu</w:t>
      </w:r>
      <w:r w:rsidR="00EC7509">
        <w:t xml:space="preserve"> ERA-NET Cofund</w:t>
      </w:r>
      <w:r>
        <w:t xml:space="preserve"> podporuje MŠMT </w:t>
      </w:r>
      <w:r w:rsidR="00417784">
        <w:t>i</w:t>
      </w:r>
      <w:r>
        <w:t xml:space="preserve"> koordinaci národních a evropských finančních zdrojů a aktivit v rámci </w:t>
      </w:r>
      <w:r>
        <w:rPr>
          <w:color w:val="323232"/>
        </w:rPr>
        <w:t>European Joint Programme (EJP) Cofund</w:t>
      </w:r>
      <w:r w:rsidRPr="003448B7">
        <w:t xml:space="preserve">. </w:t>
      </w:r>
      <w:r w:rsidR="00526A18">
        <w:t>Oproti</w:t>
      </w:r>
      <w:r>
        <w:t xml:space="preserve"> ERA-NET Cofund </w:t>
      </w:r>
      <w:r w:rsidR="00526A18">
        <w:t>se</w:t>
      </w:r>
      <w:r>
        <w:t xml:space="preserve"> </w:t>
      </w:r>
      <w:r w:rsidRPr="003448B7">
        <w:t>EJP Cofund nezaměřuje pouze na spolufinancování společné výzvy, ale i na spolufinancování společných programových aktivit.</w:t>
      </w:r>
      <w:r w:rsidR="00526A18">
        <w:t xml:space="preserve"> </w:t>
      </w:r>
      <w:r w:rsidR="00EC7509">
        <w:t xml:space="preserve">Shodně v obou </w:t>
      </w:r>
      <w:r w:rsidR="00417784">
        <w:t xml:space="preserve">dvou </w:t>
      </w:r>
      <w:r w:rsidR="00EC7509">
        <w:t xml:space="preserve">schématech získávají národní účastníci </w:t>
      </w:r>
      <w:r w:rsidR="00526A18">
        <w:t>přím</w:t>
      </w:r>
      <w:r w:rsidR="00EC7509">
        <w:t>ou</w:t>
      </w:r>
      <w:r w:rsidR="00526A18">
        <w:t xml:space="preserve"> podpor</w:t>
      </w:r>
      <w:r w:rsidR="00EC7509">
        <w:t>u</w:t>
      </w:r>
      <w:r w:rsidR="00526A18">
        <w:t xml:space="preserve"> formou financování</w:t>
      </w:r>
      <w:r w:rsidR="00EC7509">
        <w:t xml:space="preserve"> ze strany MŠMT; výzkumné subjekty se však </w:t>
      </w:r>
      <w:r w:rsidR="00526A18">
        <w:t xml:space="preserve">mohou </w:t>
      </w:r>
      <w:r w:rsidR="00EC7509">
        <w:t xml:space="preserve">do </w:t>
      </w:r>
      <w:r w:rsidR="00CB0D8B">
        <w:t xml:space="preserve">ERA-NET Cofund i </w:t>
      </w:r>
      <w:r w:rsidR="00EC7509">
        <w:t xml:space="preserve">EJP Cofund </w:t>
      </w:r>
      <w:r w:rsidR="00526A18">
        <w:t xml:space="preserve">zapojovat </w:t>
      </w:r>
      <w:r w:rsidR="00417784">
        <w:t>i</w:t>
      </w:r>
      <w:r w:rsidR="00526A18">
        <w:t xml:space="preserve"> samy z pozice tzv. programového manažera</w:t>
      </w:r>
      <w:r w:rsidR="00417784">
        <w:t xml:space="preserve"> </w:t>
      </w:r>
      <w:r w:rsidR="00526A18">
        <w:t>pod dohledem řídicího orgánu národního programu.</w:t>
      </w:r>
      <w:r w:rsidR="00E31EFD">
        <w:t xml:space="preserve"> V období do roku 2022 se subjekty z</w:t>
      </w:r>
      <w:r w:rsidR="00F644C1">
        <w:t> </w:t>
      </w:r>
      <w:r w:rsidR="00E31EFD">
        <w:t xml:space="preserve">ČR </w:t>
      </w:r>
      <w:r w:rsidR="00CB0D8B">
        <w:t>s</w:t>
      </w:r>
      <w:r w:rsidR="00F644C1">
        <w:t xml:space="preserve"> přímou či nepřímou </w:t>
      </w:r>
      <w:r w:rsidR="00CB0D8B">
        <w:t xml:space="preserve">podporou MŠMT </w:t>
      </w:r>
      <w:r w:rsidR="00E31EFD">
        <w:t>zapojily do šesti programů EJP Cofund.</w:t>
      </w:r>
      <w:r w:rsidR="006872DA">
        <w:t xml:space="preserve"> Schéma</w:t>
      </w:r>
      <w:r w:rsidR="00A821F3">
        <w:t xml:space="preserve"> ERA-NET</w:t>
      </w:r>
      <w:r w:rsidR="006872DA">
        <w:t xml:space="preserve"> Cofund </w:t>
      </w:r>
      <w:r w:rsidR="00CB0D8B">
        <w:t>je</w:t>
      </w:r>
      <w:r w:rsidR="006872DA">
        <w:t xml:space="preserve"> </w:t>
      </w:r>
      <w:r w:rsidR="00CB0D8B">
        <w:t xml:space="preserve">dále </w:t>
      </w:r>
      <w:r w:rsidR="006872DA">
        <w:t>uplatň</w:t>
      </w:r>
      <w:r w:rsidR="00CB0D8B">
        <w:t xml:space="preserve">ováno </w:t>
      </w:r>
      <w:r w:rsidR="00417784">
        <w:t>i</w:t>
      </w:r>
      <w:r w:rsidR="006872DA">
        <w:t xml:space="preserve"> v některých výzvách iniciativ </w:t>
      </w:r>
      <w:r w:rsidR="00417784">
        <w:t xml:space="preserve">společného programování </w:t>
      </w:r>
      <w:r w:rsidR="006872DA">
        <w:t>(Joint Programm</w:t>
      </w:r>
      <w:r w:rsidR="00417784">
        <w:t>ing Initiatives</w:t>
      </w:r>
      <w:r w:rsidR="006872DA">
        <w:t>,</w:t>
      </w:r>
      <w:r w:rsidR="006872DA" w:rsidRPr="006872DA">
        <w:t xml:space="preserve"> JPIs</w:t>
      </w:r>
      <w:r w:rsidR="006872DA">
        <w:t>).</w:t>
      </w:r>
    </w:p>
    <w:p w14:paraId="514AE4D2" w14:textId="77777777" w:rsidR="008444FF" w:rsidRPr="002A1A20" w:rsidRDefault="008444FF" w:rsidP="008444FF">
      <w:pPr>
        <w:pStyle w:val="Nadpis3"/>
      </w:pPr>
      <w:bookmarkStart w:id="61" w:name="_Toc114572342"/>
      <w:r w:rsidRPr="001E6330">
        <w:t>Evropská partnerství</w:t>
      </w:r>
      <w:bookmarkEnd w:id="61"/>
      <w:r w:rsidRPr="002A1A20">
        <w:t xml:space="preserve"> </w:t>
      </w:r>
    </w:p>
    <w:p w14:paraId="41393184" w14:textId="77777777" w:rsidR="008444FF" w:rsidRDefault="008444FF" w:rsidP="008444FF">
      <w:r>
        <w:t>Evropská partnerství jsou novým pojmem, který je uplatňován</w:t>
      </w:r>
      <w:r w:rsidR="009B66B5">
        <w:t xml:space="preserve"> v </w:t>
      </w:r>
      <w:r>
        <w:t>Horizontu Evropa. Nicméně se nejedná</w:t>
      </w:r>
      <w:r w:rsidR="009B66B5">
        <w:t xml:space="preserve"> o </w:t>
      </w:r>
      <w:r>
        <w:t>novinku, jedná se</w:t>
      </w:r>
      <w:r w:rsidR="009B66B5">
        <w:t xml:space="preserve"> o </w:t>
      </w:r>
      <w:r>
        <w:t>snahu</w:t>
      </w:r>
      <w:r w:rsidR="009B66B5">
        <w:t xml:space="preserve"> o </w:t>
      </w:r>
      <w:r>
        <w:t>sjednocení různých forem podpory známých</w:t>
      </w:r>
      <w:r w:rsidR="009B66B5">
        <w:t xml:space="preserve"> z </w:t>
      </w:r>
      <w:r>
        <w:t>předešlých rámcových programů (ERA-NET Cofund, Společné programové iniciativy – JPIs, Společné technologické iniciativy – JTIs, atd.). Jak je uvedeno</w:t>
      </w:r>
      <w:r w:rsidR="009B66B5">
        <w:t xml:space="preserve"> v </w:t>
      </w:r>
      <w:r>
        <w:t>předchozí kapitole 4, Horizont Evropa rozlišuje 3 typy partnerství: společně programovaná partnerství, institucionalizovaná partnerství</w:t>
      </w:r>
      <w:r w:rsidR="009B66B5">
        <w:t xml:space="preserve"> a </w:t>
      </w:r>
      <w:r>
        <w:t xml:space="preserve">společně financovaná partnerství. </w:t>
      </w:r>
    </w:p>
    <w:p w14:paraId="4A2D7E01" w14:textId="77777777" w:rsidR="008444FF" w:rsidRDefault="008444FF" w:rsidP="008444FF">
      <w:r>
        <w:t>Možnost využít fondy EU (konkrétně Evropský fond pro regionální rozvoj, ERDF)</w:t>
      </w:r>
      <w:r w:rsidR="009B66B5">
        <w:t xml:space="preserve"> k </w:t>
      </w:r>
      <w:r>
        <w:t>financování národního</w:t>
      </w:r>
      <w:r w:rsidR="00601DB8">
        <w:t xml:space="preserve"> příspěvku je platná pouze pro spolufinancovaná</w:t>
      </w:r>
      <w:r w:rsidR="009B66B5">
        <w:t xml:space="preserve"> a </w:t>
      </w:r>
      <w:r w:rsidR="00601DB8">
        <w:t>i</w:t>
      </w:r>
      <w:r>
        <w:t xml:space="preserve">nstitucionalizovaná evropská partnerství. Spolufinancovaná evropská partnerství fungují na principu kumulativního financování popsaného výše. </w:t>
      </w:r>
    </w:p>
    <w:p w14:paraId="4E47B92A" w14:textId="77777777" w:rsidR="008444FF" w:rsidRDefault="008444FF" w:rsidP="008444FF">
      <w:r>
        <w:t>Společně programovaná evropská partnerství neumožňují kombinované financování, pouze paralelní nebo postupné (sekvenční) financování. Ze zdrojů ERDF je možné spolufinancovat rovněž dodatečné aktivity těchto partnerství, pokud jsou takové identifikovány</w:t>
      </w:r>
      <w:r w:rsidR="009B66B5">
        <w:t xml:space="preserve"> v </w:t>
      </w:r>
      <w:r>
        <w:t xml:space="preserve">Plánu dodatečných aktivit. </w:t>
      </w:r>
    </w:p>
    <w:p w14:paraId="30976111" w14:textId="77777777" w:rsidR="008444FF" w:rsidRDefault="008444FF" w:rsidP="008444FF">
      <w:r>
        <w:t>Zkušenosti ČR</w:t>
      </w:r>
      <w:r w:rsidR="009B66B5">
        <w:t xml:space="preserve"> s </w:t>
      </w:r>
      <w:r>
        <w:t>podporou různých typů partnerství je blíže uvedena výše</w:t>
      </w:r>
      <w:r w:rsidR="009B66B5">
        <w:t xml:space="preserve"> v </w:t>
      </w:r>
      <w:r>
        <w:t>kap. 4 tohoto dokumentu.</w:t>
      </w:r>
    </w:p>
    <w:p w14:paraId="3A7396BA" w14:textId="77777777" w:rsidR="008444FF" w:rsidRPr="002A1A20" w:rsidRDefault="008444FF" w:rsidP="008444FF">
      <w:pPr>
        <w:pStyle w:val="Nadpis3"/>
      </w:pPr>
      <w:bookmarkStart w:id="62" w:name="_Toc114572343"/>
      <w:r w:rsidRPr="002A1A20">
        <w:t>Kombinované financování (Teaming)</w:t>
      </w:r>
      <w:bookmarkEnd w:id="62"/>
      <w:r w:rsidRPr="002A1A20">
        <w:t xml:space="preserve"> </w:t>
      </w:r>
    </w:p>
    <w:p w14:paraId="28D9A8F3" w14:textId="1DE6304A" w:rsidR="008444FF" w:rsidRDefault="008444FF" w:rsidP="008444FF">
      <w:r>
        <w:t xml:space="preserve">Teaming podporuje budování nových </w:t>
      </w:r>
      <w:r w:rsidR="00417784">
        <w:t>či</w:t>
      </w:r>
      <w:r>
        <w:t xml:space="preserve"> modernizaci stávajících center excelence na bázi partnerství</w:t>
      </w:r>
      <w:r w:rsidR="009B66B5">
        <w:t xml:space="preserve"> s </w:t>
      </w:r>
      <w:r>
        <w:t>renomovanými výzkumnými institucemi</w:t>
      </w:r>
      <w:r w:rsidR="009B66B5">
        <w:t xml:space="preserve"> v </w:t>
      </w:r>
      <w:r>
        <w:t xml:space="preserve">zahraničí. Budování/modernizace </w:t>
      </w:r>
      <w:r>
        <w:lastRenderedPageBreak/>
        <w:t>centra excelence má probíhat na všech úrovních, nejen</w:t>
      </w:r>
      <w:r w:rsidR="009B66B5">
        <w:t xml:space="preserve"> v </w:t>
      </w:r>
      <w:r>
        <w:t>rovině investiční. Teaming je jeden</w:t>
      </w:r>
      <w:r w:rsidR="009B66B5">
        <w:t xml:space="preserve"> z </w:t>
      </w:r>
      <w:r>
        <w:t>nástrojů Horizontu Evropa, který vyžaduje komplementární financování</w:t>
      </w:r>
      <w:r w:rsidR="009B66B5">
        <w:t xml:space="preserve"> z </w:t>
      </w:r>
      <w:r>
        <w:t>dalších (národní, regionálních, EU či soukromých) zdrojů. Na rozdíl od kumulativního financování je cílem financovat</w:t>
      </w:r>
      <w:r w:rsidR="009B66B5">
        <w:t xml:space="preserve"> z </w:t>
      </w:r>
      <w:r>
        <w:t xml:space="preserve">dalších zdrojů (př. ERDF) jiné výdaje (aktivity – </w:t>
      </w:r>
      <w:r w:rsidR="00FB45CF">
        <w:t>na</w:t>
      </w:r>
      <w:r>
        <w:t>př. velké infrastrukturní výdaje), než které jsou financovány</w:t>
      </w:r>
      <w:r w:rsidR="009B66B5">
        <w:t xml:space="preserve"> z </w:t>
      </w:r>
      <w:r>
        <w:t xml:space="preserve">Horizontu Evropa. </w:t>
      </w:r>
    </w:p>
    <w:p w14:paraId="62CBE851" w14:textId="0ED040E9" w:rsidR="008444FF" w:rsidRDefault="008444FF" w:rsidP="008444FF">
      <w:r>
        <w:t>V případě Teamingu žádost do Horizontu Evropa musí obsahovat jasný popis komplementárního projektu, neboť</w:t>
      </w:r>
      <w:r w:rsidR="009B66B5">
        <w:t xml:space="preserve"> i </w:t>
      </w:r>
      <w:r>
        <w:t>tato část podléhá hodnoticímu procesu</w:t>
      </w:r>
      <w:r w:rsidR="009B66B5">
        <w:t xml:space="preserve"> v </w:t>
      </w:r>
      <w:r>
        <w:t>Horizontu Evropa (na roz</w:t>
      </w:r>
      <w:r w:rsidR="002C57E2">
        <w:t>díl od programového období 2014–</w:t>
      </w:r>
      <w:r>
        <w:t>2020). I</w:t>
      </w:r>
      <w:r w:rsidR="009B66B5">
        <w:t xml:space="preserve"> v </w:t>
      </w:r>
      <w:r>
        <w:t>tomto případě žadatel předkládá žádost do dvou výzev</w:t>
      </w:r>
      <w:r w:rsidR="002C57E2">
        <w:t>,</w:t>
      </w:r>
      <w:r w:rsidR="009B66B5">
        <w:t xml:space="preserve"> a </w:t>
      </w:r>
      <w:r>
        <w:t>pokud uspěje, získá následně 2 rozhodnutí</w:t>
      </w:r>
      <w:r w:rsidR="009B66B5">
        <w:t xml:space="preserve"> o </w:t>
      </w:r>
      <w:r>
        <w:t>poskytnutí dotace. Řídicí orgán, který financuje komplementární projekt ze zdrojů ERDF, může využít možnosti</w:t>
      </w:r>
      <w:r w:rsidR="009B66B5">
        <w:t xml:space="preserve"> a </w:t>
      </w:r>
      <w:r>
        <w:t>využít kategorie, maximální částky</w:t>
      </w:r>
      <w:r w:rsidR="009B66B5">
        <w:t xml:space="preserve"> a </w:t>
      </w:r>
      <w:r>
        <w:t xml:space="preserve">metody kalkulace způsobilých výdajů podle pravidel pro Horizont Evropa. </w:t>
      </w:r>
    </w:p>
    <w:p w14:paraId="439C5CF1" w14:textId="77777777" w:rsidR="008444FF" w:rsidRDefault="008444FF" w:rsidP="008444FF">
      <w:r>
        <w:t>Největší výzvou kombinovaného financování u Teamingu je načasování obou schémat podpory. Vzhledem ke skutečnosti, že výzva je vypisována</w:t>
      </w:r>
      <w:r w:rsidR="009B66B5">
        <w:t xml:space="preserve"> v </w:t>
      </w:r>
      <w:r>
        <w:t xml:space="preserve">Horizontu Evropa dle relevantního pracovního programu, tak odpovědnost za sladění časování je primárně na komplementárním zdroji prostředků (většinou národním, regionálním programu). </w:t>
      </w:r>
    </w:p>
    <w:p w14:paraId="60A66A82" w14:textId="2AB22207" w:rsidR="008444FF" w:rsidRDefault="008444FF" w:rsidP="008444FF">
      <w:r>
        <w:t xml:space="preserve">Nástroj Teaming byl ČR využíván již </w:t>
      </w:r>
      <w:r w:rsidR="009B66B5">
        <w:t>v </w:t>
      </w:r>
      <w:r>
        <w:t>Horizont</w:t>
      </w:r>
      <w:r w:rsidR="00FB45CF">
        <w:t>u</w:t>
      </w:r>
      <w:r>
        <w:t xml:space="preserve"> 2020. MŠMT nutné komplementární financování tohoto nástroje, bez kterého projekty nemohou být</w:t>
      </w:r>
      <w:r w:rsidR="009B66B5">
        <w:t xml:space="preserve"> z </w:t>
      </w:r>
      <w:r>
        <w:t>evropské výzvy podpořeny, doplnila alokací</w:t>
      </w:r>
      <w:r w:rsidR="009B66B5">
        <w:t xml:space="preserve"> v </w:t>
      </w:r>
      <w:r>
        <w:t>OP VVV. Alokace byla primárně určena</w:t>
      </w:r>
      <w:r w:rsidR="009B66B5">
        <w:t xml:space="preserve"> k </w:t>
      </w:r>
      <w:r>
        <w:t xml:space="preserve">významné modernizaci stávajícího výzkumného centra. Z Horizontu 2020 byly výzvy (dvě na sebe navazující) vyhlášeny </w:t>
      </w:r>
      <w:r w:rsidR="000819C7">
        <w:t xml:space="preserve">dvakrát. OP VVV rovněž </w:t>
      </w:r>
      <w:r w:rsidR="000819C7" w:rsidRPr="002066D3">
        <w:t>vyhlásil</w:t>
      </w:r>
      <w:r w:rsidRPr="002066D3">
        <w:t xml:space="preserve"> 2</w:t>
      </w:r>
      <w:r w:rsidR="00417784">
        <w:t> </w:t>
      </w:r>
      <w:r w:rsidRPr="002066D3">
        <w:t>speciální výzvy. První výzva zahrnovala možnost podpořit</w:t>
      </w:r>
      <w:r w:rsidR="009B66B5">
        <w:t xml:space="preserve"> i </w:t>
      </w:r>
      <w:r w:rsidRPr="002066D3">
        <w:t>projekty, které by prokázaly svou</w:t>
      </w:r>
      <w:r>
        <w:t xml:space="preserve"> kvalitu, ale nezbyla na ně dostatečná finanční alokace (princip Pečetě excelence), druhá výzva byla zaměřena pouze na podporu projektů, které uspějí</w:t>
      </w:r>
      <w:r w:rsidR="009B66B5">
        <w:t xml:space="preserve"> a </w:t>
      </w:r>
      <w:r>
        <w:t xml:space="preserve">získají financování na </w:t>
      </w:r>
      <w:r w:rsidR="00FB45CF">
        <w:t xml:space="preserve">celou </w:t>
      </w:r>
      <w:r>
        <w:t>realizaci projektu. Nástroj je zahrnut</w:t>
      </w:r>
      <w:r w:rsidR="009B66B5">
        <w:t xml:space="preserve"> i </w:t>
      </w:r>
      <w:r>
        <w:t>do Horizontu Evropa, komplementární podpora českých projektů, které uspějí</w:t>
      </w:r>
      <w:r w:rsidR="009B66B5">
        <w:t xml:space="preserve"> a </w:t>
      </w:r>
      <w:r>
        <w:t xml:space="preserve">získají financování, je opět plánována MŠMT ze stávajícího OP JAK. </w:t>
      </w:r>
      <w:r w:rsidR="00417784">
        <w:t>V</w:t>
      </w:r>
      <w:r>
        <w:t>ýzva byla vyhlášena</w:t>
      </w:r>
      <w:r w:rsidR="009B66B5">
        <w:t xml:space="preserve"> v </w:t>
      </w:r>
      <w:r>
        <w:t xml:space="preserve">květnu 2022. </w:t>
      </w:r>
    </w:p>
    <w:p w14:paraId="6B50D8B6" w14:textId="77777777" w:rsidR="008444FF" w:rsidRDefault="008444FF" w:rsidP="008444FF">
      <w:r>
        <w:t>Jako další příklad kombinovaného financování, se kterým má ČR zkušenosti, lze uvést financování projektů</w:t>
      </w:r>
      <w:r w:rsidR="009B66B5">
        <w:t xml:space="preserve"> z </w:t>
      </w:r>
      <w:r>
        <w:t>mezinárodního programu COST</w:t>
      </w:r>
      <w:r w:rsidR="009B66B5">
        <w:t xml:space="preserve"> a </w:t>
      </w:r>
      <w:r>
        <w:t>jeho českého protějšku (aktuálně podprogram INTER-COST</w:t>
      </w:r>
      <w:r w:rsidR="009B66B5">
        <w:t xml:space="preserve"> v </w:t>
      </w:r>
      <w:r>
        <w:t>programu INTER-EXCELLENCE II, poskytovatel MŠMT). Tento podprogram podporuje výzkumné projekty, které přispívají</w:t>
      </w:r>
      <w:r w:rsidR="009B66B5">
        <w:t xml:space="preserve"> k </w:t>
      </w:r>
      <w:r>
        <w:t>naplnění cílů jednotlivých akcí COST (nezbytnou podmínkou je účast</w:t>
      </w:r>
      <w:r w:rsidR="009B66B5">
        <w:t xml:space="preserve"> v </w:t>
      </w:r>
      <w:r>
        <w:t>mezinárodním programu COST). Mezinárodní program financuje koordinaci</w:t>
      </w:r>
      <w:r w:rsidR="009B66B5">
        <w:t xml:space="preserve"> a </w:t>
      </w:r>
      <w:r>
        <w:t xml:space="preserve">setkávání výzkumníků, český program financuje výzkumné aktivity. </w:t>
      </w:r>
    </w:p>
    <w:p w14:paraId="1796B601" w14:textId="77777777" w:rsidR="008444FF" w:rsidRPr="002A1A20" w:rsidRDefault="008444FF" w:rsidP="008444FF">
      <w:pPr>
        <w:pStyle w:val="Nadpis3"/>
      </w:pPr>
      <w:bookmarkStart w:id="63" w:name="_Toc114572344"/>
      <w:r w:rsidRPr="00E65E60">
        <w:t>Upstream</w:t>
      </w:r>
      <w:r w:rsidR="009B66B5">
        <w:t xml:space="preserve"> a </w:t>
      </w:r>
      <w:r w:rsidRPr="00E65E60">
        <w:t>downstream synergie</w:t>
      </w:r>
      <w:bookmarkEnd w:id="63"/>
      <w:r w:rsidRPr="002A1A20">
        <w:t xml:space="preserve"> </w:t>
      </w:r>
    </w:p>
    <w:p w14:paraId="0BD10FD2" w14:textId="77777777" w:rsidR="008444FF" w:rsidRDefault="008444FF" w:rsidP="008444FF">
      <w:r>
        <w:t>O tzv. upstream/downstream synergiích se mluví, když evropská podpora (primárně pomocí Horizontu Evropa</w:t>
      </w:r>
      <w:r w:rsidR="009B66B5">
        <w:t xml:space="preserve"> a </w:t>
      </w:r>
      <w:r>
        <w:t>ERDF) umožní koordinovanou</w:t>
      </w:r>
      <w:r w:rsidR="009B66B5">
        <w:t xml:space="preserve"> a </w:t>
      </w:r>
      <w:r>
        <w:t>bezproblémovou podporu pro všechny kr</w:t>
      </w:r>
      <w:r w:rsidR="000819C7">
        <w:t>oky výzkumně-inovačního procesu</w:t>
      </w:r>
      <w:r>
        <w:t xml:space="preserve"> od budování kapacit</w:t>
      </w:r>
      <w:r w:rsidR="009B66B5">
        <w:t xml:space="preserve"> a </w:t>
      </w:r>
      <w:r>
        <w:t>základního výzkumu po komercializaci</w:t>
      </w:r>
      <w:r w:rsidR="009B66B5">
        <w:t xml:space="preserve"> a </w:t>
      </w:r>
      <w:r>
        <w:t xml:space="preserve">zavádění inovativních řešení soukromými firmami. </w:t>
      </w:r>
    </w:p>
    <w:p w14:paraId="6E589B64" w14:textId="77777777" w:rsidR="008444FF" w:rsidRDefault="008444FF" w:rsidP="008444FF">
      <w:r>
        <w:t>Rozvoj tohoto typu synergií vyžaduje spolupráci mezi zainteresovanými stranami, především evropskými</w:t>
      </w:r>
      <w:r w:rsidR="009B66B5">
        <w:t xml:space="preserve"> a </w:t>
      </w:r>
      <w:r>
        <w:t>národními autoritami při přípravě</w:t>
      </w:r>
      <w:r w:rsidR="009B66B5">
        <w:t xml:space="preserve"> a </w:t>
      </w:r>
      <w:r>
        <w:t>realizaci podpory</w:t>
      </w:r>
      <w:r w:rsidR="009B66B5">
        <w:t xml:space="preserve"> z </w:t>
      </w:r>
      <w:r>
        <w:t>Horizontu Evropa</w:t>
      </w:r>
      <w:r w:rsidR="009B66B5">
        <w:t xml:space="preserve"> a </w:t>
      </w:r>
      <w:r>
        <w:t xml:space="preserve">ERDF. </w:t>
      </w:r>
    </w:p>
    <w:p w14:paraId="584E3CB2" w14:textId="77777777" w:rsidR="008444FF" w:rsidRDefault="008444FF" w:rsidP="008444FF">
      <w:r>
        <w:lastRenderedPageBreak/>
        <w:t>Podpora</w:t>
      </w:r>
      <w:r w:rsidR="009B66B5">
        <w:t xml:space="preserve"> z </w:t>
      </w:r>
      <w:r>
        <w:t>Horizontu Evropa má směřovat</w:t>
      </w:r>
      <w:r w:rsidR="009B66B5">
        <w:t xml:space="preserve"> v </w:t>
      </w:r>
      <w:r>
        <w:t>rámci výzkumně-inovačního řetězce na fázi výzkumu</w:t>
      </w:r>
      <w:r w:rsidR="009B66B5">
        <w:t xml:space="preserve"> a </w:t>
      </w:r>
      <w:r>
        <w:t>vývoje, tj. podporu vědecké excelence, misí, partnerství</w:t>
      </w:r>
      <w:r w:rsidR="009B66B5">
        <w:t xml:space="preserve"> a </w:t>
      </w:r>
      <w:r>
        <w:t>mobilit. Podpora</w:t>
      </w:r>
      <w:r w:rsidR="009B66B5">
        <w:t xml:space="preserve"> z </w:t>
      </w:r>
      <w:r>
        <w:t>ERDF má tyto aktivity doplňovat</w:t>
      </w:r>
      <w:r w:rsidR="009B66B5">
        <w:t xml:space="preserve"> v </w:t>
      </w:r>
      <w:r>
        <w:t>předcházejících</w:t>
      </w:r>
      <w:r w:rsidR="009B66B5">
        <w:t xml:space="preserve"> a </w:t>
      </w:r>
      <w:r>
        <w:t>následujících fázích. Nejprve ve fázi přípravy podmínek, tj. vzniku kompetitivní vědecké základny, vytvoření infrastruktury</w:t>
      </w:r>
      <w:r w:rsidR="009B66B5">
        <w:t xml:space="preserve"> a </w:t>
      </w:r>
      <w:r>
        <w:t>řídicích kapacit, podpořit interakci mezi inovačními aktéry</w:t>
      </w:r>
      <w:r w:rsidR="009B66B5">
        <w:t xml:space="preserve"> a </w:t>
      </w:r>
      <w:r>
        <w:t>podpořit chytrou specializaci. Tyto podmínky mají umožnit férovou soutěž</w:t>
      </w:r>
      <w:r w:rsidR="009B66B5">
        <w:t xml:space="preserve"> o </w:t>
      </w:r>
      <w:r>
        <w:t>prostředky Horizontu Evropa. Následující fáze, kde by opět měly převzít roli finance poskytnuté ERDF, se zaměřuje na využití</w:t>
      </w:r>
      <w:r w:rsidR="009B66B5">
        <w:t xml:space="preserve"> a </w:t>
      </w:r>
      <w:r>
        <w:t>rozšíření výsledků vytvořených</w:t>
      </w:r>
      <w:r w:rsidR="009B66B5">
        <w:t xml:space="preserve"> v </w:t>
      </w:r>
      <w:r>
        <w:t>projektech podpořených Horizontem Evropa. Tedy na analýzu vytvořených výsledků, jejich využití</w:t>
      </w:r>
      <w:r w:rsidR="009B66B5">
        <w:t xml:space="preserve"> k </w:t>
      </w:r>
      <w:r>
        <w:t>rozpracování do produktů</w:t>
      </w:r>
      <w:r w:rsidR="009B66B5">
        <w:t xml:space="preserve"> a </w:t>
      </w:r>
      <w:r>
        <w:t>služeb vhodný pro uvedení na trh, zapojení do relevantních hodnotových řetězců</w:t>
      </w:r>
      <w:r w:rsidR="009B66B5">
        <w:t xml:space="preserve"> a </w:t>
      </w:r>
      <w:r>
        <w:t>tlak na rozvoj inovací</w:t>
      </w:r>
      <w:r w:rsidR="009B66B5">
        <w:t xml:space="preserve"> v </w:t>
      </w:r>
      <w:r>
        <w:t xml:space="preserve">méně rozvinutých regionech. </w:t>
      </w:r>
    </w:p>
    <w:p w14:paraId="4C7B4BC2" w14:textId="77777777" w:rsidR="008444FF" w:rsidRDefault="008444FF" w:rsidP="008444FF">
      <w:r>
        <w:t>Tyto typy synergií, ač nepojmenované, jsou hodně diskutované při přípravě relevantních operačních programů, jejich zaměření, cílů</w:t>
      </w:r>
      <w:r w:rsidR="009B66B5">
        <w:t xml:space="preserve"> a </w:t>
      </w:r>
      <w:r>
        <w:t>hlavně budoucích aktivit. Tím, že tyto typy</w:t>
      </w:r>
      <w:r w:rsidR="00EC6F0F">
        <w:t xml:space="preserve"> synergií jsou relativně obecné</w:t>
      </w:r>
      <w:r w:rsidR="009B66B5">
        <w:t xml:space="preserve"> a </w:t>
      </w:r>
      <w:r>
        <w:t xml:space="preserve">především velmi široké, jejich implementace proto může </w:t>
      </w:r>
      <w:r w:rsidR="00EC6F0F">
        <w:t>nabývat různých podob</w:t>
      </w:r>
      <w:r w:rsidR="009B66B5">
        <w:t xml:space="preserve"> a </w:t>
      </w:r>
      <w:r w:rsidRPr="00F30DE6">
        <w:t>ani nemusí být jako synergická označena</w:t>
      </w:r>
      <w:r>
        <w:t xml:space="preserve">. </w:t>
      </w:r>
    </w:p>
    <w:p w14:paraId="31163C2D" w14:textId="77777777" w:rsidR="008444FF" w:rsidRDefault="008444FF" w:rsidP="008444FF">
      <w:r>
        <w:t>Podpoře upstream/downstream synergií se má věnovat</w:t>
      </w:r>
      <w:r w:rsidR="009B66B5">
        <w:t xml:space="preserve"> i </w:t>
      </w:r>
      <w:r>
        <w:t>výzva Horizontu Evropa</w:t>
      </w:r>
      <w:r w:rsidR="009B66B5">
        <w:t xml:space="preserve"> v </w:t>
      </w:r>
      <w:r>
        <w:t>oblasti Rozšiřování účasti</w:t>
      </w:r>
      <w:r w:rsidR="009B66B5">
        <w:t xml:space="preserve"> a </w:t>
      </w:r>
      <w:r>
        <w:t>posilování ERA. Výzva je nyní</w:t>
      </w:r>
      <w:r w:rsidR="009B66B5">
        <w:t xml:space="preserve"> v </w:t>
      </w:r>
      <w:r>
        <w:t>návrhu pracovního programu pro rok 2023</w:t>
      </w:r>
      <w:r w:rsidR="009B66B5">
        <w:t xml:space="preserve"> a </w:t>
      </w:r>
      <w:r>
        <w:t xml:space="preserve">měla by podporovat oba typy synergií. </w:t>
      </w:r>
    </w:p>
    <w:p w14:paraId="3D0F5700" w14:textId="77777777" w:rsidR="008444FF" w:rsidRDefault="008444FF" w:rsidP="008444FF">
      <w:r>
        <w:t>Tento typ synergií je nejobecnějším</w:t>
      </w:r>
      <w:r w:rsidR="009B66B5">
        <w:t xml:space="preserve"> a </w:t>
      </w:r>
      <w:r>
        <w:t>nejširším</w:t>
      </w:r>
      <w:r w:rsidR="009B66B5">
        <w:t xml:space="preserve"> z </w:t>
      </w:r>
      <w:r>
        <w:t>výše uvedených. Do upstream synergií, které mají připravovat podmínky pro férovou soutěž</w:t>
      </w:r>
      <w:r w:rsidR="009B66B5">
        <w:t xml:space="preserve"> v </w:t>
      </w:r>
      <w:r w:rsidR="007230A2">
        <w:t>RP</w:t>
      </w:r>
      <w:r w:rsidR="00EC6F0F">
        <w:t>,</w:t>
      </w:r>
      <w:r>
        <w:t xml:space="preserve"> by se</w:t>
      </w:r>
      <w:r w:rsidR="009B66B5">
        <w:t xml:space="preserve"> v </w:t>
      </w:r>
      <w:r>
        <w:t>ČR daly počítat aktivity zaměřené na rozvoj infrastrukturních podmínek (</w:t>
      </w:r>
      <w:r w:rsidR="007230A2">
        <w:t>na</w:t>
      </w:r>
      <w:r>
        <w:t>př. operační programy</w:t>
      </w:r>
      <w:r w:rsidR="009B66B5">
        <w:t xml:space="preserve"> v </w:t>
      </w:r>
      <w:r w:rsidR="00EC6F0F">
        <w:t>období 2007–</w:t>
      </w:r>
      <w:r>
        <w:t>2013), rozvoj lid</w:t>
      </w:r>
      <w:r w:rsidR="007230A2">
        <w:t>ských zdrojů</w:t>
      </w:r>
      <w:r>
        <w:t xml:space="preserve"> (</w:t>
      </w:r>
      <w:r w:rsidR="007230A2">
        <w:t>na</w:t>
      </w:r>
      <w:r>
        <w:t>př. skupina grantových projektů Podpora ERC žadatelů podporované GAČR, mobilitní schémata</w:t>
      </w:r>
      <w:r w:rsidR="009B66B5">
        <w:t xml:space="preserve"> z </w:t>
      </w:r>
      <w:r>
        <w:t>národních zdrojů</w:t>
      </w:r>
      <w:r w:rsidR="009B66B5">
        <w:t xml:space="preserve"> i </w:t>
      </w:r>
      <w:r>
        <w:t>ESI fondů), rozvoj institucionálního fungování (</w:t>
      </w:r>
      <w:r w:rsidR="007230A2">
        <w:t>na</w:t>
      </w:r>
      <w:r>
        <w:t>př. výzvy na podporu zisku HR Award</w:t>
      </w:r>
      <w:r w:rsidR="009B66B5">
        <w:t xml:space="preserve"> z </w:t>
      </w:r>
      <w:r>
        <w:t>OP VVV, chystaná podpora implementace European Open Science Cloud</w:t>
      </w:r>
      <w:r w:rsidR="009B66B5">
        <w:t xml:space="preserve"> z </w:t>
      </w:r>
      <w:r>
        <w:t>OP JAK)</w:t>
      </w:r>
      <w:r w:rsidR="009B66B5">
        <w:t xml:space="preserve"> a </w:t>
      </w:r>
      <w:r>
        <w:t>rozvoj národního směřování (př. podpora řízení RIS3 strategie</w:t>
      </w:r>
      <w:r>
        <w:rPr>
          <w:rStyle w:val="Znakapoznpodarou"/>
        </w:rPr>
        <w:footnoteReference w:id="64"/>
      </w:r>
      <w:r w:rsidR="009B66B5">
        <w:t xml:space="preserve"> z </w:t>
      </w:r>
      <w:r>
        <w:t xml:space="preserve">ESI fondů). I podpora projektů na principu Pečetě excelence (viz výše) by mohla být chápána jako forma upstream synergie, kdy možnost alternativního financování podporuje podávání žádostí do </w:t>
      </w:r>
      <w:r w:rsidR="007230A2">
        <w:t>RP</w:t>
      </w:r>
      <w:r>
        <w:t>. Podobně se lze dívat</w:t>
      </w:r>
      <w:r w:rsidR="009B66B5">
        <w:t xml:space="preserve"> i </w:t>
      </w:r>
      <w:r>
        <w:t>podporu ERA-NET Cofundů, jejichž prostřednictvím lze posílit účast českých firem</w:t>
      </w:r>
      <w:r w:rsidR="009B66B5">
        <w:t xml:space="preserve"> a </w:t>
      </w:r>
      <w:r>
        <w:t>výzkumných organizacích</w:t>
      </w:r>
      <w:r w:rsidR="009B66B5">
        <w:t xml:space="preserve"> v </w:t>
      </w:r>
      <w:r>
        <w:t>mezinárodních VaVaI aktivitách,</w:t>
      </w:r>
      <w:r w:rsidR="009B66B5">
        <w:t xml:space="preserve"> a </w:t>
      </w:r>
      <w:r>
        <w:t xml:space="preserve">tedy jako na předstupeň výzev </w:t>
      </w:r>
      <w:r w:rsidR="007230A2">
        <w:t>RP</w:t>
      </w:r>
      <w:r w:rsidRPr="00C956D6">
        <w:t>.</w:t>
      </w:r>
      <w:r w:rsidRPr="00C956D6">
        <w:rPr>
          <w:rStyle w:val="Znakapoznpodarou"/>
        </w:rPr>
        <w:footnoteReference w:id="65"/>
      </w:r>
      <w:r>
        <w:t xml:space="preserve">  </w:t>
      </w:r>
    </w:p>
    <w:p w14:paraId="1CD88CDA" w14:textId="77777777" w:rsidR="008444FF" w:rsidRPr="00821C73" w:rsidRDefault="008444FF" w:rsidP="008444FF">
      <w:r>
        <w:t>Podpora downstream synergií, kdy by mělo dojít</w:t>
      </w:r>
      <w:r w:rsidR="009B66B5">
        <w:t xml:space="preserve"> k </w:t>
      </w:r>
      <w:r>
        <w:t>využití</w:t>
      </w:r>
      <w:r w:rsidR="009B66B5">
        <w:t xml:space="preserve"> a </w:t>
      </w:r>
      <w:r>
        <w:t>rozpracování výsledků vytvořených</w:t>
      </w:r>
      <w:r w:rsidR="009B66B5">
        <w:t xml:space="preserve"> v </w:t>
      </w:r>
      <w:r>
        <w:t xml:space="preserve">projektech </w:t>
      </w:r>
      <w:r w:rsidR="007230A2">
        <w:t>RP</w:t>
      </w:r>
      <w:r>
        <w:t>,</w:t>
      </w:r>
      <w:r w:rsidR="009B66B5">
        <w:t xml:space="preserve"> v </w:t>
      </w:r>
      <w:r>
        <w:t>ČR není dosud rozšířená. Ministerstvo průmyslu</w:t>
      </w:r>
      <w:r w:rsidR="009B66B5">
        <w:t xml:space="preserve"> a </w:t>
      </w:r>
      <w:r>
        <w:t>obchodu (MPO)</w:t>
      </w:r>
      <w:r w:rsidR="009B66B5">
        <w:t xml:space="preserve"> v </w:t>
      </w:r>
      <w:r>
        <w:t>roce 2017 vyhlásilo výzvu</w:t>
      </w:r>
      <w:r w:rsidR="009B66B5">
        <w:t xml:space="preserve"> z </w:t>
      </w:r>
      <w:r w:rsidR="007230A2">
        <w:t>O</w:t>
      </w:r>
      <w:r>
        <w:t>peračního programu Podnikání</w:t>
      </w:r>
      <w:r w:rsidR="009B66B5">
        <w:t xml:space="preserve"> a </w:t>
      </w:r>
      <w:r>
        <w:t>inovace pro konkurenceschopnost (OP PIK)</w:t>
      </w:r>
      <w:r w:rsidR="009B66B5">
        <w:t xml:space="preserve"> z </w:t>
      </w:r>
      <w:r>
        <w:t>programu Aplikace na podporu projektů, které navazují na program Clean Sky 2</w:t>
      </w:r>
      <w:r w:rsidR="009B66B5">
        <w:t xml:space="preserve"> z </w:t>
      </w:r>
      <w:r>
        <w:t>Horizontu 2020</w:t>
      </w:r>
      <w:r>
        <w:rPr>
          <w:rStyle w:val="Znakapoznpodarou"/>
        </w:rPr>
        <w:footnoteReference w:id="66"/>
      </w:r>
      <w:r>
        <w:t xml:space="preserve">. </w:t>
      </w:r>
    </w:p>
    <w:p w14:paraId="34810CEA" w14:textId="77777777" w:rsidR="008444FF" w:rsidRDefault="008444FF" w:rsidP="008444FF">
      <w:pPr>
        <w:pStyle w:val="Nadpis3"/>
      </w:pPr>
      <w:bookmarkStart w:id="64" w:name="_Toc114572345"/>
      <w:r w:rsidRPr="00D76FBB">
        <w:rPr>
          <w:szCs w:val="18"/>
        </w:rPr>
        <w:lastRenderedPageBreak/>
        <w:t>Mise</w:t>
      </w:r>
      <w:bookmarkEnd w:id="64"/>
      <w:r>
        <w:t xml:space="preserve"> </w:t>
      </w:r>
    </w:p>
    <w:p w14:paraId="55D92E0B" w14:textId="77777777" w:rsidR="008444FF" w:rsidRPr="000E44E5" w:rsidRDefault="008444FF" w:rsidP="008444FF">
      <w:pPr>
        <w:spacing w:line="257" w:lineRule="auto"/>
        <w:rPr>
          <w:rFonts w:asciiTheme="minorHAnsi" w:hAnsiTheme="minorHAnsi" w:cstheme="minorHAnsi"/>
        </w:rPr>
      </w:pPr>
      <w:r w:rsidRPr="000E44E5">
        <w:rPr>
          <w:rFonts w:asciiTheme="minorHAnsi" w:hAnsiTheme="minorHAnsi" w:cstheme="minorHAnsi"/>
        </w:rPr>
        <w:t xml:space="preserve">Mise jsou novým nástrojem </w:t>
      </w:r>
      <w:r w:rsidR="00C032C8">
        <w:rPr>
          <w:rFonts w:cs="Calibri"/>
        </w:rPr>
        <w:t>RP Horizont Evropa</w:t>
      </w:r>
      <w:r w:rsidRPr="000E44E5">
        <w:rPr>
          <w:rFonts w:asciiTheme="minorHAnsi" w:hAnsiTheme="minorHAnsi" w:cstheme="minorHAnsi"/>
        </w:rPr>
        <w:t>, který má především přispět koordinovaným úsilím</w:t>
      </w:r>
      <w:r w:rsidR="009B66B5">
        <w:rPr>
          <w:rFonts w:asciiTheme="minorHAnsi" w:hAnsiTheme="minorHAnsi" w:cstheme="minorHAnsi"/>
        </w:rPr>
        <w:t xml:space="preserve"> k </w:t>
      </w:r>
      <w:r w:rsidRPr="000E44E5">
        <w:rPr>
          <w:rFonts w:asciiTheme="minorHAnsi" w:hAnsiTheme="minorHAnsi" w:cstheme="minorHAnsi"/>
        </w:rPr>
        <w:t>naplnění cílů udržitelnosti. Prostřednictvím jasně formulovaných misí jsou řešeny naléhavé problémy, kterým evropská společnost</w:t>
      </w:r>
      <w:r w:rsidR="009B66B5">
        <w:rPr>
          <w:rFonts w:asciiTheme="minorHAnsi" w:hAnsiTheme="minorHAnsi" w:cstheme="minorHAnsi"/>
        </w:rPr>
        <w:t xml:space="preserve"> a </w:t>
      </w:r>
      <w:r w:rsidRPr="000E44E5">
        <w:rPr>
          <w:rFonts w:asciiTheme="minorHAnsi" w:hAnsiTheme="minorHAnsi" w:cstheme="minorHAnsi"/>
        </w:rPr>
        <w:t>občané čelí. Základními charakteristikami misí jsou koordinovaný přístup, vytvoření kritického množství zdrojů</w:t>
      </w:r>
      <w:r w:rsidR="009B66B5">
        <w:rPr>
          <w:rFonts w:asciiTheme="minorHAnsi" w:hAnsiTheme="minorHAnsi" w:cstheme="minorHAnsi"/>
        </w:rPr>
        <w:t xml:space="preserve"> a </w:t>
      </w:r>
      <w:r w:rsidRPr="000E44E5">
        <w:rPr>
          <w:rFonts w:asciiTheme="minorHAnsi" w:hAnsiTheme="minorHAnsi" w:cstheme="minorHAnsi"/>
        </w:rPr>
        <w:t>kapacit</w:t>
      </w:r>
      <w:r w:rsidR="009B66B5">
        <w:rPr>
          <w:rFonts w:asciiTheme="minorHAnsi" w:hAnsiTheme="minorHAnsi" w:cstheme="minorHAnsi"/>
        </w:rPr>
        <w:t xml:space="preserve"> a </w:t>
      </w:r>
      <w:r w:rsidRPr="000E44E5">
        <w:rPr>
          <w:rFonts w:asciiTheme="minorHAnsi" w:hAnsiTheme="minorHAnsi" w:cstheme="minorHAnsi"/>
        </w:rPr>
        <w:t>zapojení konečných uživatelů</w:t>
      </w:r>
      <w:r w:rsidR="009B66B5">
        <w:rPr>
          <w:rFonts w:asciiTheme="minorHAnsi" w:hAnsiTheme="minorHAnsi" w:cstheme="minorHAnsi"/>
        </w:rPr>
        <w:t xml:space="preserve"> a </w:t>
      </w:r>
      <w:r w:rsidRPr="000E44E5">
        <w:rPr>
          <w:rFonts w:asciiTheme="minorHAnsi" w:hAnsiTheme="minorHAnsi" w:cstheme="minorHAnsi"/>
        </w:rPr>
        <w:t>občanů do jejich formulace</w:t>
      </w:r>
      <w:r w:rsidR="009B66B5">
        <w:rPr>
          <w:rFonts w:asciiTheme="minorHAnsi" w:hAnsiTheme="minorHAnsi" w:cstheme="minorHAnsi"/>
        </w:rPr>
        <w:t xml:space="preserve"> i </w:t>
      </w:r>
      <w:r w:rsidRPr="000E44E5">
        <w:rPr>
          <w:rFonts w:asciiTheme="minorHAnsi" w:hAnsiTheme="minorHAnsi" w:cstheme="minorHAnsi"/>
        </w:rPr>
        <w:t>do řešení. Ambice</w:t>
      </w:r>
      <w:r w:rsidR="009B66B5">
        <w:rPr>
          <w:rFonts w:asciiTheme="minorHAnsi" w:hAnsiTheme="minorHAnsi" w:cstheme="minorHAnsi"/>
        </w:rPr>
        <w:t xml:space="preserve"> a </w:t>
      </w:r>
      <w:r w:rsidRPr="000E44E5">
        <w:rPr>
          <w:rFonts w:asciiTheme="minorHAnsi" w:hAnsiTheme="minorHAnsi" w:cstheme="minorHAnsi"/>
        </w:rPr>
        <w:t>dosah misí jdou nad rámec oblasti výzkumu</w:t>
      </w:r>
      <w:r w:rsidR="009B66B5">
        <w:rPr>
          <w:rFonts w:asciiTheme="minorHAnsi" w:hAnsiTheme="minorHAnsi" w:cstheme="minorHAnsi"/>
        </w:rPr>
        <w:t xml:space="preserve"> a </w:t>
      </w:r>
      <w:r w:rsidRPr="000E44E5">
        <w:rPr>
          <w:rFonts w:asciiTheme="minorHAnsi" w:hAnsiTheme="minorHAnsi" w:cstheme="minorHAnsi"/>
        </w:rPr>
        <w:t xml:space="preserve">inovací. Mise mají vlastní pracovní program, přičemž pro první tři roky </w:t>
      </w:r>
      <w:r w:rsidR="00DA528A">
        <w:rPr>
          <w:rFonts w:asciiTheme="minorHAnsi" w:hAnsiTheme="minorHAnsi" w:cstheme="minorHAnsi"/>
        </w:rPr>
        <w:t>Horizontu Evropa</w:t>
      </w:r>
      <w:r w:rsidRPr="000E44E5">
        <w:rPr>
          <w:rFonts w:asciiTheme="minorHAnsi" w:hAnsiTheme="minorHAnsi" w:cstheme="minorHAnsi"/>
        </w:rPr>
        <w:t xml:space="preserve"> se počítá</w:t>
      </w:r>
      <w:r w:rsidR="009B66B5">
        <w:rPr>
          <w:rFonts w:asciiTheme="minorHAnsi" w:hAnsiTheme="minorHAnsi" w:cstheme="minorHAnsi"/>
        </w:rPr>
        <w:t xml:space="preserve"> s </w:t>
      </w:r>
      <w:r w:rsidR="00DA528A">
        <w:rPr>
          <w:rFonts w:asciiTheme="minorHAnsi" w:hAnsiTheme="minorHAnsi" w:cstheme="minorHAnsi"/>
        </w:rPr>
        <w:t xml:space="preserve">pilotním </w:t>
      </w:r>
      <w:r w:rsidRPr="000E44E5">
        <w:rPr>
          <w:rFonts w:asciiTheme="minorHAnsi" w:hAnsiTheme="minorHAnsi" w:cstheme="minorHAnsi"/>
        </w:rPr>
        <w:t>využitím maximálně 10</w:t>
      </w:r>
      <w:r w:rsidR="00EC6F0F">
        <w:rPr>
          <w:rFonts w:asciiTheme="minorHAnsi" w:hAnsiTheme="minorHAnsi" w:cstheme="minorHAnsi"/>
        </w:rPr>
        <w:t xml:space="preserve"> </w:t>
      </w:r>
      <w:r w:rsidRPr="000E44E5">
        <w:rPr>
          <w:rFonts w:asciiTheme="minorHAnsi" w:hAnsiTheme="minorHAnsi" w:cstheme="minorHAnsi"/>
        </w:rPr>
        <w:t xml:space="preserve">% ročního rozpočtu 2. pilíře pro výzvy specificky určené na mise. Bylo definováno 5 misí, jejichž konkrétní zaměření bylo </w:t>
      </w:r>
      <w:r w:rsidR="00F15417">
        <w:rPr>
          <w:rFonts w:asciiTheme="minorHAnsi" w:hAnsiTheme="minorHAnsi" w:cstheme="minorHAnsi"/>
        </w:rPr>
        <w:t>Evropskou komisí</w:t>
      </w:r>
      <w:r w:rsidRPr="000E44E5">
        <w:rPr>
          <w:rFonts w:asciiTheme="minorHAnsi" w:hAnsiTheme="minorHAnsi" w:cstheme="minorHAnsi"/>
        </w:rPr>
        <w:t xml:space="preserve"> intenzivně diskutováno</w:t>
      </w:r>
      <w:r w:rsidR="009B66B5">
        <w:rPr>
          <w:rFonts w:asciiTheme="minorHAnsi" w:hAnsiTheme="minorHAnsi" w:cstheme="minorHAnsi"/>
        </w:rPr>
        <w:t xml:space="preserve"> s </w:t>
      </w:r>
      <w:r w:rsidRPr="000E44E5">
        <w:rPr>
          <w:rFonts w:asciiTheme="minorHAnsi" w:hAnsiTheme="minorHAnsi" w:cstheme="minorHAnsi"/>
        </w:rPr>
        <w:t>předními experty, relevantními stakeholdery</w:t>
      </w:r>
      <w:r w:rsidR="009B66B5">
        <w:rPr>
          <w:rFonts w:asciiTheme="minorHAnsi" w:hAnsiTheme="minorHAnsi" w:cstheme="minorHAnsi"/>
        </w:rPr>
        <w:t xml:space="preserve"> i s </w:t>
      </w:r>
      <w:r w:rsidRPr="000E44E5">
        <w:rPr>
          <w:rFonts w:asciiTheme="minorHAnsi" w:hAnsiTheme="minorHAnsi" w:cstheme="minorHAnsi"/>
        </w:rPr>
        <w:t>občany. Každá</w:t>
      </w:r>
      <w:r w:rsidR="009B66B5">
        <w:rPr>
          <w:rFonts w:asciiTheme="minorHAnsi" w:hAnsiTheme="minorHAnsi" w:cstheme="minorHAnsi"/>
        </w:rPr>
        <w:t xml:space="preserve"> z </w:t>
      </w:r>
      <w:r w:rsidRPr="000E44E5">
        <w:rPr>
          <w:rFonts w:asciiTheme="minorHAnsi" w:hAnsiTheme="minorHAnsi" w:cstheme="minorHAnsi"/>
        </w:rPr>
        <w:t>misí má jasně definované měřitelné cíle</w:t>
      </w:r>
      <w:r w:rsidR="009B66B5">
        <w:rPr>
          <w:rFonts w:asciiTheme="minorHAnsi" w:hAnsiTheme="minorHAnsi" w:cstheme="minorHAnsi"/>
        </w:rPr>
        <w:t xml:space="preserve"> a </w:t>
      </w:r>
      <w:r w:rsidRPr="000E44E5">
        <w:rPr>
          <w:rFonts w:asciiTheme="minorHAnsi" w:hAnsiTheme="minorHAnsi" w:cstheme="minorHAnsi"/>
        </w:rPr>
        <w:t xml:space="preserve">očekávané dopady dosažitelné ve stanoveném časovém horizontu. S ohledem na zacílení misí se uplatní nejen </w:t>
      </w:r>
      <w:r w:rsidR="00DA528A">
        <w:rPr>
          <w:rFonts w:asciiTheme="minorHAnsi" w:hAnsiTheme="minorHAnsi" w:cstheme="minorHAnsi"/>
        </w:rPr>
        <w:t>výzkumné organizace</w:t>
      </w:r>
      <w:r w:rsidR="009B66B5">
        <w:rPr>
          <w:rFonts w:asciiTheme="minorHAnsi" w:hAnsiTheme="minorHAnsi" w:cstheme="minorHAnsi"/>
        </w:rPr>
        <w:t xml:space="preserve"> a </w:t>
      </w:r>
      <w:r w:rsidRPr="000E44E5">
        <w:rPr>
          <w:rFonts w:asciiTheme="minorHAnsi" w:hAnsiTheme="minorHAnsi" w:cstheme="minorHAnsi"/>
        </w:rPr>
        <w:t>firemní sektor, ale také další typy účastníků – např. města, regiony, organizace občanské společnosti.</w:t>
      </w:r>
    </w:p>
    <w:p w14:paraId="07C84F51" w14:textId="77777777" w:rsidR="008444FF" w:rsidRPr="000E44E5" w:rsidRDefault="008444FF" w:rsidP="008444FF">
      <w:pPr>
        <w:spacing w:line="257" w:lineRule="auto"/>
        <w:rPr>
          <w:rFonts w:asciiTheme="minorHAnsi" w:hAnsiTheme="minorHAnsi" w:cstheme="minorHAnsi"/>
        </w:rPr>
      </w:pPr>
      <w:r w:rsidRPr="000E44E5">
        <w:rPr>
          <w:rFonts w:asciiTheme="minorHAnsi" w:hAnsiTheme="minorHAnsi" w:cstheme="minorHAnsi"/>
        </w:rPr>
        <w:t>Oblasti misí Horizontu Evropa:</w:t>
      </w:r>
    </w:p>
    <w:p w14:paraId="2A977872" w14:textId="77777777" w:rsidR="008444FF" w:rsidRPr="00176129" w:rsidRDefault="008444FF">
      <w:pPr>
        <w:pStyle w:val="Odstavecseseznamem"/>
        <w:numPr>
          <w:ilvl w:val="1"/>
          <w:numId w:val="8"/>
        </w:numPr>
        <w:spacing w:line="257" w:lineRule="auto"/>
        <w:ind w:left="1418" w:hanging="338"/>
        <w:rPr>
          <w:rFonts w:asciiTheme="minorHAnsi" w:hAnsiTheme="minorHAnsi" w:cstheme="minorHAnsi"/>
        </w:rPr>
      </w:pPr>
      <w:r w:rsidRPr="00176129">
        <w:rPr>
          <w:rFonts w:asciiTheme="minorHAnsi" w:hAnsiTheme="minorHAnsi" w:cstheme="minorHAnsi"/>
        </w:rPr>
        <w:t>Adaptace na klimatickou změnu včetně společenské transformace</w:t>
      </w:r>
    </w:p>
    <w:p w14:paraId="0FF472BA" w14:textId="77777777" w:rsidR="008444FF" w:rsidRPr="00176129" w:rsidRDefault="008444FF">
      <w:pPr>
        <w:pStyle w:val="Odstavecseseznamem"/>
        <w:numPr>
          <w:ilvl w:val="1"/>
          <w:numId w:val="8"/>
        </w:numPr>
        <w:spacing w:line="257" w:lineRule="auto"/>
        <w:ind w:left="1418" w:hanging="338"/>
        <w:rPr>
          <w:rFonts w:asciiTheme="minorHAnsi" w:hAnsiTheme="minorHAnsi" w:cstheme="minorHAnsi"/>
        </w:rPr>
      </w:pPr>
      <w:r w:rsidRPr="00176129">
        <w:rPr>
          <w:rFonts w:asciiTheme="minorHAnsi" w:hAnsiTheme="minorHAnsi" w:cstheme="minorHAnsi"/>
        </w:rPr>
        <w:t>Obnova oceánů, moří, pobřežních</w:t>
      </w:r>
      <w:r w:rsidR="009B66B5">
        <w:rPr>
          <w:rFonts w:asciiTheme="minorHAnsi" w:hAnsiTheme="minorHAnsi" w:cstheme="minorHAnsi"/>
        </w:rPr>
        <w:t xml:space="preserve"> a </w:t>
      </w:r>
      <w:r w:rsidRPr="00176129">
        <w:rPr>
          <w:rFonts w:asciiTheme="minorHAnsi" w:hAnsiTheme="minorHAnsi" w:cstheme="minorHAnsi"/>
        </w:rPr>
        <w:t>vnitrozemských vod</w:t>
      </w:r>
    </w:p>
    <w:p w14:paraId="2FE1FDB9" w14:textId="77777777" w:rsidR="008444FF" w:rsidRPr="00176129" w:rsidRDefault="008444FF">
      <w:pPr>
        <w:pStyle w:val="Odstavecseseznamem"/>
        <w:numPr>
          <w:ilvl w:val="1"/>
          <w:numId w:val="8"/>
        </w:numPr>
        <w:spacing w:line="257" w:lineRule="auto"/>
        <w:ind w:left="1418" w:hanging="338"/>
        <w:rPr>
          <w:rFonts w:asciiTheme="minorHAnsi" w:hAnsiTheme="minorHAnsi" w:cstheme="minorHAnsi"/>
        </w:rPr>
      </w:pPr>
      <w:r w:rsidRPr="00176129">
        <w:rPr>
          <w:rFonts w:asciiTheme="minorHAnsi" w:hAnsiTheme="minorHAnsi" w:cstheme="minorHAnsi"/>
        </w:rPr>
        <w:t>Klimaticky neutrální</w:t>
      </w:r>
      <w:r w:rsidR="009B66B5">
        <w:rPr>
          <w:rFonts w:asciiTheme="minorHAnsi" w:hAnsiTheme="minorHAnsi" w:cstheme="minorHAnsi"/>
        </w:rPr>
        <w:t xml:space="preserve"> a </w:t>
      </w:r>
      <w:r w:rsidRPr="00176129">
        <w:rPr>
          <w:rFonts w:asciiTheme="minorHAnsi" w:hAnsiTheme="minorHAnsi" w:cstheme="minorHAnsi"/>
        </w:rPr>
        <w:t>chytrá města</w:t>
      </w:r>
    </w:p>
    <w:p w14:paraId="0BCF65DF" w14:textId="77777777" w:rsidR="008444FF" w:rsidRPr="00176129" w:rsidRDefault="008444FF">
      <w:pPr>
        <w:pStyle w:val="Odstavecseseznamem"/>
        <w:numPr>
          <w:ilvl w:val="1"/>
          <w:numId w:val="8"/>
        </w:numPr>
        <w:spacing w:line="257" w:lineRule="auto"/>
        <w:ind w:left="1418" w:hanging="338"/>
        <w:rPr>
          <w:rFonts w:asciiTheme="minorHAnsi" w:hAnsiTheme="minorHAnsi" w:cstheme="minorHAnsi"/>
        </w:rPr>
      </w:pPr>
      <w:r w:rsidRPr="00176129">
        <w:rPr>
          <w:rFonts w:asciiTheme="minorHAnsi" w:hAnsiTheme="minorHAnsi" w:cstheme="minorHAnsi"/>
        </w:rPr>
        <w:t>Zdravá půda</w:t>
      </w:r>
      <w:r w:rsidR="009B66B5">
        <w:rPr>
          <w:rFonts w:asciiTheme="minorHAnsi" w:hAnsiTheme="minorHAnsi" w:cstheme="minorHAnsi"/>
        </w:rPr>
        <w:t xml:space="preserve"> a </w:t>
      </w:r>
      <w:r w:rsidRPr="00176129">
        <w:rPr>
          <w:rFonts w:asciiTheme="minorHAnsi" w:hAnsiTheme="minorHAnsi" w:cstheme="minorHAnsi"/>
        </w:rPr>
        <w:t>potraviny</w:t>
      </w:r>
    </w:p>
    <w:p w14:paraId="2E83D050" w14:textId="77777777" w:rsidR="008444FF" w:rsidRPr="00176129" w:rsidRDefault="008444FF">
      <w:pPr>
        <w:pStyle w:val="Odstavecseseznamem"/>
        <w:numPr>
          <w:ilvl w:val="1"/>
          <w:numId w:val="8"/>
        </w:numPr>
        <w:spacing w:line="257" w:lineRule="auto"/>
        <w:ind w:left="1418" w:hanging="338"/>
        <w:rPr>
          <w:rFonts w:asciiTheme="minorHAnsi" w:hAnsiTheme="minorHAnsi" w:cstheme="minorHAnsi"/>
        </w:rPr>
      </w:pPr>
      <w:r w:rsidRPr="00176129">
        <w:rPr>
          <w:rFonts w:asciiTheme="minorHAnsi" w:hAnsiTheme="minorHAnsi" w:cstheme="minorHAnsi"/>
        </w:rPr>
        <w:t>Rakovina</w:t>
      </w:r>
    </w:p>
    <w:p w14:paraId="11DB5EAA" w14:textId="77777777" w:rsidR="008444FF" w:rsidRDefault="008444FF" w:rsidP="008444FF">
      <w:r>
        <w:t>Z</w:t>
      </w:r>
      <w:r w:rsidRPr="000E44E5">
        <w:t>apojení do výzev vyhlašovaných</w:t>
      </w:r>
      <w:r w:rsidR="009B66B5">
        <w:t xml:space="preserve"> v </w:t>
      </w:r>
      <w:r w:rsidRPr="000E44E5">
        <w:t xml:space="preserve">rámci misí </w:t>
      </w:r>
      <w:r w:rsidR="00C032C8">
        <w:rPr>
          <w:rFonts w:cs="Calibri"/>
        </w:rPr>
        <w:t>RP Horizont Evropa</w:t>
      </w:r>
      <w:r w:rsidRPr="000E44E5">
        <w:t xml:space="preserve"> představuje pro zdejší pracoviště další příležitost pro mezinárodní spolupráci, která povede</w:t>
      </w:r>
      <w:r w:rsidR="009B66B5">
        <w:t xml:space="preserve"> k </w:t>
      </w:r>
      <w:r w:rsidRPr="000E44E5">
        <w:t>uplatnění nalezených inovativních řešení</w:t>
      </w:r>
      <w:r w:rsidR="009B66B5">
        <w:t xml:space="preserve"> v </w:t>
      </w:r>
      <w:r w:rsidRPr="000E44E5">
        <w:t>praxi. Pro dosažení ambiciózních cílů misí je žádoucí dobré nastavení synergií mezi politikami EU</w:t>
      </w:r>
      <w:r w:rsidR="009B66B5">
        <w:t xml:space="preserve"> a </w:t>
      </w:r>
      <w:r w:rsidRPr="000E44E5">
        <w:t>využitím národních</w:t>
      </w:r>
      <w:r w:rsidR="009B66B5">
        <w:t xml:space="preserve"> a </w:t>
      </w:r>
      <w:r w:rsidRPr="000E44E5">
        <w:t>regionálních zdrojů. Aktivnější zapojení do implementace evropských misí předpokládá propojení</w:t>
      </w:r>
      <w:r w:rsidR="009B66B5">
        <w:t xml:space="preserve"> a </w:t>
      </w:r>
      <w:r w:rsidRPr="000E44E5">
        <w:t>koordinaci národních, regionálních</w:t>
      </w:r>
      <w:r w:rsidR="009B66B5">
        <w:t xml:space="preserve"> a </w:t>
      </w:r>
      <w:r w:rsidRPr="000E44E5">
        <w:t>lokálních iniciativ přispívajících</w:t>
      </w:r>
      <w:r w:rsidR="009B66B5">
        <w:t xml:space="preserve"> k </w:t>
      </w:r>
      <w:r w:rsidRPr="000E44E5">
        <w:t>naplnění jejich cílů.</w:t>
      </w:r>
    </w:p>
    <w:p w14:paraId="27CB4BD1" w14:textId="77777777" w:rsidR="008444FF" w:rsidRDefault="008444FF" w:rsidP="008444FF">
      <w:r>
        <w:t>V ČR se</w:t>
      </w:r>
      <w:r w:rsidR="009B66B5">
        <w:t xml:space="preserve"> s </w:t>
      </w:r>
      <w:r>
        <w:t>konceptem misí počítá</w:t>
      </w:r>
      <w:r w:rsidR="009B66B5">
        <w:t xml:space="preserve"> v </w:t>
      </w:r>
      <w:r>
        <w:t>implementaci Národní výzkumné</w:t>
      </w:r>
      <w:r w:rsidR="009B66B5">
        <w:t xml:space="preserve"> a </w:t>
      </w:r>
      <w:r>
        <w:t>inovační strategie inteligentní specializace ČR (Národní RIS3), kde byla</w:t>
      </w:r>
      <w:r w:rsidR="009B66B5">
        <w:t xml:space="preserve"> v </w:t>
      </w:r>
      <w:r>
        <w:t>roce 2022 zahájena příprava dvou pilotních misí Národní RIS3. První pilotní mise se zaměřuje na Zefektivnění materiálové, energetické</w:t>
      </w:r>
      <w:r w:rsidR="009B66B5">
        <w:t xml:space="preserve"> a </w:t>
      </w:r>
      <w:r>
        <w:t>emisní náročnosti ekonomiky, druhá je věnována Posílení odolnosti společnosti vůči bezpečnostním hrozbám. V těchto oblastech by mělo docházet</w:t>
      </w:r>
      <w:r w:rsidR="009B66B5">
        <w:t xml:space="preserve"> k </w:t>
      </w:r>
      <w:r>
        <w:t>zacílení</w:t>
      </w:r>
      <w:r w:rsidR="009B66B5">
        <w:t xml:space="preserve"> a </w:t>
      </w:r>
      <w:r>
        <w:t>koordinaci podpory několika poskytovatelů (zejm. MŠMT, MPO, TA</w:t>
      </w:r>
      <w:r w:rsidR="00C853D7">
        <w:t xml:space="preserve"> </w:t>
      </w:r>
      <w:r>
        <w:t>ČR</w:t>
      </w:r>
      <w:r w:rsidR="009B66B5">
        <w:t xml:space="preserve"> a </w:t>
      </w:r>
      <w:r>
        <w:t>MV) na prioritní cíle reagující na stěžejní potřeby</w:t>
      </w:r>
      <w:r w:rsidR="009B66B5">
        <w:t xml:space="preserve"> v </w:t>
      </w:r>
      <w:r>
        <w:t xml:space="preserve">tématech vymezených jednotlivými misemi. </w:t>
      </w:r>
    </w:p>
    <w:p w14:paraId="3D286346" w14:textId="77777777" w:rsidR="008444FF" w:rsidRDefault="008444FF" w:rsidP="008444FF">
      <w:pPr>
        <w:rPr>
          <w:lang w:eastAsia="cs-CZ"/>
        </w:rPr>
      </w:pPr>
      <w:r>
        <w:t xml:space="preserve">Další prostor pro aplikaci konceptu misí existuje při přípravě nových Národních priorit </w:t>
      </w:r>
      <w:r w:rsidR="00DA528A">
        <w:t xml:space="preserve">orientovaného </w:t>
      </w:r>
      <w:r>
        <w:t>výzkumu, které by měly reagovat na významné potřeby české společnosti. V obou případech (mise Národní RIS3</w:t>
      </w:r>
      <w:r w:rsidR="009B66B5">
        <w:t xml:space="preserve"> i </w:t>
      </w:r>
      <w:r>
        <w:t xml:space="preserve">Národní priority </w:t>
      </w:r>
      <w:r w:rsidR="00DA528A">
        <w:t xml:space="preserve">orientovaného </w:t>
      </w:r>
      <w:r>
        <w:t>výzkumu) je účelné synergicky provázat cíle výzkumu</w:t>
      </w:r>
      <w:r w:rsidR="009B66B5">
        <w:t xml:space="preserve"> s </w:t>
      </w:r>
      <w:r>
        <w:t xml:space="preserve">relevantními misemi </w:t>
      </w:r>
      <w:r w:rsidR="00DA528A">
        <w:t>Horizontu Evropa</w:t>
      </w:r>
      <w:r>
        <w:t>.</w:t>
      </w:r>
    </w:p>
    <w:p w14:paraId="51753FCF" w14:textId="77777777" w:rsidR="008444FF" w:rsidRDefault="00EC6F0F" w:rsidP="008444FF">
      <w:pPr>
        <w:pStyle w:val="Nadpis3"/>
      </w:pPr>
      <w:bookmarkStart w:id="65" w:name="_Toc112687223"/>
      <w:bookmarkStart w:id="66" w:name="_Toc114572346"/>
      <w:r>
        <w:lastRenderedPageBreak/>
        <w:t>Proof of C</w:t>
      </w:r>
      <w:r w:rsidR="008444FF">
        <w:t>oncept</w:t>
      </w:r>
      <w:bookmarkEnd w:id="65"/>
      <w:bookmarkEnd w:id="66"/>
    </w:p>
    <w:p w14:paraId="1A1DB7B3" w14:textId="77777777" w:rsidR="008444FF" w:rsidRDefault="008444FF" w:rsidP="008444FF">
      <w:pPr>
        <w:rPr>
          <w:lang w:eastAsia="cs-CZ"/>
        </w:rPr>
      </w:pPr>
      <w:r w:rsidRPr="46191ACE">
        <w:rPr>
          <w:lang w:eastAsia="cs-CZ"/>
        </w:rPr>
        <w:t>Program Horizont Evropa se zaměřuje na podniky realizující aktivity</w:t>
      </w:r>
      <w:r w:rsidR="009B66B5">
        <w:rPr>
          <w:lang w:eastAsia="cs-CZ"/>
        </w:rPr>
        <w:t xml:space="preserve"> v </w:t>
      </w:r>
      <w:r w:rsidRPr="46191ACE">
        <w:rPr>
          <w:lang w:eastAsia="cs-CZ"/>
        </w:rPr>
        <w:t xml:space="preserve">oblasti </w:t>
      </w:r>
      <w:r w:rsidR="00DA528A">
        <w:rPr>
          <w:lang w:eastAsia="cs-CZ"/>
        </w:rPr>
        <w:t>VaVaI</w:t>
      </w:r>
      <w:r w:rsidRPr="46191ACE">
        <w:rPr>
          <w:lang w:eastAsia="cs-CZ"/>
        </w:rPr>
        <w:t xml:space="preserve">. Specificky třetí pilíř </w:t>
      </w:r>
      <w:r w:rsidR="00DA528A">
        <w:rPr>
          <w:lang w:eastAsia="cs-CZ"/>
        </w:rPr>
        <w:t>RP</w:t>
      </w:r>
      <w:r w:rsidR="00DA528A" w:rsidRPr="46191ACE">
        <w:rPr>
          <w:lang w:eastAsia="cs-CZ"/>
        </w:rPr>
        <w:t xml:space="preserve"> </w:t>
      </w:r>
      <w:r w:rsidRPr="46191ACE">
        <w:rPr>
          <w:lang w:eastAsia="cs-CZ"/>
        </w:rPr>
        <w:t>podporuje vznik, rozvoj</w:t>
      </w:r>
      <w:r w:rsidR="009B66B5">
        <w:rPr>
          <w:lang w:eastAsia="cs-CZ"/>
        </w:rPr>
        <w:t xml:space="preserve"> a </w:t>
      </w:r>
      <w:r w:rsidRPr="46191ACE">
        <w:rPr>
          <w:lang w:eastAsia="cs-CZ"/>
        </w:rPr>
        <w:t xml:space="preserve">komerční uplatnění tzv. </w:t>
      </w:r>
      <w:r w:rsidRPr="46191ACE">
        <w:rPr>
          <w:i/>
          <w:iCs/>
          <w:lang w:eastAsia="cs-CZ"/>
        </w:rPr>
        <w:t>deep-tech</w:t>
      </w:r>
      <w:r w:rsidRPr="46191ACE">
        <w:rPr>
          <w:lang w:eastAsia="cs-CZ"/>
        </w:rPr>
        <w:t xml:space="preserve"> inovací založených na vědeckém objevu nebo přelomové technologii. Tento typ inovací je spojen</w:t>
      </w:r>
      <w:r w:rsidR="009B66B5">
        <w:rPr>
          <w:lang w:eastAsia="cs-CZ"/>
        </w:rPr>
        <w:t xml:space="preserve"> s </w:t>
      </w:r>
      <w:r w:rsidRPr="46191ACE">
        <w:rPr>
          <w:lang w:eastAsia="cs-CZ"/>
        </w:rPr>
        <w:t>dlouhým</w:t>
      </w:r>
      <w:r w:rsidR="009B66B5">
        <w:rPr>
          <w:lang w:eastAsia="cs-CZ"/>
        </w:rPr>
        <w:t xml:space="preserve"> a </w:t>
      </w:r>
      <w:r w:rsidRPr="46191ACE">
        <w:rPr>
          <w:lang w:eastAsia="cs-CZ"/>
        </w:rPr>
        <w:t>nejistým obd</w:t>
      </w:r>
      <w:r w:rsidR="005F0D57">
        <w:rPr>
          <w:lang w:eastAsia="cs-CZ"/>
        </w:rPr>
        <w:t xml:space="preserve">obím </w:t>
      </w:r>
      <w:r w:rsidR="00DA528A">
        <w:rPr>
          <w:lang w:eastAsia="cs-CZ"/>
        </w:rPr>
        <w:t>VaVaI</w:t>
      </w:r>
      <w:r w:rsidR="005F0D57">
        <w:rPr>
          <w:lang w:eastAsia="cs-CZ"/>
        </w:rPr>
        <w:t>, zvýšeným</w:t>
      </w:r>
      <w:r w:rsidRPr="46191ACE">
        <w:rPr>
          <w:lang w:eastAsia="cs-CZ"/>
        </w:rPr>
        <w:t xml:space="preserve"> rizikem</w:t>
      </w:r>
      <w:r w:rsidR="009B66B5">
        <w:rPr>
          <w:lang w:eastAsia="cs-CZ"/>
        </w:rPr>
        <w:t xml:space="preserve"> a </w:t>
      </w:r>
      <w:r w:rsidRPr="46191ACE">
        <w:rPr>
          <w:lang w:eastAsia="cs-CZ"/>
        </w:rPr>
        <w:t>potřebou dlouhodobých investic</w:t>
      </w:r>
      <w:r w:rsidR="009B66B5">
        <w:rPr>
          <w:lang w:eastAsia="cs-CZ"/>
        </w:rPr>
        <w:t xml:space="preserve"> v </w:t>
      </w:r>
      <w:r w:rsidRPr="46191ACE">
        <w:rPr>
          <w:lang w:eastAsia="cs-CZ"/>
        </w:rPr>
        <w:t xml:space="preserve">období před komercializací. V Evropě chybí dostatek </w:t>
      </w:r>
      <w:r w:rsidRPr="00CF2492">
        <w:rPr>
          <w:lang w:eastAsia="cs-CZ"/>
        </w:rPr>
        <w:t>venture kapitálu</w:t>
      </w:r>
      <w:r w:rsidRPr="46191ACE">
        <w:rPr>
          <w:lang w:eastAsia="cs-CZ"/>
        </w:rPr>
        <w:t>, který by byl takto rizikové firmy ochoten dlouhodobě</w:t>
      </w:r>
      <w:r w:rsidR="009B66B5">
        <w:rPr>
          <w:lang w:eastAsia="cs-CZ"/>
        </w:rPr>
        <w:t xml:space="preserve"> a </w:t>
      </w:r>
      <w:r w:rsidRPr="46191ACE">
        <w:rPr>
          <w:lang w:eastAsia="cs-CZ"/>
        </w:rPr>
        <w:t>ve zvýšené míře financovat. I proto Evropa zaostává</w:t>
      </w:r>
      <w:r w:rsidR="009B66B5">
        <w:rPr>
          <w:lang w:eastAsia="cs-CZ"/>
        </w:rPr>
        <w:t xml:space="preserve"> v </w:t>
      </w:r>
      <w:r w:rsidRPr="46191ACE">
        <w:rPr>
          <w:lang w:eastAsia="cs-CZ"/>
        </w:rPr>
        <w:t>počtu technologických “jednorožců” za svými globálními konkurenty.</w:t>
      </w:r>
    </w:p>
    <w:p w14:paraId="011D1D28" w14:textId="77777777" w:rsidR="008444FF" w:rsidRDefault="00AA2026" w:rsidP="008444FF">
      <w:pPr>
        <w:rPr>
          <w:lang w:eastAsia="cs-CZ"/>
        </w:rPr>
      </w:pPr>
      <w:r>
        <w:rPr>
          <w:lang w:eastAsia="cs-CZ"/>
        </w:rPr>
        <w:t>Evropská komise</w:t>
      </w:r>
      <w:r w:rsidR="008444FF" w:rsidRPr="46191ACE">
        <w:rPr>
          <w:lang w:eastAsia="cs-CZ"/>
        </w:rPr>
        <w:t xml:space="preserve"> usiluje</w:t>
      </w:r>
      <w:r w:rsidR="009B66B5">
        <w:rPr>
          <w:lang w:eastAsia="cs-CZ"/>
        </w:rPr>
        <w:t xml:space="preserve"> o </w:t>
      </w:r>
      <w:r w:rsidR="008444FF" w:rsidRPr="46191ACE">
        <w:rPr>
          <w:lang w:eastAsia="cs-CZ"/>
        </w:rPr>
        <w:t>podporu vzniku</w:t>
      </w:r>
      <w:r w:rsidR="009B66B5">
        <w:rPr>
          <w:lang w:eastAsia="cs-CZ"/>
        </w:rPr>
        <w:t xml:space="preserve"> a </w:t>
      </w:r>
      <w:r w:rsidR="008444FF" w:rsidRPr="46191ACE">
        <w:rPr>
          <w:lang w:eastAsia="cs-CZ"/>
        </w:rPr>
        <w:t>komerčního uplatnění přelomových inovací prostřednictvím nástrojů Evropské rady pro inovace</w:t>
      </w:r>
      <w:r w:rsidR="005F0D57">
        <w:rPr>
          <w:lang w:eastAsia="cs-CZ"/>
        </w:rPr>
        <w:t xml:space="preserve"> (EIC)</w:t>
      </w:r>
      <w:r w:rsidR="008444FF" w:rsidRPr="46191ACE">
        <w:rPr>
          <w:lang w:eastAsia="cs-CZ"/>
        </w:rPr>
        <w:t>. Snaží se poskytovat financování</w:t>
      </w:r>
      <w:r w:rsidR="009B66B5">
        <w:rPr>
          <w:lang w:eastAsia="cs-CZ"/>
        </w:rPr>
        <w:t xml:space="preserve"> k </w:t>
      </w:r>
      <w:r w:rsidR="008444FF" w:rsidRPr="46191ACE">
        <w:rPr>
          <w:lang w:eastAsia="cs-CZ"/>
        </w:rPr>
        <w:t>překlenutí právě těch klíčových období, ve kterých nejsou firmy dostatečně atraktivní pro soukromý kapitál</w:t>
      </w:r>
      <w:r w:rsidR="009B66B5">
        <w:rPr>
          <w:lang w:eastAsia="cs-CZ"/>
        </w:rPr>
        <w:t xml:space="preserve"> z </w:t>
      </w:r>
      <w:r w:rsidR="008444FF" w:rsidRPr="46191ACE">
        <w:rPr>
          <w:lang w:eastAsia="cs-CZ"/>
        </w:rPr>
        <w:t>důvodu vysoké rizikovosti. ČR by měla rovněž usilovat</w:t>
      </w:r>
      <w:r w:rsidR="009B66B5">
        <w:rPr>
          <w:lang w:eastAsia="cs-CZ"/>
        </w:rPr>
        <w:t xml:space="preserve"> o </w:t>
      </w:r>
      <w:r w:rsidR="008444FF" w:rsidRPr="46191ACE">
        <w:rPr>
          <w:lang w:eastAsia="cs-CZ"/>
        </w:rPr>
        <w:t>podporu nadějných technologických firem, která by zvýšila jejich připravenost pro schémata EIC</w:t>
      </w:r>
      <w:r w:rsidR="009B66B5">
        <w:rPr>
          <w:lang w:eastAsia="cs-CZ"/>
        </w:rPr>
        <w:t xml:space="preserve"> a </w:t>
      </w:r>
      <w:r w:rsidR="008444FF" w:rsidRPr="46191ACE">
        <w:rPr>
          <w:lang w:eastAsia="cs-CZ"/>
        </w:rPr>
        <w:t>šance na úspěch. Jednou</w:t>
      </w:r>
      <w:r w:rsidR="009B66B5">
        <w:rPr>
          <w:lang w:eastAsia="cs-CZ"/>
        </w:rPr>
        <w:t xml:space="preserve"> z </w:t>
      </w:r>
      <w:r w:rsidR="008444FF" w:rsidRPr="46191ACE">
        <w:rPr>
          <w:lang w:eastAsia="cs-CZ"/>
        </w:rPr>
        <w:t>možností je posíle</w:t>
      </w:r>
      <w:r w:rsidR="003043E8">
        <w:rPr>
          <w:lang w:eastAsia="cs-CZ"/>
        </w:rPr>
        <w:t>ní programů, které financují sta</w:t>
      </w:r>
      <w:r w:rsidR="008444FF" w:rsidRPr="46191ACE">
        <w:rPr>
          <w:lang w:eastAsia="cs-CZ"/>
        </w:rPr>
        <w:t>dium “proof of concept”, tzn. praktického ověření určité přelomové myšlenky nebo konceptu</w:t>
      </w:r>
      <w:r w:rsidR="009B66B5">
        <w:rPr>
          <w:lang w:eastAsia="cs-CZ"/>
        </w:rPr>
        <w:t xml:space="preserve"> a </w:t>
      </w:r>
      <w:r w:rsidR="008444FF" w:rsidRPr="46191ACE">
        <w:rPr>
          <w:lang w:eastAsia="cs-CZ"/>
        </w:rPr>
        <w:t>jeho proveditelnosti</w:t>
      </w:r>
      <w:r w:rsidR="009B66B5">
        <w:rPr>
          <w:lang w:eastAsia="cs-CZ"/>
        </w:rPr>
        <w:t xml:space="preserve"> i </w:t>
      </w:r>
      <w:r w:rsidR="008444FF" w:rsidRPr="46191ACE">
        <w:rPr>
          <w:lang w:eastAsia="cs-CZ"/>
        </w:rPr>
        <w:t>komerčního potenciálu (</w:t>
      </w:r>
      <w:r w:rsidR="008444FF" w:rsidRPr="46191ACE">
        <w:rPr>
          <w:i/>
          <w:iCs/>
          <w:lang w:eastAsia="cs-CZ"/>
        </w:rPr>
        <w:t>feasibility</w:t>
      </w:r>
      <w:r w:rsidR="008444FF" w:rsidRPr="46191ACE">
        <w:rPr>
          <w:lang w:eastAsia="cs-CZ"/>
        </w:rPr>
        <w:t>). V současnosti tento typ financování poskytuje firmám např. program GAMA 2 TA</w:t>
      </w:r>
      <w:r w:rsidR="003043E8">
        <w:rPr>
          <w:lang w:eastAsia="cs-CZ"/>
        </w:rPr>
        <w:t xml:space="preserve"> </w:t>
      </w:r>
      <w:r w:rsidR="008444FF" w:rsidRPr="46191ACE">
        <w:rPr>
          <w:lang w:eastAsia="cs-CZ"/>
        </w:rPr>
        <w:t>ČR, jehož cíle budou od roku 2023 zahrnuty do nového programu SIGMA.</w:t>
      </w:r>
    </w:p>
    <w:p w14:paraId="54F433D0" w14:textId="77777777" w:rsidR="008444FF" w:rsidRDefault="008444FF" w:rsidP="008444FF">
      <w:pPr>
        <w:rPr>
          <w:lang w:eastAsia="cs-CZ"/>
        </w:rPr>
      </w:pPr>
      <w:r w:rsidRPr="46191ACE">
        <w:rPr>
          <w:lang w:eastAsia="cs-CZ"/>
        </w:rPr>
        <w:t>Ke zvážení je rovněž vytvoření národního programu typu ERC Proof of Concept, který umožňuje výzkumníkům prověřit komerční potenciál výstupů jejich výzkumu</w:t>
      </w:r>
      <w:r w:rsidR="009B66B5">
        <w:rPr>
          <w:lang w:eastAsia="cs-CZ"/>
        </w:rPr>
        <w:t xml:space="preserve"> a </w:t>
      </w:r>
      <w:r w:rsidRPr="46191ACE">
        <w:rPr>
          <w:lang w:eastAsia="cs-CZ"/>
        </w:rPr>
        <w:t xml:space="preserve">jejich praktickou uplatnitelnost. Současným záměrem </w:t>
      </w:r>
      <w:r w:rsidR="00F15417">
        <w:rPr>
          <w:lang w:eastAsia="cs-CZ"/>
        </w:rPr>
        <w:t>Evropské</w:t>
      </w:r>
      <w:r w:rsidR="00AA2026">
        <w:rPr>
          <w:lang w:eastAsia="cs-CZ"/>
        </w:rPr>
        <w:t xml:space="preserve"> komise</w:t>
      </w:r>
      <w:r w:rsidRPr="46191ACE">
        <w:rPr>
          <w:lang w:eastAsia="cs-CZ"/>
        </w:rPr>
        <w:t xml:space="preserve"> je přibližovat</w:t>
      </w:r>
      <w:r w:rsidR="009B66B5">
        <w:rPr>
          <w:lang w:eastAsia="cs-CZ"/>
        </w:rPr>
        <w:t xml:space="preserve"> a </w:t>
      </w:r>
      <w:r w:rsidRPr="46191ACE">
        <w:rPr>
          <w:lang w:eastAsia="cs-CZ"/>
        </w:rPr>
        <w:t>propojovat aktivity ERC</w:t>
      </w:r>
      <w:r w:rsidR="009B66B5">
        <w:rPr>
          <w:lang w:eastAsia="cs-CZ"/>
        </w:rPr>
        <w:t xml:space="preserve"> a </w:t>
      </w:r>
      <w:r w:rsidRPr="46191ACE">
        <w:rPr>
          <w:lang w:eastAsia="cs-CZ"/>
        </w:rPr>
        <w:t xml:space="preserve">EIC </w:t>
      </w:r>
      <w:r w:rsidR="00786170">
        <w:rPr>
          <w:lang w:eastAsia="cs-CZ"/>
        </w:rPr>
        <w:t>(</w:t>
      </w:r>
      <w:r w:rsidR="00786170" w:rsidRPr="00786170">
        <w:rPr>
          <w:lang w:eastAsia="cs-CZ"/>
        </w:rPr>
        <w:t>EIC Transition</w:t>
      </w:r>
      <w:r w:rsidR="00786170">
        <w:rPr>
          <w:lang w:eastAsia="cs-CZ"/>
        </w:rPr>
        <w:t xml:space="preserve">) </w:t>
      </w:r>
      <w:r w:rsidRPr="46191ACE">
        <w:rPr>
          <w:lang w:eastAsia="cs-CZ"/>
        </w:rPr>
        <w:t>právě se záměrem usnadnění přechodu výsledků přelomového výzkumu</w:t>
      </w:r>
      <w:r w:rsidR="009B66B5">
        <w:rPr>
          <w:lang w:eastAsia="cs-CZ"/>
        </w:rPr>
        <w:t xml:space="preserve"> v </w:t>
      </w:r>
      <w:r w:rsidRPr="46191ACE">
        <w:rPr>
          <w:lang w:eastAsia="cs-CZ"/>
        </w:rPr>
        <w:t xml:space="preserve">konkrétní aplikace uplatnitelné na trhu. </w:t>
      </w:r>
      <w:r w:rsidR="00AA2026">
        <w:rPr>
          <w:lang w:eastAsia="cs-CZ"/>
        </w:rPr>
        <w:t>Evropská komise</w:t>
      </w:r>
      <w:r w:rsidRPr="46191ACE">
        <w:rPr>
          <w:lang w:eastAsia="cs-CZ"/>
        </w:rPr>
        <w:t xml:space="preserve"> se rovněž věnuje aktivitám, které by měly pomoci výzkumníkům načerpat podnikatelské zkušenosti</w:t>
      </w:r>
      <w:r w:rsidR="009B66B5">
        <w:rPr>
          <w:lang w:eastAsia="cs-CZ"/>
        </w:rPr>
        <w:t xml:space="preserve"> a </w:t>
      </w:r>
      <w:r w:rsidRPr="46191ACE">
        <w:rPr>
          <w:lang w:eastAsia="cs-CZ"/>
        </w:rPr>
        <w:t xml:space="preserve">případně rozvinout vlastní podnikatelskou aktivitu.   </w:t>
      </w:r>
    </w:p>
    <w:p w14:paraId="377499D1" w14:textId="77777777" w:rsidR="008444FF" w:rsidRDefault="008444FF" w:rsidP="008444FF">
      <w:pPr>
        <w:rPr>
          <w:lang w:eastAsia="cs-CZ"/>
        </w:rPr>
      </w:pPr>
      <w:r w:rsidRPr="46191ACE">
        <w:rPr>
          <w:lang w:eastAsia="cs-CZ"/>
        </w:rPr>
        <w:t xml:space="preserve">Pro úspěšné zapojování do </w:t>
      </w:r>
      <w:r w:rsidR="00DA528A">
        <w:rPr>
          <w:lang w:eastAsia="cs-CZ"/>
        </w:rPr>
        <w:t>RP</w:t>
      </w:r>
      <w:r w:rsidRPr="46191ACE">
        <w:rPr>
          <w:lang w:eastAsia="cs-CZ"/>
        </w:rPr>
        <w:t xml:space="preserve"> je klíčová nejen podpora už existujících firem, ale</w:t>
      </w:r>
      <w:r w:rsidR="009B66B5">
        <w:rPr>
          <w:lang w:eastAsia="cs-CZ"/>
        </w:rPr>
        <w:t xml:space="preserve"> i </w:t>
      </w:r>
      <w:r w:rsidRPr="46191ACE">
        <w:rPr>
          <w:lang w:eastAsia="cs-CZ"/>
        </w:rPr>
        <w:t>vzniku nových, ideálně technologických start-upů</w:t>
      </w:r>
      <w:r w:rsidR="009B66B5">
        <w:rPr>
          <w:lang w:eastAsia="cs-CZ"/>
        </w:rPr>
        <w:t xml:space="preserve"> a </w:t>
      </w:r>
      <w:r w:rsidRPr="46191ACE">
        <w:rPr>
          <w:lang w:eastAsia="cs-CZ"/>
        </w:rPr>
        <w:t>spin-off firem založených výzkumnými organizacemi za účelem technologického transferu. Takovéto firmy mají svým charakterem vyšší šanci prosadit se</w:t>
      </w:r>
      <w:r w:rsidR="009B66B5">
        <w:rPr>
          <w:lang w:eastAsia="cs-CZ"/>
        </w:rPr>
        <w:t xml:space="preserve"> v </w:t>
      </w:r>
      <w:r w:rsidRPr="46191ACE">
        <w:rPr>
          <w:lang w:eastAsia="cs-CZ"/>
        </w:rPr>
        <w:t>mezinárodní konkurenci</w:t>
      </w:r>
      <w:r w:rsidR="009B66B5">
        <w:rPr>
          <w:lang w:eastAsia="cs-CZ"/>
        </w:rPr>
        <w:t xml:space="preserve"> a </w:t>
      </w:r>
      <w:r w:rsidRPr="46191ACE">
        <w:rPr>
          <w:lang w:eastAsia="cs-CZ"/>
        </w:rPr>
        <w:t>uspět</w:t>
      </w:r>
      <w:r w:rsidR="009B66B5">
        <w:rPr>
          <w:lang w:eastAsia="cs-CZ"/>
        </w:rPr>
        <w:t xml:space="preserve"> v </w:t>
      </w:r>
      <w:r w:rsidRPr="46191ACE">
        <w:rPr>
          <w:lang w:eastAsia="cs-CZ"/>
        </w:rPr>
        <w:t>Horizont</w:t>
      </w:r>
      <w:r w:rsidR="00DA528A">
        <w:rPr>
          <w:lang w:eastAsia="cs-CZ"/>
        </w:rPr>
        <w:t>u</w:t>
      </w:r>
      <w:r w:rsidRPr="46191ACE">
        <w:rPr>
          <w:lang w:eastAsia="cs-CZ"/>
        </w:rPr>
        <w:t xml:space="preserve"> Evropa. Žádoucí je tedy usnadnit</w:t>
      </w:r>
      <w:r w:rsidR="009B66B5">
        <w:rPr>
          <w:lang w:eastAsia="cs-CZ"/>
        </w:rPr>
        <w:t xml:space="preserve"> a </w:t>
      </w:r>
      <w:r w:rsidRPr="46191ACE">
        <w:rPr>
          <w:lang w:eastAsia="cs-CZ"/>
        </w:rPr>
        <w:t>pobízet vznik tohoto typu podniků.</w:t>
      </w:r>
    </w:p>
    <w:p w14:paraId="0F3DB168" w14:textId="77777777" w:rsidR="008444FF" w:rsidRDefault="003854F6" w:rsidP="008444FF">
      <w:pPr>
        <w:pStyle w:val="Nadpis2"/>
      </w:pPr>
      <w:bookmarkStart w:id="67" w:name="_Toc112687225"/>
      <w:bookmarkStart w:id="68" w:name="_Toc114572347"/>
      <w:bookmarkEnd w:id="67"/>
      <w:r>
        <w:t>Závěr</w:t>
      </w:r>
      <w:bookmarkEnd w:id="68"/>
    </w:p>
    <w:p w14:paraId="4CCBAB63" w14:textId="77777777" w:rsidR="003854F6" w:rsidRDefault="001F647C" w:rsidP="008444FF">
      <w:r>
        <w:t>Synergické využívání evropských</w:t>
      </w:r>
      <w:r w:rsidR="009B66B5">
        <w:t xml:space="preserve"> a </w:t>
      </w:r>
      <w:r>
        <w:t xml:space="preserve">národních prostředků představuje </w:t>
      </w:r>
      <w:r w:rsidR="00E44B5D">
        <w:t>důležitý směr podpory výzkumných</w:t>
      </w:r>
      <w:r w:rsidR="009B66B5">
        <w:t xml:space="preserve"> a </w:t>
      </w:r>
      <w:r w:rsidR="00E44B5D">
        <w:t>inovačních aktivit</w:t>
      </w:r>
      <w:r w:rsidR="009B66B5">
        <w:t xml:space="preserve"> v </w:t>
      </w:r>
      <w:r w:rsidR="00E44B5D">
        <w:t>EU</w:t>
      </w:r>
      <w:r w:rsidR="009B66B5">
        <w:t xml:space="preserve"> i v </w:t>
      </w:r>
      <w:r w:rsidR="00E44B5D">
        <w:t xml:space="preserve">ČR. </w:t>
      </w:r>
      <w:r w:rsidR="00893EC5">
        <w:t xml:space="preserve">O důležitosti tohoto tématu pro ČR svědčí vydání </w:t>
      </w:r>
      <w:r w:rsidR="00893EC5" w:rsidRPr="00893EC5">
        <w:t>Pražské deklarace</w:t>
      </w:r>
      <w:r w:rsidR="009B66B5">
        <w:t xml:space="preserve"> o </w:t>
      </w:r>
      <w:r w:rsidR="00893EC5" w:rsidRPr="00893EC5">
        <w:t>synergiích ve financování výzkumu</w:t>
      </w:r>
      <w:r w:rsidR="009B66B5">
        <w:t xml:space="preserve"> a </w:t>
      </w:r>
      <w:r w:rsidR="00893EC5" w:rsidRPr="00893EC5">
        <w:t>inovací</w:t>
      </w:r>
      <w:r w:rsidR="009B66B5">
        <w:t xml:space="preserve"> v </w:t>
      </w:r>
      <w:r w:rsidR="00893EC5" w:rsidRPr="00893EC5">
        <w:t>Evropě</w:t>
      </w:r>
      <w:r w:rsidR="009B66B5">
        <w:t xml:space="preserve"> v </w:t>
      </w:r>
      <w:r w:rsidR="00893EC5">
        <w:t xml:space="preserve">červenci 2022, </w:t>
      </w:r>
      <w:r w:rsidR="00D440F3">
        <w:t>apelující na</w:t>
      </w:r>
      <w:r w:rsidR="00893EC5">
        <w:t xml:space="preserve"> odstraňování </w:t>
      </w:r>
      <w:r w:rsidR="00D440F3">
        <w:t>administrativních</w:t>
      </w:r>
      <w:r w:rsidR="009B66B5">
        <w:t xml:space="preserve"> a </w:t>
      </w:r>
      <w:r w:rsidR="00D440F3">
        <w:t xml:space="preserve">systémových </w:t>
      </w:r>
      <w:r w:rsidR="00893EC5">
        <w:t>bariér pro plné využití synergií</w:t>
      </w:r>
      <w:r w:rsidR="009B66B5">
        <w:t xml:space="preserve"> v </w:t>
      </w:r>
      <w:r w:rsidR="00EB3784">
        <w:t xml:space="preserve">oblasti podpory </w:t>
      </w:r>
      <w:r w:rsidR="00DA528A">
        <w:t>VaVaI</w:t>
      </w:r>
      <w:r w:rsidR="00EB3784">
        <w:t>.</w:t>
      </w:r>
    </w:p>
    <w:p w14:paraId="3C7ACF2E" w14:textId="77777777" w:rsidR="00EB3784" w:rsidRDefault="00120189" w:rsidP="008444FF">
      <w:r w:rsidRPr="00821C73">
        <w:t>ČR je</w:t>
      </w:r>
      <w:r w:rsidR="009B66B5">
        <w:t xml:space="preserve"> v </w:t>
      </w:r>
      <w:r w:rsidRPr="00821C73">
        <w:t>hledání možností</w:t>
      </w:r>
      <w:r>
        <w:t xml:space="preserve"> pro</w:t>
      </w:r>
      <w:r w:rsidRPr="00821C73">
        <w:t xml:space="preserve"> uplatnění synergií </w:t>
      </w:r>
      <w:r w:rsidR="00547C56">
        <w:t xml:space="preserve">poměrně </w:t>
      </w:r>
      <w:r w:rsidRPr="00821C73">
        <w:t>aktivní</w:t>
      </w:r>
      <w:r w:rsidR="009B66B5">
        <w:t xml:space="preserve"> a </w:t>
      </w:r>
      <w:r w:rsidR="00547C56">
        <w:t>své zkušenosti</w:t>
      </w:r>
      <w:r w:rsidR="009B66B5">
        <w:t xml:space="preserve"> z </w:t>
      </w:r>
      <w:r w:rsidR="00547C56">
        <w:t xml:space="preserve">programového období 2014–2020 </w:t>
      </w:r>
      <w:r>
        <w:t>využívá</w:t>
      </w:r>
      <w:r w:rsidR="009B66B5">
        <w:t xml:space="preserve"> i </w:t>
      </w:r>
      <w:r>
        <w:t>pro současné období 2021</w:t>
      </w:r>
      <w:r w:rsidR="00705B06">
        <w:t>–</w:t>
      </w:r>
      <w:r>
        <w:t>2027.</w:t>
      </w:r>
      <w:r w:rsidR="00E147DA">
        <w:t xml:space="preserve"> Synergické využívání zdrojů H</w:t>
      </w:r>
      <w:r w:rsidR="00AD31B7">
        <w:t>orizo</w:t>
      </w:r>
      <w:r w:rsidR="00DA528A">
        <w:t>n</w:t>
      </w:r>
      <w:r w:rsidR="00AD31B7">
        <w:t>t</w:t>
      </w:r>
      <w:r w:rsidR="00DA528A">
        <w:t xml:space="preserve">u </w:t>
      </w:r>
      <w:r w:rsidR="00E147DA">
        <w:t>E</w:t>
      </w:r>
      <w:r w:rsidR="00DA528A">
        <w:t>vropa</w:t>
      </w:r>
      <w:r w:rsidR="00E147DA">
        <w:t>, ERDF</w:t>
      </w:r>
      <w:r w:rsidR="009B66B5">
        <w:t xml:space="preserve"> a </w:t>
      </w:r>
      <w:r w:rsidR="00E147DA">
        <w:t xml:space="preserve">národního rozpočtu </w:t>
      </w:r>
      <w:r w:rsidR="00BB0585">
        <w:t xml:space="preserve">na VaVaI </w:t>
      </w:r>
      <w:r w:rsidR="007762ED">
        <w:t>se</w:t>
      </w:r>
      <w:r w:rsidR="009B66B5">
        <w:t xml:space="preserve"> v </w:t>
      </w:r>
      <w:r w:rsidR="007762ED">
        <w:t>ČR využívá především</w:t>
      </w:r>
      <w:r w:rsidR="009B66B5">
        <w:t xml:space="preserve"> v </w:t>
      </w:r>
      <w:r w:rsidR="007762ED">
        <w:t>oblasti individuálních grantů (ERC, MSCA, EIC)</w:t>
      </w:r>
      <w:r w:rsidR="00811CBF">
        <w:t>, kde jsou administrativní</w:t>
      </w:r>
      <w:r w:rsidR="009B66B5">
        <w:t xml:space="preserve"> a </w:t>
      </w:r>
      <w:r w:rsidR="00811CBF">
        <w:t>systémové bariéry nejmenší</w:t>
      </w:r>
      <w:r w:rsidR="005F0D57">
        <w:t>,</w:t>
      </w:r>
      <w:r w:rsidR="009B66B5">
        <w:t xml:space="preserve"> a </w:t>
      </w:r>
      <w:r w:rsidR="005F0D57">
        <w:t>dále</w:t>
      </w:r>
      <w:r w:rsidR="009B66B5">
        <w:t xml:space="preserve"> i v </w:t>
      </w:r>
      <w:r w:rsidR="006720C3">
        <w:t>oblasti společně financovaných typech evropských partnerství (ERA</w:t>
      </w:r>
      <w:r w:rsidR="004D30C3">
        <w:t>-</w:t>
      </w:r>
      <w:r w:rsidR="006720C3">
        <w:lastRenderedPageBreak/>
        <w:t>N</w:t>
      </w:r>
      <w:r w:rsidR="004D30C3">
        <w:t>ET</w:t>
      </w:r>
      <w:r w:rsidR="006720C3">
        <w:t xml:space="preserve"> Cofund</w:t>
      </w:r>
      <w:r w:rsidR="004D30C3">
        <w:t>y</w:t>
      </w:r>
      <w:r w:rsidR="00BB0585">
        <w:t>, JUs</w:t>
      </w:r>
      <w:r w:rsidR="006720C3">
        <w:t xml:space="preserve">). </w:t>
      </w:r>
      <w:r w:rsidR="005F0D57">
        <w:t>Zkušenosti jsou</w:t>
      </w:r>
      <w:r w:rsidR="009B66B5">
        <w:t xml:space="preserve"> v </w:t>
      </w:r>
      <w:r w:rsidR="005F0D57">
        <w:t>ČR rovněž</w:t>
      </w:r>
      <w:r w:rsidR="009B66B5">
        <w:t xml:space="preserve"> v </w:t>
      </w:r>
      <w:r w:rsidR="0067268D">
        <w:t>dofinancování nástrojů Teamingu</w:t>
      </w:r>
      <w:r w:rsidR="009B66B5">
        <w:t xml:space="preserve"> z </w:t>
      </w:r>
      <w:r w:rsidR="005F0D57">
        <w:t>ESI fondů</w:t>
      </w:r>
      <w:r w:rsidR="008B48CC">
        <w:t>.</w:t>
      </w:r>
    </w:p>
    <w:p w14:paraId="4E6AE5DC" w14:textId="77777777" w:rsidR="008B48CC" w:rsidRDefault="008B48CC" w:rsidP="008444FF">
      <w:r>
        <w:t xml:space="preserve">Novou příležitostí je </w:t>
      </w:r>
      <w:r w:rsidR="00DD5128">
        <w:t>koordinace strategického zaměření podpory výzkumných</w:t>
      </w:r>
      <w:r w:rsidR="009B66B5">
        <w:t xml:space="preserve"> a </w:t>
      </w:r>
      <w:r w:rsidR="00DD5128">
        <w:t>inovačních aktivit</w:t>
      </w:r>
      <w:r w:rsidR="009B66B5">
        <w:t xml:space="preserve"> v </w:t>
      </w:r>
      <w:r w:rsidR="00DD5128">
        <w:t xml:space="preserve">rámci konceptu misí, které jsou uplatňovány </w:t>
      </w:r>
      <w:r w:rsidR="00F96063">
        <w:t xml:space="preserve">na úrovni </w:t>
      </w:r>
      <w:r w:rsidR="00BB0585">
        <w:t>Horizontu Evropa</w:t>
      </w:r>
      <w:r w:rsidR="009B66B5">
        <w:t xml:space="preserve"> i </w:t>
      </w:r>
      <w:r w:rsidR="00F96063">
        <w:t xml:space="preserve">na národní úrovni (RIS3). Zde </w:t>
      </w:r>
      <w:r w:rsidR="00A306BC">
        <w:t>má ČR potenciál pro aktivnější zapojení do řídicí struktury evropských misí</w:t>
      </w:r>
      <w:r w:rsidR="009B66B5">
        <w:t xml:space="preserve"> a </w:t>
      </w:r>
      <w:r w:rsidR="00A306BC">
        <w:t xml:space="preserve">ve vytvoření zrcadlových </w:t>
      </w:r>
      <w:r w:rsidR="00533B6F">
        <w:t>skupin pro implementaci misí na národní úrovni.</w:t>
      </w:r>
    </w:p>
    <w:p w14:paraId="76011411" w14:textId="77777777" w:rsidR="00B020F6" w:rsidRDefault="00B020F6" w:rsidP="005515AB">
      <w:pPr>
        <w:pStyle w:val="Nadpis1"/>
      </w:pPr>
      <w:bookmarkStart w:id="69" w:name="_Toc114572348"/>
      <w:r>
        <w:lastRenderedPageBreak/>
        <w:t>Administrativní</w:t>
      </w:r>
      <w:r w:rsidR="009B66B5">
        <w:t xml:space="preserve"> a </w:t>
      </w:r>
      <w:r>
        <w:t>finanční aspekty</w:t>
      </w:r>
      <w:bookmarkEnd w:id="69"/>
    </w:p>
    <w:p w14:paraId="226BC6A4" w14:textId="22D75C14" w:rsidR="00D672B4" w:rsidRDefault="00D672B4" w:rsidP="00D672B4">
      <w:r w:rsidRPr="00B655D2">
        <w:t xml:space="preserve">Tato kapitola </w:t>
      </w:r>
      <w:r>
        <w:t>poskytuje přehled administrativních</w:t>
      </w:r>
      <w:r w:rsidR="009B66B5">
        <w:t xml:space="preserve"> a </w:t>
      </w:r>
      <w:r>
        <w:t xml:space="preserve">finančních aspektů při zapojení do projektů </w:t>
      </w:r>
      <w:r w:rsidR="00A832E3">
        <w:t>RP</w:t>
      </w:r>
      <w:r>
        <w:t xml:space="preserve"> Horizont 2020</w:t>
      </w:r>
      <w:r w:rsidR="009B66B5">
        <w:t xml:space="preserve"> a </w:t>
      </w:r>
      <w:r>
        <w:t xml:space="preserve">Horizont Evropa </w:t>
      </w:r>
      <w:r w:rsidR="009B66B5">
        <w:t>a </w:t>
      </w:r>
      <w:r>
        <w:t>jejich vliv na pravidla národních poskytovatelů</w:t>
      </w:r>
      <w:r w:rsidR="009B66B5">
        <w:t xml:space="preserve"> i </w:t>
      </w:r>
      <w:r>
        <w:t>samotných příjemců na úrovni jednotlivých institucí. Znalost těchto aspektů</w:t>
      </w:r>
      <w:r w:rsidR="009B66B5">
        <w:t xml:space="preserve"> a </w:t>
      </w:r>
      <w:r>
        <w:t>jejich efektivní nastavení napříč pravidly poskytovatelů</w:t>
      </w:r>
      <w:r w:rsidR="009B66B5">
        <w:t xml:space="preserve"> a </w:t>
      </w:r>
      <w:r>
        <w:t>příjemců může vést ke snížení administrativní zátěže spojené</w:t>
      </w:r>
      <w:r w:rsidR="009B66B5">
        <w:t xml:space="preserve"> s </w:t>
      </w:r>
      <w:r>
        <w:t>přípravou</w:t>
      </w:r>
      <w:r w:rsidR="009B66B5">
        <w:t xml:space="preserve"> a </w:t>
      </w:r>
      <w:r>
        <w:t xml:space="preserve">realizací projektů </w:t>
      </w:r>
      <w:r w:rsidR="002B7657">
        <w:t>VaVaI</w:t>
      </w:r>
      <w:r w:rsidR="009B66B5">
        <w:t xml:space="preserve"> a v </w:t>
      </w:r>
      <w:r>
        <w:t>konečném důsledku</w:t>
      </w:r>
      <w:r w:rsidR="009B66B5">
        <w:t xml:space="preserve"> i </w:t>
      </w:r>
      <w:r w:rsidR="00ED0D67">
        <w:t xml:space="preserve">ke </w:t>
      </w:r>
      <w:r w:rsidRPr="00163003">
        <w:t>zlepšení účasti ČR</w:t>
      </w:r>
      <w:r w:rsidR="009B66B5">
        <w:t xml:space="preserve"> v </w:t>
      </w:r>
      <w:r w:rsidRPr="00163003">
        <w:t>Horizontu Evropa</w:t>
      </w:r>
      <w:r>
        <w:t xml:space="preserve">. </w:t>
      </w:r>
    </w:p>
    <w:p w14:paraId="1BB03BCD" w14:textId="77777777" w:rsidR="00D672B4" w:rsidRDefault="00ED0D67" w:rsidP="00E9081B">
      <w:r>
        <w:t xml:space="preserve">V </w:t>
      </w:r>
      <w:r w:rsidR="00D672B4">
        <w:t>rámci managementu projektů</w:t>
      </w:r>
      <w:r w:rsidR="009B66B5">
        <w:t xml:space="preserve"> a </w:t>
      </w:r>
      <w:r w:rsidR="00D672B4">
        <w:t>administrativních aspektů existuje na evropské úrovni (jmenovitě</w:t>
      </w:r>
      <w:r w:rsidR="009B66B5">
        <w:t xml:space="preserve"> s </w:t>
      </w:r>
      <w:r w:rsidR="00D672B4">
        <w:t>ohledem na management projektů) dobrá</w:t>
      </w:r>
      <w:r>
        <w:t xml:space="preserve"> praxe, která je zde představena</w:t>
      </w:r>
      <w:r w:rsidR="00D672B4">
        <w:t xml:space="preserve"> jako doporučení</w:t>
      </w:r>
      <w:r w:rsidR="009B66B5">
        <w:t xml:space="preserve"> k </w:t>
      </w:r>
      <w:r w:rsidR="00D672B4">
        <w:t>implementování na národní</w:t>
      </w:r>
      <w:r w:rsidR="009B66B5">
        <w:t xml:space="preserve"> a </w:t>
      </w:r>
      <w:r w:rsidR="00D672B4">
        <w:t>institucionální úrovni. Naopak</w:t>
      </w:r>
      <w:r w:rsidR="009B66B5">
        <w:t xml:space="preserve"> s </w:t>
      </w:r>
      <w:r w:rsidR="00D672B4">
        <w:t>ohledem na finanční pravidla,</w:t>
      </w:r>
      <w:r w:rsidR="009B66B5">
        <w:t xml:space="preserve"> a </w:t>
      </w:r>
      <w:r w:rsidR="00D672B4">
        <w:t xml:space="preserve">to jmenovitě na výpočet výše </w:t>
      </w:r>
      <w:r w:rsidR="00CF2492" w:rsidRPr="00CF2492">
        <w:t>způsobilých</w:t>
      </w:r>
      <w:r w:rsidR="00D672B4" w:rsidRPr="00CF2492">
        <w:t xml:space="preserve"> osobních</w:t>
      </w:r>
      <w:r w:rsidR="00D672B4">
        <w:t xml:space="preserve"> nákladů, se evropská pravidla odkazují na národní</w:t>
      </w:r>
      <w:r w:rsidR="009B66B5">
        <w:t xml:space="preserve"> a </w:t>
      </w:r>
      <w:r w:rsidR="00D672B4">
        <w:t xml:space="preserve">institucionální dobrou praxi, </w:t>
      </w:r>
      <w:r w:rsidR="002B7657">
        <w:t>kterou je</w:t>
      </w:r>
      <w:r w:rsidR="00D672B4">
        <w:t xml:space="preserve"> nezbytn</w:t>
      </w:r>
      <w:r w:rsidR="002B7657">
        <w:t>é</w:t>
      </w:r>
      <w:r w:rsidR="00D672B4">
        <w:t xml:space="preserve"> vytvořit. </w:t>
      </w:r>
      <w:r w:rsidR="00C66CFD">
        <w:t>Předchozí k</w:t>
      </w:r>
      <w:r w:rsidR="00D672B4">
        <w:t>apitola</w:t>
      </w:r>
      <w:r w:rsidR="009B66B5">
        <w:t xml:space="preserve"> o </w:t>
      </w:r>
      <w:r w:rsidR="00D672B4">
        <w:t>synergiích</w:t>
      </w:r>
      <w:r>
        <w:t xml:space="preserve"> </w:t>
      </w:r>
      <w:r w:rsidR="00D672B4">
        <w:t xml:space="preserve">mapuje možnosti pro jejich efektivní fungování. </w:t>
      </w:r>
    </w:p>
    <w:p w14:paraId="52F2E01E" w14:textId="77777777" w:rsidR="008F5785" w:rsidRDefault="008F5785" w:rsidP="005515AB">
      <w:pPr>
        <w:pStyle w:val="Nadpis2"/>
      </w:pPr>
      <w:bookmarkStart w:id="70" w:name="_Toc107318936"/>
      <w:bookmarkStart w:id="71" w:name="_Toc114572349"/>
      <w:r>
        <w:t>Administrativní pravidla, pravidla odměňování, možnost harmonizace pravidel poskytovatelů</w:t>
      </w:r>
      <w:r w:rsidR="009B66B5">
        <w:t xml:space="preserve"> s </w:t>
      </w:r>
      <w:r>
        <w:t>pravidly H</w:t>
      </w:r>
      <w:r w:rsidR="002B7657">
        <w:t xml:space="preserve">orizontu </w:t>
      </w:r>
      <w:r>
        <w:t>E</w:t>
      </w:r>
      <w:bookmarkEnd w:id="70"/>
      <w:bookmarkEnd w:id="71"/>
      <w:r w:rsidR="002B7657">
        <w:t>vropa</w:t>
      </w:r>
      <w:r>
        <w:t xml:space="preserve"> </w:t>
      </w:r>
    </w:p>
    <w:p w14:paraId="4A8CC506" w14:textId="77777777" w:rsidR="008F5785" w:rsidRDefault="008F5785" w:rsidP="005C25C6">
      <w:pPr>
        <w:pStyle w:val="Nadpis3"/>
      </w:pPr>
      <w:bookmarkStart w:id="72" w:name="_Toc114572350"/>
      <w:r>
        <w:t>Administrativní pravidla</w:t>
      </w:r>
      <w:bookmarkEnd w:id="72"/>
    </w:p>
    <w:p w14:paraId="156F6720" w14:textId="77777777" w:rsidR="008F5785" w:rsidRDefault="008F5785" w:rsidP="008F5785">
      <w:pPr>
        <w:rPr>
          <w:lang w:eastAsia="cs-CZ"/>
        </w:rPr>
      </w:pPr>
      <w:r>
        <w:rPr>
          <w:lang w:eastAsia="cs-CZ"/>
        </w:rPr>
        <w:t>Management</w:t>
      </w:r>
      <w:r w:rsidR="009B66B5">
        <w:rPr>
          <w:lang w:eastAsia="cs-CZ"/>
        </w:rPr>
        <w:t xml:space="preserve"> a </w:t>
      </w:r>
      <w:r>
        <w:rPr>
          <w:lang w:eastAsia="cs-CZ"/>
        </w:rPr>
        <w:t>administrace projektů H</w:t>
      </w:r>
      <w:r w:rsidR="002B7657">
        <w:rPr>
          <w:lang w:eastAsia="cs-CZ"/>
        </w:rPr>
        <w:t xml:space="preserve">orizontu </w:t>
      </w:r>
      <w:r>
        <w:rPr>
          <w:lang w:eastAsia="cs-CZ"/>
        </w:rPr>
        <w:t>2020</w:t>
      </w:r>
      <w:r w:rsidR="009B66B5">
        <w:rPr>
          <w:lang w:eastAsia="cs-CZ"/>
        </w:rPr>
        <w:t xml:space="preserve"> a </w:t>
      </w:r>
      <w:r>
        <w:rPr>
          <w:lang w:eastAsia="cs-CZ"/>
        </w:rPr>
        <w:t>Horizont</w:t>
      </w:r>
      <w:r w:rsidR="002B7657">
        <w:rPr>
          <w:lang w:eastAsia="cs-CZ"/>
        </w:rPr>
        <w:t>u</w:t>
      </w:r>
      <w:r>
        <w:rPr>
          <w:lang w:eastAsia="cs-CZ"/>
        </w:rPr>
        <w:t xml:space="preserve"> Evropa představují díky své přehlednosti</w:t>
      </w:r>
      <w:r w:rsidR="009B66B5">
        <w:rPr>
          <w:lang w:eastAsia="cs-CZ"/>
        </w:rPr>
        <w:t xml:space="preserve"> a </w:t>
      </w:r>
      <w:r>
        <w:rPr>
          <w:lang w:eastAsia="cs-CZ"/>
        </w:rPr>
        <w:t xml:space="preserve">jednoduchosti příklady dobré praxe. </w:t>
      </w:r>
    </w:p>
    <w:p w14:paraId="6DD3F856" w14:textId="77777777" w:rsidR="00DD1E9D" w:rsidRDefault="00DD1E9D" w:rsidP="00DD1E9D">
      <w:pPr>
        <w:spacing w:line="257" w:lineRule="auto"/>
        <w:rPr>
          <w:rFonts w:cs="Calibri"/>
        </w:rPr>
      </w:pPr>
      <w:r w:rsidRPr="43F396A4">
        <w:rPr>
          <w:rFonts w:cs="Calibri"/>
        </w:rPr>
        <w:t xml:space="preserve">Technologické centrum </w:t>
      </w:r>
      <w:r w:rsidR="002B7657">
        <w:rPr>
          <w:rFonts w:cs="Calibri"/>
        </w:rPr>
        <w:t xml:space="preserve">AV ČR </w:t>
      </w:r>
      <w:r w:rsidRPr="43F396A4">
        <w:rPr>
          <w:rFonts w:cs="Calibri"/>
        </w:rPr>
        <w:t xml:space="preserve">organizovalo </w:t>
      </w:r>
      <w:r w:rsidRPr="43F396A4">
        <w:rPr>
          <w:rFonts w:cs="Calibri"/>
          <w:b/>
          <w:bCs/>
        </w:rPr>
        <w:t>ve spolupráci se skupinou PES</w:t>
      </w:r>
      <w:r w:rsidR="009B66B5">
        <w:rPr>
          <w:rFonts w:cs="Calibri"/>
          <w:b/>
          <w:bCs/>
        </w:rPr>
        <w:t xml:space="preserve"> a </w:t>
      </w:r>
      <w:r>
        <w:rPr>
          <w:rFonts w:cs="Calibri"/>
          <w:b/>
          <w:bCs/>
        </w:rPr>
        <w:t xml:space="preserve">pracovní </w:t>
      </w:r>
      <w:r w:rsidRPr="43F396A4">
        <w:rPr>
          <w:rFonts w:cs="Calibri"/>
          <w:b/>
          <w:bCs/>
        </w:rPr>
        <w:t>skupinou RVVI pro de-byrokratizaci kulatý stůl</w:t>
      </w:r>
      <w:r w:rsidR="009B66B5">
        <w:rPr>
          <w:rFonts w:cs="Calibri"/>
          <w:b/>
          <w:bCs/>
        </w:rPr>
        <w:t xml:space="preserve"> k </w:t>
      </w:r>
      <w:r w:rsidRPr="43F396A4">
        <w:rPr>
          <w:rFonts w:cs="Calibri"/>
          <w:b/>
          <w:bCs/>
        </w:rPr>
        <w:t>tématu „</w:t>
      </w:r>
      <w:r w:rsidRPr="008A6192">
        <w:rPr>
          <w:rFonts w:cs="Calibri"/>
          <w:b/>
          <w:bCs/>
        </w:rPr>
        <w:t>Snížení administrativní zátěže</w:t>
      </w:r>
      <w:r w:rsidR="009B66B5">
        <w:rPr>
          <w:rFonts w:cs="Calibri"/>
          <w:b/>
          <w:bCs/>
        </w:rPr>
        <w:t xml:space="preserve"> v </w:t>
      </w:r>
      <w:r w:rsidRPr="008A6192">
        <w:rPr>
          <w:rFonts w:cs="Calibri"/>
          <w:b/>
          <w:bCs/>
        </w:rPr>
        <w:t>oblasti VaVaI –</w:t>
      </w:r>
      <w:r>
        <w:rPr>
          <w:rFonts w:cs="Calibri"/>
          <w:b/>
          <w:bCs/>
        </w:rPr>
        <w:t xml:space="preserve"> </w:t>
      </w:r>
      <w:r w:rsidRPr="008A6192">
        <w:rPr>
          <w:rFonts w:cs="Calibri"/>
          <w:b/>
          <w:bCs/>
        </w:rPr>
        <w:t>sjednocení metodického prostředí předkládání, realizace</w:t>
      </w:r>
      <w:r w:rsidR="009B66B5">
        <w:rPr>
          <w:rFonts w:cs="Calibri"/>
          <w:b/>
          <w:bCs/>
        </w:rPr>
        <w:t xml:space="preserve"> a </w:t>
      </w:r>
      <w:r w:rsidRPr="008A6192">
        <w:rPr>
          <w:rFonts w:cs="Calibri"/>
          <w:b/>
          <w:bCs/>
        </w:rPr>
        <w:t>vykazování projektů účelové podpory</w:t>
      </w:r>
      <w:r w:rsidRPr="43F396A4">
        <w:rPr>
          <w:rFonts w:cs="Calibri"/>
          <w:b/>
          <w:bCs/>
        </w:rPr>
        <w:t>“ (</w:t>
      </w:r>
      <w:r>
        <w:rPr>
          <w:rFonts w:cs="Calibri"/>
          <w:b/>
          <w:bCs/>
        </w:rPr>
        <w:t>19.</w:t>
      </w:r>
      <w:r w:rsidR="00B56F59">
        <w:rPr>
          <w:rFonts w:cs="Calibri"/>
          <w:b/>
          <w:bCs/>
        </w:rPr>
        <w:t xml:space="preserve"> </w:t>
      </w:r>
      <w:r>
        <w:rPr>
          <w:rFonts w:cs="Calibri"/>
          <w:b/>
          <w:bCs/>
        </w:rPr>
        <w:t>10.</w:t>
      </w:r>
      <w:r w:rsidR="00B56F59">
        <w:rPr>
          <w:rFonts w:cs="Calibri"/>
          <w:b/>
          <w:bCs/>
        </w:rPr>
        <w:t xml:space="preserve"> </w:t>
      </w:r>
      <w:r>
        <w:rPr>
          <w:rFonts w:cs="Calibri"/>
          <w:b/>
          <w:bCs/>
        </w:rPr>
        <w:t>2020</w:t>
      </w:r>
      <w:r w:rsidRPr="43F396A4">
        <w:rPr>
          <w:rFonts w:cs="Calibri"/>
          <w:b/>
          <w:bCs/>
        </w:rPr>
        <w:t>).</w:t>
      </w:r>
      <w:r w:rsidRPr="43F396A4">
        <w:rPr>
          <w:rFonts w:cs="Calibri"/>
        </w:rPr>
        <w:t xml:space="preserve"> Zde se sešli zástupci příjemců, poskytovatelů</w:t>
      </w:r>
      <w:r w:rsidR="009B66B5">
        <w:rPr>
          <w:rFonts w:cs="Calibri"/>
        </w:rPr>
        <w:t xml:space="preserve"> i </w:t>
      </w:r>
      <w:r w:rsidRPr="43F396A4">
        <w:rPr>
          <w:rFonts w:cs="Calibri"/>
        </w:rPr>
        <w:t>RVVI</w:t>
      </w:r>
      <w:r w:rsidR="009B66B5">
        <w:rPr>
          <w:rFonts w:cs="Calibri"/>
        </w:rPr>
        <w:t xml:space="preserve"> a </w:t>
      </w:r>
      <w:r>
        <w:rPr>
          <w:rFonts w:cs="Calibri"/>
        </w:rPr>
        <w:t>Technologického centra AV ČR</w:t>
      </w:r>
      <w:r w:rsidRPr="43F396A4">
        <w:rPr>
          <w:rFonts w:cs="Calibri"/>
        </w:rPr>
        <w:t xml:space="preserve">. </w:t>
      </w:r>
    </w:p>
    <w:p w14:paraId="77EAE08B" w14:textId="77777777" w:rsidR="00DD1E9D" w:rsidRDefault="00B56F59" w:rsidP="00DD1E9D">
      <w:pPr>
        <w:spacing w:line="257" w:lineRule="auto"/>
        <w:rPr>
          <w:rFonts w:cs="Calibri"/>
        </w:rPr>
      </w:pPr>
      <w:r>
        <w:rPr>
          <w:rFonts w:cs="Calibri"/>
        </w:rPr>
        <w:t>Při přípravě</w:t>
      </w:r>
      <w:r w:rsidR="00DD1E9D">
        <w:rPr>
          <w:rFonts w:cs="Calibri"/>
        </w:rPr>
        <w:t xml:space="preserve"> kulatého stolu byla zmapovaná pravidla jednotlivých národních poskytovatelů</w:t>
      </w:r>
      <w:r w:rsidR="009B66B5">
        <w:rPr>
          <w:rFonts w:cs="Calibri"/>
        </w:rPr>
        <w:t xml:space="preserve"> s </w:t>
      </w:r>
      <w:r w:rsidR="00DD1E9D">
        <w:rPr>
          <w:rFonts w:cs="Calibri"/>
        </w:rPr>
        <w:t xml:space="preserve">cílem zdůraznit jejich nesourodost, která mimořádně komplikuje práci českých projektových manažerů </w:t>
      </w:r>
      <w:r>
        <w:rPr>
          <w:rFonts w:cs="Calibri"/>
        </w:rPr>
        <w:br/>
      </w:r>
      <w:r w:rsidR="00DD1E9D">
        <w:rPr>
          <w:rFonts w:cs="Calibri"/>
        </w:rPr>
        <w:t>a manažerek</w:t>
      </w:r>
      <w:r w:rsidR="009B66B5">
        <w:rPr>
          <w:rFonts w:cs="Calibri"/>
        </w:rPr>
        <w:t xml:space="preserve"> a </w:t>
      </w:r>
      <w:r w:rsidR="00DD1E9D">
        <w:rPr>
          <w:rFonts w:cs="Calibri"/>
        </w:rPr>
        <w:t xml:space="preserve">způsobuje </w:t>
      </w:r>
      <w:r w:rsidR="00DD1E9D" w:rsidRPr="00390E4C">
        <w:rPr>
          <w:rFonts w:cs="Calibri"/>
        </w:rPr>
        <w:t>zvýšenou administrativní</w:t>
      </w:r>
      <w:r w:rsidR="009B66B5">
        <w:rPr>
          <w:rFonts w:cs="Calibri"/>
        </w:rPr>
        <w:t xml:space="preserve"> i </w:t>
      </w:r>
      <w:r w:rsidR="00DD1E9D" w:rsidRPr="00390E4C">
        <w:rPr>
          <w:rFonts w:cs="Calibri"/>
        </w:rPr>
        <w:t>finanční zátěž uchazečům/příjemcům podpory.</w:t>
      </w:r>
      <w:r w:rsidR="00DD1E9D">
        <w:rPr>
          <w:rFonts w:cs="Calibri"/>
        </w:rPr>
        <w:t xml:space="preserve"> Pravidla </w:t>
      </w:r>
      <w:r w:rsidR="002B7657">
        <w:rPr>
          <w:rFonts w:cs="Calibri"/>
        </w:rPr>
        <w:t>RP</w:t>
      </w:r>
      <w:r w:rsidR="00DD1E9D">
        <w:rPr>
          <w:rFonts w:cs="Calibri"/>
        </w:rPr>
        <w:t xml:space="preserve"> byly využity jako příklady dobré praxe. </w:t>
      </w:r>
    </w:p>
    <w:p w14:paraId="08B52485" w14:textId="77777777" w:rsidR="00DD1E9D" w:rsidRDefault="00DD1E9D" w:rsidP="00DD1E9D">
      <w:pPr>
        <w:spacing w:line="257" w:lineRule="auto"/>
        <w:rPr>
          <w:rFonts w:cs="Calibri"/>
        </w:rPr>
      </w:pPr>
      <w:r>
        <w:rPr>
          <w:rFonts w:cs="Calibri"/>
        </w:rPr>
        <w:t>Z kulatého stolu vyplynuly následující konkrétní doporučení pro poskytovatele:</w:t>
      </w:r>
    </w:p>
    <w:p w14:paraId="2846A4B6" w14:textId="77777777" w:rsidR="00DD1E9D" w:rsidRDefault="00DD1E9D">
      <w:pPr>
        <w:pStyle w:val="Odstavecseseznamem"/>
        <w:numPr>
          <w:ilvl w:val="0"/>
          <w:numId w:val="13"/>
        </w:numPr>
        <w:spacing w:line="257" w:lineRule="auto"/>
        <w:contextualSpacing/>
        <w:rPr>
          <w:b/>
          <w:bCs/>
        </w:rPr>
      </w:pPr>
      <w:r w:rsidRPr="008F1799">
        <w:rPr>
          <w:b/>
          <w:bCs/>
        </w:rPr>
        <w:t>Pro překládání návrhů projektů účelové podpory:</w:t>
      </w:r>
    </w:p>
    <w:p w14:paraId="39299BE8" w14:textId="3AF432E6" w:rsidR="00DD1E9D" w:rsidRDefault="00DD1E9D">
      <w:pPr>
        <w:pStyle w:val="Odstavecseseznamem"/>
        <w:numPr>
          <w:ilvl w:val="0"/>
          <w:numId w:val="12"/>
        </w:numPr>
        <w:spacing w:line="257" w:lineRule="auto"/>
        <w:contextualSpacing/>
      </w:pPr>
      <w:r w:rsidRPr="007C7241">
        <w:t>Zjednodušení</w:t>
      </w:r>
      <w:r>
        <w:t xml:space="preserve"> </w:t>
      </w:r>
      <w:r w:rsidRPr="007C7241">
        <w:t>prokázání</w:t>
      </w:r>
      <w:r>
        <w:t xml:space="preserve"> </w:t>
      </w:r>
      <w:r w:rsidRPr="007C7241">
        <w:t>způsobilosti</w:t>
      </w:r>
      <w:r>
        <w:t xml:space="preserve"> </w:t>
      </w:r>
      <w:r w:rsidRPr="007C7241">
        <w:t>uchazeče</w:t>
      </w:r>
      <w:r w:rsidR="009B66B5">
        <w:t xml:space="preserve"> o </w:t>
      </w:r>
      <w:r w:rsidRPr="007C7241">
        <w:t>podporu</w:t>
      </w:r>
      <w:r>
        <w:t xml:space="preserve"> </w:t>
      </w:r>
      <w:r w:rsidRPr="007C7241">
        <w:t>(využití existujících rejstříků a</w:t>
      </w:r>
      <w:r w:rsidR="00ED5B4A">
        <w:t> </w:t>
      </w:r>
      <w:r w:rsidRPr="007C7241">
        <w:t>sjednocení</w:t>
      </w:r>
      <w:r>
        <w:t xml:space="preserve"> </w:t>
      </w:r>
      <w:r w:rsidRPr="007C7241">
        <w:t>podoby</w:t>
      </w:r>
      <w:r>
        <w:t xml:space="preserve"> </w:t>
      </w:r>
      <w:r w:rsidRPr="007C7241">
        <w:t>čestného prohlášení).</w:t>
      </w:r>
    </w:p>
    <w:p w14:paraId="47EEF256" w14:textId="77777777" w:rsidR="00DD1E9D" w:rsidRDefault="00D3749F" w:rsidP="00DD1E9D">
      <w:pPr>
        <w:pStyle w:val="Odstavecseseznamem"/>
        <w:spacing w:line="257" w:lineRule="auto"/>
        <w:rPr>
          <w:i/>
          <w:iCs/>
        </w:rPr>
      </w:pPr>
      <w:r>
        <w:rPr>
          <w:i/>
          <w:iCs/>
        </w:rPr>
        <w:t>RP</w:t>
      </w:r>
      <w:r w:rsidR="003108AE">
        <w:rPr>
          <w:i/>
          <w:iCs/>
        </w:rPr>
        <w:t>:</w:t>
      </w:r>
      <w:r>
        <w:rPr>
          <w:i/>
          <w:iCs/>
        </w:rPr>
        <w:t xml:space="preserve"> </w:t>
      </w:r>
      <w:r w:rsidR="00512907">
        <w:rPr>
          <w:i/>
          <w:iCs/>
        </w:rPr>
        <w:t>Příkladem dobré praxe</w:t>
      </w:r>
      <w:r w:rsidR="00DD1E9D">
        <w:rPr>
          <w:i/>
          <w:iCs/>
        </w:rPr>
        <w:t xml:space="preserve"> na evropské úrovni je jednotná registrace</w:t>
      </w:r>
      <w:r w:rsidR="009B66B5">
        <w:rPr>
          <w:i/>
          <w:iCs/>
        </w:rPr>
        <w:t xml:space="preserve"> a </w:t>
      </w:r>
      <w:r w:rsidR="00DD1E9D">
        <w:rPr>
          <w:i/>
          <w:iCs/>
        </w:rPr>
        <w:t>validace uchazečů, kteří tímto procesem musí projít pouze jednou při prvním zapojení. Systém pro validaci</w:t>
      </w:r>
      <w:r w:rsidR="009B66B5">
        <w:rPr>
          <w:i/>
          <w:iCs/>
        </w:rPr>
        <w:t xml:space="preserve"> a </w:t>
      </w:r>
      <w:r w:rsidR="00DD1E9D">
        <w:rPr>
          <w:i/>
          <w:iCs/>
        </w:rPr>
        <w:t>podání projektových žádostí je propojený</w:t>
      </w:r>
      <w:r w:rsidR="009B66B5">
        <w:rPr>
          <w:i/>
          <w:iCs/>
        </w:rPr>
        <w:t xml:space="preserve"> a </w:t>
      </w:r>
      <w:r w:rsidR="00DD1E9D">
        <w:rPr>
          <w:i/>
          <w:iCs/>
        </w:rPr>
        <w:t>uchazeči</w:t>
      </w:r>
      <w:r w:rsidR="009B66B5">
        <w:rPr>
          <w:i/>
          <w:iCs/>
        </w:rPr>
        <w:t xml:space="preserve"> o </w:t>
      </w:r>
      <w:r w:rsidR="00DD1E9D">
        <w:rPr>
          <w:i/>
          <w:iCs/>
        </w:rPr>
        <w:t>projekty H</w:t>
      </w:r>
      <w:r w:rsidR="002B7657">
        <w:rPr>
          <w:i/>
          <w:iCs/>
        </w:rPr>
        <w:t xml:space="preserve">orizontu </w:t>
      </w:r>
      <w:r w:rsidR="00DD1E9D">
        <w:rPr>
          <w:i/>
          <w:iCs/>
        </w:rPr>
        <w:t>2020</w:t>
      </w:r>
      <w:r w:rsidR="00512907">
        <w:rPr>
          <w:i/>
          <w:iCs/>
        </w:rPr>
        <w:t xml:space="preserve"> </w:t>
      </w:r>
      <w:r w:rsidR="00DD1E9D">
        <w:rPr>
          <w:i/>
          <w:iCs/>
        </w:rPr>
        <w:t>/</w:t>
      </w:r>
      <w:r w:rsidR="00512907">
        <w:rPr>
          <w:i/>
          <w:iCs/>
        </w:rPr>
        <w:t xml:space="preserve"> </w:t>
      </w:r>
      <w:r w:rsidR="00DD1E9D">
        <w:rPr>
          <w:i/>
          <w:iCs/>
        </w:rPr>
        <w:t>Horizont</w:t>
      </w:r>
      <w:r w:rsidR="002B7657">
        <w:rPr>
          <w:i/>
          <w:iCs/>
        </w:rPr>
        <w:t>u</w:t>
      </w:r>
      <w:r w:rsidR="00DD1E9D">
        <w:rPr>
          <w:i/>
          <w:iCs/>
        </w:rPr>
        <w:t xml:space="preserve"> Evropa tak nemusí dokazovat svo</w:t>
      </w:r>
      <w:r w:rsidR="003F3B1C">
        <w:rPr>
          <w:i/>
          <w:iCs/>
        </w:rPr>
        <w:t>u</w:t>
      </w:r>
      <w:r w:rsidR="00DD1E9D">
        <w:rPr>
          <w:i/>
          <w:iCs/>
        </w:rPr>
        <w:t xml:space="preserve"> způsobilost</w:t>
      </w:r>
      <w:r w:rsidR="009B66B5">
        <w:rPr>
          <w:i/>
          <w:iCs/>
        </w:rPr>
        <w:t xml:space="preserve"> s </w:t>
      </w:r>
      <w:r w:rsidR="00DD1E9D">
        <w:rPr>
          <w:i/>
          <w:iCs/>
        </w:rPr>
        <w:t>každým dalším projektovým návrhem.</w:t>
      </w:r>
    </w:p>
    <w:p w14:paraId="34D3964C" w14:textId="77777777" w:rsidR="00DD1E9D" w:rsidRDefault="00DD1E9D">
      <w:pPr>
        <w:pStyle w:val="Odstavecseseznamem"/>
        <w:numPr>
          <w:ilvl w:val="0"/>
          <w:numId w:val="12"/>
        </w:numPr>
        <w:spacing w:line="257" w:lineRule="auto"/>
        <w:contextualSpacing/>
      </w:pPr>
      <w:r w:rsidRPr="007C7241">
        <w:lastRenderedPageBreak/>
        <w:t>Vypracování společné vzorové zadávací dokumentace</w:t>
      </w:r>
      <w:r>
        <w:t xml:space="preserve"> </w:t>
      </w:r>
      <w:r w:rsidRPr="007C7241">
        <w:t>–</w:t>
      </w:r>
      <w:r>
        <w:t xml:space="preserve"> </w:t>
      </w:r>
      <w:r w:rsidRPr="007C7241">
        <w:t>využití stejné terminologie</w:t>
      </w:r>
      <w:r w:rsidR="009B66B5">
        <w:t xml:space="preserve"> a </w:t>
      </w:r>
      <w:r w:rsidRPr="007C7241">
        <w:t>na jednom místě.</w:t>
      </w:r>
    </w:p>
    <w:p w14:paraId="3439BF45" w14:textId="77777777" w:rsidR="00DD1E9D" w:rsidRDefault="00D3749F" w:rsidP="00DD1E9D">
      <w:pPr>
        <w:pStyle w:val="Odstavecseseznamem"/>
        <w:spacing w:line="257" w:lineRule="auto"/>
        <w:rPr>
          <w:i/>
          <w:iCs/>
        </w:rPr>
      </w:pPr>
      <w:r>
        <w:rPr>
          <w:i/>
          <w:iCs/>
        </w:rPr>
        <w:t>RP</w:t>
      </w:r>
      <w:r w:rsidR="003108AE">
        <w:rPr>
          <w:i/>
          <w:iCs/>
        </w:rPr>
        <w:t>:</w:t>
      </w:r>
      <w:r>
        <w:rPr>
          <w:i/>
          <w:iCs/>
        </w:rPr>
        <w:t xml:space="preserve"> </w:t>
      </w:r>
      <w:r w:rsidR="00DD1E9D">
        <w:rPr>
          <w:i/>
          <w:iCs/>
        </w:rPr>
        <w:t>komise pro víceletý finanční rámec 2021–2027 využívá jednotnou modelovou grantovou dohodu pro všechny své přímo řízené projekty.</w:t>
      </w:r>
    </w:p>
    <w:p w14:paraId="266B95DB" w14:textId="77777777" w:rsidR="00DD1E9D" w:rsidRDefault="00DD1E9D">
      <w:pPr>
        <w:pStyle w:val="Odstavecseseznamem"/>
        <w:numPr>
          <w:ilvl w:val="0"/>
          <w:numId w:val="12"/>
        </w:numPr>
        <w:spacing w:line="257" w:lineRule="auto"/>
        <w:contextualSpacing/>
      </w:pPr>
      <w:r w:rsidRPr="007C7241">
        <w:t>Předkládání návrhů projektů</w:t>
      </w:r>
      <w:r>
        <w:t xml:space="preserve"> </w:t>
      </w:r>
      <w:r w:rsidRPr="007C7241">
        <w:t>prostřednictvím</w:t>
      </w:r>
      <w:r>
        <w:t xml:space="preserve"> </w:t>
      </w:r>
      <w:r w:rsidRPr="007C7241">
        <w:t>informačního systému (IS),</w:t>
      </w:r>
      <w:r>
        <w:t xml:space="preserve"> </w:t>
      </w:r>
      <w:r w:rsidRPr="007C7241">
        <w:t>jednotný způsob napříč poskytovateli, sjednocení principu fungování IS.</w:t>
      </w:r>
    </w:p>
    <w:p w14:paraId="0860B998" w14:textId="77777777" w:rsidR="00DD1E9D" w:rsidRDefault="00DD1E9D" w:rsidP="00DD1E9D">
      <w:pPr>
        <w:pStyle w:val="Odstavecseseznamem"/>
        <w:spacing w:line="257" w:lineRule="auto"/>
      </w:pPr>
    </w:p>
    <w:p w14:paraId="01BCB731" w14:textId="77777777" w:rsidR="00DD1E9D" w:rsidRDefault="00D3749F" w:rsidP="00DD1E9D">
      <w:pPr>
        <w:pStyle w:val="Odstavecseseznamem"/>
        <w:spacing w:line="257" w:lineRule="auto"/>
        <w:rPr>
          <w:i/>
          <w:iCs/>
        </w:rPr>
      </w:pPr>
      <w:r>
        <w:rPr>
          <w:i/>
          <w:iCs/>
        </w:rPr>
        <w:t>RP</w:t>
      </w:r>
      <w:r w:rsidR="003108AE">
        <w:rPr>
          <w:i/>
          <w:iCs/>
        </w:rPr>
        <w:t>:</w:t>
      </w:r>
      <w:r>
        <w:rPr>
          <w:i/>
          <w:iCs/>
        </w:rPr>
        <w:t xml:space="preserve"> </w:t>
      </w:r>
      <w:r w:rsidR="00DD1E9D">
        <w:rPr>
          <w:i/>
          <w:iCs/>
        </w:rPr>
        <w:t xml:space="preserve">Evropská komise využívá portál </w:t>
      </w:r>
      <w:hyperlink r:id="rId43" w:history="1">
        <w:r w:rsidR="00DD1E9D" w:rsidRPr="001C56D3">
          <w:rPr>
            <w:rStyle w:val="Hypertextovodkaz"/>
            <w:i/>
            <w:iCs/>
          </w:rPr>
          <w:t xml:space="preserve">Funding </w:t>
        </w:r>
        <w:r w:rsidR="00DD1E9D" w:rsidRPr="001C56D3">
          <w:rPr>
            <w:rStyle w:val="Hypertextovodkaz"/>
            <w:rFonts w:cs="Calibri"/>
            <w:i/>
            <w:iCs/>
          </w:rPr>
          <w:t>&amp;</w:t>
        </w:r>
        <w:r w:rsidR="00512907">
          <w:rPr>
            <w:rStyle w:val="Hypertextovodkaz"/>
            <w:i/>
            <w:iCs/>
          </w:rPr>
          <w:t xml:space="preserve"> Tender O</w:t>
        </w:r>
        <w:r w:rsidR="00DD1E9D" w:rsidRPr="001C56D3">
          <w:rPr>
            <w:rStyle w:val="Hypertextovodkaz"/>
            <w:i/>
            <w:iCs/>
          </w:rPr>
          <w:t>pportunities</w:t>
        </w:r>
      </w:hyperlink>
      <w:r w:rsidR="00DD1E9D">
        <w:rPr>
          <w:i/>
          <w:iCs/>
        </w:rPr>
        <w:t xml:space="preserve"> (FTO) pro veškerý projektový management od vyhledání výzev</w:t>
      </w:r>
      <w:r w:rsidR="009B66B5">
        <w:rPr>
          <w:i/>
          <w:iCs/>
        </w:rPr>
        <w:t xml:space="preserve"> a </w:t>
      </w:r>
      <w:r w:rsidR="00512907">
        <w:rPr>
          <w:i/>
          <w:iCs/>
        </w:rPr>
        <w:t>odeslání projektových žádostí</w:t>
      </w:r>
      <w:r w:rsidR="00DD1E9D">
        <w:rPr>
          <w:i/>
          <w:iCs/>
        </w:rPr>
        <w:t xml:space="preserve"> přes elektronické podpisy grantových d</w:t>
      </w:r>
      <w:r w:rsidR="00512907">
        <w:rPr>
          <w:i/>
          <w:iCs/>
        </w:rPr>
        <w:t>ohod</w:t>
      </w:r>
      <w:r w:rsidR="00DD1E9D">
        <w:rPr>
          <w:i/>
          <w:iCs/>
        </w:rPr>
        <w:t xml:space="preserve"> až po projektový reporting</w:t>
      </w:r>
      <w:r w:rsidR="009B66B5">
        <w:rPr>
          <w:i/>
          <w:iCs/>
        </w:rPr>
        <w:t xml:space="preserve"> a </w:t>
      </w:r>
      <w:r w:rsidR="00DD1E9D">
        <w:rPr>
          <w:i/>
          <w:iCs/>
        </w:rPr>
        <w:t xml:space="preserve">případné audity. </w:t>
      </w:r>
    </w:p>
    <w:p w14:paraId="3FCC8467" w14:textId="77777777" w:rsidR="00DD1E9D" w:rsidRDefault="00DD1E9D">
      <w:pPr>
        <w:pStyle w:val="Odstavecseseznamem"/>
        <w:numPr>
          <w:ilvl w:val="0"/>
          <w:numId w:val="13"/>
        </w:numPr>
        <w:spacing w:line="257" w:lineRule="auto"/>
        <w:contextualSpacing/>
        <w:rPr>
          <w:b/>
          <w:bCs/>
        </w:rPr>
      </w:pPr>
      <w:r w:rsidRPr="008F1799">
        <w:rPr>
          <w:b/>
          <w:bCs/>
        </w:rPr>
        <w:t>Smluvní vztahy</w:t>
      </w:r>
      <w:r w:rsidR="009B66B5">
        <w:rPr>
          <w:b/>
          <w:bCs/>
        </w:rPr>
        <w:t xml:space="preserve"> v </w:t>
      </w:r>
      <w:r w:rsidRPr="008F1799">
        <w:rPr>
          <w:b/>
          <w:bCs/>
        </w:rPr>
        <w:t>projektech</w:t>
      </w:r>
    </w:p>
    <w:p w14:paraId="240046B4" w14:textId="77777777" w:rsidR="00DD1E9D" w:rsidRDefault="00DD1E9D">
      <w:pPr>
        <w:pStyle w:val="Odstavecseseznamem"/>
        <w:numPr>
          <w:ilvl w:val="0"/>
          <w:numId w:val="12"/>
        </w:numPr>
        <w:spacing w:line="257" w:lineRule="auto"/>
        <w:contextualSpacing/>
      </w:pPr>
      <w:r w:rsidRPr="001A31B2">
        <w:t>Sjednocení</w:t>
      </w:r>
      <w:r>
        <w:t xml:space="preserve"> </w:t>
      </w:r>
      <w:r w:rsidRPr="001A31B2">
        <w:t>smluv</w:t>
      </w:r>
      <w:r>
        <w:t xml:space="preserve"> </w:t>
      </w:r>
      <w:r w:rsidRPr="001A31B2">
        <w:t>(s možností variant)</w:t>
      </w:r>
      <w:r w:rsidR="009B66B5">
        <w:t xml:space="preserve"> o </w:t>
      </w:r>
      <w:r w:rsidRPr="001A31B2">
        <w:t>poskytnutí podpory na</w:t>
      </w:r>
      <w:r>
        <w:t xml:space="preserve"> </w:t>
      </w:r>
      <w:r w:rsidRPr="001A31B2">
        <w:t>projekt.</w:t>
      </w:r>
      <w:r>
        <w:t xml:space="preserve"> </w:t>
      </w:r>
      <w:r w:rsidRPr="001A31B2">
        <w:t>Vypracování vzorové smlouvy</w:t>
      </w:r>
      <w:r>
        <w:t xml:space="preserve"> </w:t>
      </w:r>
      <w:r w:rsidRPr="001A31B2">
        <w:t>(s variantami)</w:t>
      </w:r>
      <w:r w:rsidR="009B66B5">
        <w:t xml:space="preserve"> o </w:t>
      </w:r>
      <w:r w:rsidRPr="001A31B2">
        <w:t>poskytnutí podpory na</w:t>
      </w:r>
      <w:r>
        <w:t xml:space="preserve"> </w:t>
      </w:r>
      <w:r w:rsidRPr="001A31B2">
        <w:t>projekt.</w:t>
      </w:r>
    </w:p>
    <w:p w14:paraId="39A5255B" w14:textId="77777777" w:rsidR="00DD1E9D" w:rsidRPr="00512907" w:rsidRDefault="00D3749F" w:rsidP="00512907">
      <w:pPr>
        <w:spacing w:line="257" w:lineRule="auto"/>
        <w:rPr>
          <w:i/>
          <w:iCs/>
        </w:rPr>
      </w:pPr>
      <w:r>
        <w:rPr>
          <w:i/>
          <w:iCs/>
        </w:rPr>
        <w:t>RP</w:t>
      </w:r>
      <w:r w:rsidR="003108AE">
        <w:rPr>
          <w:i/>
          <w:iCs/>
        </w:rPr>
        <w:t>:</w:t>
      </w:r>
      <w:r>
        <w:rPr>
          <w:i/>
          <w:iCs/>
        </w:rPr>
        <w:t xml:space="preserve"> </w:t>
      </w:r>
      <w:r w:rsidR="00DD1E9D" w:rsidRPr="00512907">
        <w:rPr>
          <w:i/>
          <w:iCs/>
        </w:rPr>
        <w:t>Příkladem dobré praxe je jednotná (korporátní) modelová grantová dohoda, která je společná pro všechny přímo řízené programy,</w:t>
      </w:r>
      <w:r w:rsidR="009B66B5">
        <w:rPr>
          <w:i/>
          <w:iCs/>
        </w:rPr>
        <w:t xml:space="preserve"> a </w:t>
      </w:r>
      <w:r w:rsidR="00DD1E9D" w:rsidRPr="00512907">
        <w:rPr>
          <w:i/>
          <w:iCs/>
        </w:rPr>
        <w:t>zároveň umožňuje výjimky</w:t>
      </w:r>
      <w:r w:rsidR="009B66B5">
        <w:rPr>
          <w:i/>
          <w:iCs/>
        </w:rPr>
        <w:t xml:space="preserve"> v </w:t>
      </w:r>
      <w:r w:rsidR="00DD1E9D" w:rsidRPr="00512907">
        <w:rPr>
          <w:i/>
          <w:iCs/>
        </w:rPr>
        <w:t>pravidlech pro jednotlivé programy (například</w:t>
      </w:r>
      <w:r w:rsidR="009B66B5">
        <w:rPr>
          <w:i/>
          <w:iCs/>
        </w:rPr>
        <w:t xml:space="preserve"> s </w:t>
      </w:r>
      <w:r w:rsidR="00DD1E9D" w:rsidRPr="00512907">
        <w:rPr>
          <w:i/>
          <w:iCs/>
        </w:rPr>
        <w:t>ohledem na pravidla otevřené vědy nebo genderu</w:t>
      </w:r>
      <w:r w:rsidR="009B66B5">
        <w:rPr>
          <w:i/>
          <w:iCs/>
        </w:rPr>
        <w:t xml:space="preserve"> v </w:t>
      </w:r>
      <w:r w:rsidR="00DD1E9D" w:rsidRPr="00512907">
        <w:rPr>
          <w:i/>
          <w:iCs/>
        </w:rPr>
        <w:t xml:space="preserve"> Horizont</w:t>
      </w:r>
      <w:r>
        <w:rPr>
          <w:i/>
          <w:iCs/>
        </w:rPr>
        <w:t>u</w:t>
      </w:r>
      <w:r w:rsidR="00DD1E9D" w:rsidRPr="00512907">
        <w:rPr>
          <w:i/>
          <w:iCs/>
        </w:rPr>
        <w:t xml:space="preserve"> Evropa).</w:t>
      </w:r>
    </w:p>
    <w:p w14:paraId="0F96F638" w14:textId="77777777" w:rsidR="00DD1E9D" w:rsidRDefault="00DD1E9D">
      <w:pPr>
        <w:pStyle w:val="Odstavecseseznamem"/>
        <w:numPr>
          <w:ilvl w:val="0"/>
          <w:numId w:val="12"/>
        </w:numPr>
        <w:spacing w:line="257" w:lineRule="auto"/>
        <w:contextualSpacing/>
      </w:pPr>
      <w:r w:rsidRPr="001A31B2">
        <w:t>Sjednocení pokynů ke</w:t>
      </w:r>
      <w:r>
        <w:t xml:space="preserve"> </w:t>
      </w:r>
      <w:r w:rsidRPr="001A31B2">
        <w:t>smlouvě</w:t>
      </w:r>
      <w:r w:rsidR="009B66B5">
        <w:t xml:space="preserve"> o </w:t>
      </w:r>
      <w:r w:rsidRPr="001A31B2">
        <w:t>účasti (dalších účastníků)</w:t>
      </w:r>
      <w:r>
        <w:t xml:space="preserve"> </w:t>
      </w:r>
      <w:r w:rsidRPr="001A31B2">
        <w:t>na řešení projektu, včetně termínů předložení, vypracování vzorové smlouvy</w:t>
      </w:r>
      <w:r w:rsidR="009B66B5">
        <w:t xml:space="preserve"> o </w:t>
      </w:r>
      <w:r w:rsidRPr="001A31B2">
        <w:t>účasti.</w:t>
      </w:r>
    </w:p>
    <w:p w14:paraId="2D7073DF" w14:textId="77777777" w:rsidR="00DD1E9D" w:rsidRPr="00512907" w:rsidRDefault="00D3749F" w:rsidP="00512907">
      <w:pPr>
        <w:spacing w:line="257" w:lineRule="auto"/>
        <w:rPr>
          <w:i/>
          <w:iCs/>
        </w:rPr>
      </w:pPr>
      <w:r>
        <w:rPr>
          <w:i/>
          <w:iCs/>
        </w:rPr>
        <w:t>RP</w:t>
      </w:r>
      <w:r w:rsidR="003108AE">
        <w:rPr>
          <w:i/>
          <w:iCs/>
        </w:rPr>
        <w:t>:</w:t>
      </w:r>
      <w:r>
        <w:rPr>
          <w:i/>
          <w:iCs/>
        </w:rPr>
        <w:t xml:space="preserve"> </w:t>
      </w:r>
      <w:r w:rsidR="00DD1E9D" w:rsidRPr="00512907">
        <w:rPr>
          <w:i/>
          <w:iCs/>
        </w:rPr>
        <w:t xml:space="preserve">Kromě výše zmíněné modelové grantové dohody </w:t>
      </w:r>
      <w:r w:rsidR="00AA2026">
        <w:rPr>
          <w:i/>
          <w:iCs/>
        </w:rPr>
        <w:t>Evropská komise</w:t>
      </w:r>
      <w:r w:rsidR="00DD1E9D" w:rsidRPr="00512907">
        <w:rPr>
          <w:i/>
          <w:iCs/>
        </w:rPr>
        <w:t xml:space="preserve"> poskytuje ještě další vzory smluv, například vzor smlouvy</w:t>
      </w:r>
      <w:r w:rsidR="009B66B5">
        <w:rPr>
          <w:i/>
          <w:iCs/>
        </w:rPr>
        <w:t xml:space="preserve"> o </w:t>
      </w:r>
      <w:r w:rsidR="00DD1E9D" w:rsidRPr="00512907">
        <w:rPr>
          <w:i/>
          <w:iCs/>
        </w:rPr>
        <w:t xml:space="preserve">zachování mlčenlivosti. Pro danou oblast právní podpory ze strany </w:t>
      </w:r>
      <w:r w:rsidR="003108AE">
        <w:rPr>
          <w:i/>
          <w:iCs/>
        </w:rPr>
        <w:t>Evropské</w:t>
      </w:r>
      <w:r w:rsidR="00AA2026">
        <w:rPr>
          <w:i/>
          <w:iCs/>
        </w:rPr>
        <w:t xml:space="preserve"> komise</w:t>
      </w:r>
      <w:r w:rsidR="00DD1E9D" w:rsidRPr="00512907">
        <w:rPr>
          <w:i/>
          <w:iCs/>
        </w:rPr>
        <w:t xml:space="preserve"> funguje tzv. </w:t>
      </w:r>
      <w:hyperlink r:id="rId44" w:history="1">
        <w:r w:rsidR="00DD1E9D" w:rsidRPr="00512907">
          <w:rPr>
            <w:rStyle w:val="Hypertextovodkaz"/>
            <w:i/>
            <w:iCs/>
          </w:rPr>
          <w:t>IP Helpdesk</w:t>
        </w:r>
      </w:hyperlink>
      <w:r w:rsidR="00DD1E9D" w:rsidRPr="00512907">
        <w:rPr>
          <w:i/>
          <w:iCs/>
        </w:rPr>
        <w:t xml:space="preserve">. </w:t>
      </w:r>
    </w:p>
    <w:p w14:paraId="4E1A0E53" w14:textId="77777777" w:rsidR="00DD1E9D" w:rsidRPr="0040752E" w:rsidRDefault="00DD1E9D">
      <w:pPr>
        <w:pStyle w:val="Odstavecseseznamem"/>
        <w:numPr>
          <w:ilvl w:val="0"/>
          <w:numId w:val="13"/>
        </w:numPr>
        <w:spacing w:line="257" w:lineRule="auto"/>
        <w:contextualSpacing/>
        <w:rPr>
          <w:b/>
          <w:bCs/>
        </w:rPr>
      </w:pPr>
      <w:r w:rsidRPr="0040752E">
        <w:rPr>
          <w:b/>
          <w:bCs/>
        </w:rPr>
        <w:t>Realizace projektů účelové podpory</w:t>
      </w:r>
    </w:p>
    <w:p w14:paraId="58A45799" w14:textId="77777777" w:rsidR="00DD1E9D" w:rsidRDefault="00DD1E9D">
      <w:pPr>
        <w:pStyle w:val="Odstavecseseznamem"/>
        <w:numPr>
          <w:ilvl w:val="0"/>
          <w:numId w:val="14"/>
        </w:numPr>
        <w:spacing w:line="257" w:lineRule="auto"/>
        <w:contextualSpacing/>
      </w:pPr>
      <w:r w:rsidRPr="001A31B2">
        <w:t>Sjednocení formálních požadavků na předkládání zpráv</w:t>
      </w:r>
      <w:r w:rsidR="009B66B5">
        <w:t xml:space="preserve"> o </w:t>
      </w:r>
      <w:r w:rsidRPr="001A31B2">
        <w:t>řešení projektu,</w:t>
      </w:r>
      <w:r>
        <w:t xml:space="preserve"> </w:t>
      </w:r>
      <w:r w:rsidRPr="001A31B2">
        <w:t xml:space="preserve">včetně požadavku na jejich rozsah, předkládání prostřednictvím IS. </w:t>
      </w:r>
    </w:p>
    <w:p w14:paraId="33C1736E" w14:textId="77777777" w:rsidR="00DD1E9D" w:rsidRPr="00512907" w:rsidRDefault="00D3749F" w:rsidP="00512907">
      <w:pPr>
        <w:spacing w:line="257" w:lineRule="auto"/>
        <w:rPr>
          <w:i/>
          <w:iCs/>
        </w:rPr>
      </w:pPr>
      <w:r>
        <w:rPr>
          <w:i/>
          <w:iCs/>
        </w:rPr>
        <w:t>RP</w:t>
      </w:r>
      <w:r w:rsidR="003108AE">
        <w:rPr>
          <w:i/>
          <w:iCs/>
        </w:rPr>
        <w:t>:</w:t>
      </w:r>
      <w:r>
        <w:rPr>
          <w:i/>
          <w:iCs/>
        </w:rPr>
        <w:t xml:space="preserve"> </w:t>
      </w:r>
      <w:r w:rsidR="00DD1E9D" w:rsidRPr="00512907">
        <w:rPr>
          <w:i/>
          <w:iCs/>
        </w:rPr>
        <w:t>Vše výše zmíněné funguje na evropské úrovni, tj. zprávy</w:t>
      </w:r>
      <w:r w:rsidR="009B66B5">
        <w:rPr>
          <w:i/>
          <w:iCs/>
        </w:rPr>
        <w:t xml:space="preserve"> o </w:t>
      </w:r>
      <w:r w:rsidR="00DD1E9D" w:rsidRPr="00512907">
        <w:rPr>
          <w:i/>
          <w:iCs/>
        </w:rPr>
        <w:t>řešení projektu jsou vyplňované do předem známé</w:t>
      </w:r>
      <w:r w:rsidR="009B66B5">
        <w:rPr>
          <w:i/>
          <w:iCs/>
        </w:rPr>
        <w:t xml:space="preserve"> a </w:t>
      </w:r>
      <w:r w:rsidR="00DD1E9D" w:rsidRPr="00512907">
        <w:rPr>
          <w:i/>
          <w:iCs/>
        </w:rPr>
        <w:t>jednotné šablony</w:t>
      </w:r>
      <w:r w:rsidR="009B66B5">
        <w:rPr>
          <w:i/>
          <w:iCs/>
        </w:rPr>
        <w:t xml:space="preserve"> a </w:t>
      </w:r>
      <w:r w:rsidR="00DD1E9D" w:rsidRPr="00512907">
        <w:rPr>
          <w:i/>
          <w:iCs/>
        </w:rPr>
        <w:t xml:space="preserve">odesílané skrze elektronický portál FTO. </w:t>
      </w:r>
    </w:p>
    <w:p w14:paraId="1F761D8D" w14:textId="77777777" w:rsidR="00DD1E9D" w:rsidRDefault="00DD1E9D">
      <w:pPr>
        <w:pStyle w:val="Odstavecseseznamem"/>
        <w:numPr>
          <w:ilvl w:val="0"/>
          <w:numId w:val="14"/>
        </w:numPr>
        <w:spacing w:line="257" w:lineRule="auto"/>
        <w:contextualSpacing/>
      </w:pPr>
      <w:r>
        <w:t>N</w:t>
      </w:r>
      <w:r w:rsidRPr="001A31B2">
        <w:t>astavení jednotného</w:t>
      </w:r>
      <w:r>
        <w:t xml:space="preserve"> </w:t>
      </w:r>
      <w:r w:rsidRPr="001A31B2">
        <w:t>přístupu ke</w:t>
      </w:r>
      <w:r>
        <w:t xml:space="preserve"> </w:t>
      </w:r>
      <w:r w:rsidRPr="001A31B2">
        <w:t>kontrolám prováděným</w:t>
      </w:r>
      <w:r>
        <w:t xml:space="preserve"> </w:t>
      </w:r>
      <w:r w:rsidRPr="001A31B2">
        <w:t xml:space="preserve">poskytovateli. </w:t>
      </w:r>
    </w:p>
    <w:p w14:paraId="115874DB" w14:textId="77777777" w:rsidR="00DD1E9D" w:rsidRPr="00512907" w:rsidRDefault="00D3749F" w:rsidP="00512907">
      <w:pPr>
        <w:spacing w:line="257" w:lineRule="auto"/>
        <w:rPr>
          <w:i/>
          <w:iCs/>
        </w:rPr>
      </w:pPr>
      <w:r>
        <w:rPr>
          <w:i/>
          <w:iCs/>
        </w:rPr>
        <w:t>RP</w:t>
      </w:r>
      <w:r w:rsidR="003108AE">
        <w:rPr>
          <w:i/>
          <w:iCs/>
        </w:rPr>
        <w:t>:</w:t>
      </w:r>
      <w:r>
        <w:rPr>
          <w:i/>
          <w:iCs/>
        </w:rPr>
        <w:t xml:space="preserve"> </w:t>
      </w:r>
      <w:r w:rsidR="00DD1E9D" w:rsidRPr="00512907">
        <w:rPr>
          <w:i/>
          <w:iCs/>
        </w:rPr>
        <w:t xml:space="preserve">Kontroly jsou prováděné na základě </w:t>
      </w:r>
      <w:hyperlink r:id="rId45" w:history="1">
        <w:r w:rsidR="00DD1E9D" w:rsidRPr="00512907">
          <w:rPr>
            <w:rStyle w:val="Hypertextovodkaz"/>
            <w:i/>
            <w:iCs/>
          </w:rPr>
          <w:t>Indikativního auditního programu pro auditory</w:t>
        </w:r>
      </w:hyperlink>
      <w:r w:rsidR="00DD1E9D" w:rsidRPr="00512907">
        <w:rPr>
          <w:i/>
          <w:iCs/>
        </w:rPr>
        <w:t xml:space="preserve">, který je veřejně dostupný. </w:t>
      </w:r>
    </w:p>
    <w:p w14:paraId="0987A5BE" w14:textId="77777777" w:rsidR="00DD1E9D" w:rsidRDefault="00DD1E9D">
      <w:pPr>
        <w:pStyle w:val="Odstavecseseznamem"/>
        <w:numPr>
          <w:ilvl w:val="0"/>
          <w:numId w:val="14"/>
        </w:numPr>
        <w:spacing w:line="257" w:lineRule="auto"/>
        <w:contextualSpacing/>
      </w:pPr>
      <w:r w:rsidRPr="001A31B2">
        <w:t>Sjednocení</w:t>
      </w:r>
      <w:r>
        <w:t xml:space="preserve"> </w:t>
      </w:r>
      <w:r w:rsidRPr="001A31B2">
        <w:t>přístupu</w:t>
      </w:r>
      <w:r w:rsidR="009B66B5">
        <w:t xml:space="preserve"> k </w:t>
      </w:r>
      <w:r w:rsidRPr="001A31B2">
        <w:t>aplikaci podmínek finančního vypořádání podpory na řešení projektů</w:t>
      </w:r>
      <w:r w:rsidR="009B66B5">
        <w:t xml:space="preserve"> s </w:t>
      </w:r>
      <w:r w:rsidRPr="001A31B2">
        <w:t>cílem zvýšit flexibilitu financování</w:t>
      </w:r>
      <w:r w:rsidR="009B66B5">
        <w:t xml:space="preserve"> v </w:t>
      </w:r>
      <w:r w:rsidRPr="001A31B2">
        <w:t>průběhu trvání projektu; zapojení do</w:t>
      </w:r>
      <w:r>
        <w:t xml:space="preserve"> </w:t>
      </w:r>
      <w:r w:rsidRPr="001A31B2">
        <w:t>procesu prosazování změn právních úprav finančního vypořádání podpor na řešení projektu</w:t>
      </w:r>
      <w:r w:rsidR="009B66B5">
        <w:t xml:space="preserve"> a </w:t>
      </w:r>
      <w:r w:rsidRPr="001A31B2">
        <w:t>převodu nevyčerpaných účelových prostředků.</w:t>
      </w:r>
    </w:p>
    <w:p w14:paraId="33EE15A2" w14:textId="77777777" w:rsidR="00DD1E9D" w:rsidRPr="00512907" w:rsidRDefault="00D3749F" w:rsidP="00512907">
      <w:pPr>
        <w:spacing w:line="257" w:lineRule="auto"/>
        <w:rPr>
          <w:i/>
          <w:iCs/>
        </w:rPr>
      </w:pPr>
      <w:r>
        <w:rPr>
          <w:i/>
          <w:iCs/>
        </w:rPr>
        <w:t>RP</w:t>
      </w:r>
      <w:r w:rsidR="00DD1E9D" w:rsidRPr="00512907">
        <w:rPr>
          <w:i/>
          <w:iCs/>
        </w:rPr>
        <w:t>: Rozpočet projektů H</w:t>
      </w:r>
      <w:r>
        <w:rPr>
          <w:i/>
          <w:iCs/>
        </w:rPr>
        <w:t xml:space="preserve">orizontu </w:t>
      </w:r>
      <w:r w:rsidR="00DD1E9D" w:rsidRPr="00512907">
        <w:rPr>
          <w:i/>
          <w:iCs/>
        </w:rPr>
        <w:t>2020</w:t>
      </w:r>
      <w:r w:rsidR="009B66B5">
        <w:rPr>
          <w:i/>
          <w:iCs/>
        </w:rPr>
        <w:t xml:space="preserve"> a </w:t>
      </w:r>
      <w:r w:rsidR="00DD1E9D" w:rsidRPr="00512907">
        <w:rPr>
          <w:i/>
          <w:iCs/>
        </w:rPr>
        <w:t>Horizont</w:t>
      </w:r>
      <w:r>
        <w:rPr>
          <w:i/>
          <w:iCs/>
        </w:rPr>
        <w:t>u</w:t>
      </w:r>
      <w:r w:rsidR="00DD1E9D" w:rsidRPr="00512907">
        <w:rPr>
          <w:i/>
          <w:iCs/>
        </w:rPr>
        <w:t xml:space="preserve"> Evropa je do značné míry flexibilní</w:t>
      </w:r>
      <w:r w:rsidR="009B66B5">
        <w:rPr>
          <w:i/>
          <w:iCs/>
        </w:rPr>
        <w:t xml:space="preserve"> a </w:t>
      </w:r>
      <w:r w:rsidR="00DD1E9D" w:rsidRPr="00512907">
        <w:rPr>
          <w:i/>
          <w:iCs/>
        </w:rPr>
        <w:t>je možné převádět finance mezi jednotlivými nákladovými kategoriemi</w:t>
      </w:r>
      <w:r w:rsidR="009B66B5">
        <w:rPr>
          <w:i/>
          <w:iCs/>
        </w:rPr>
        <w:t xml:space="preserve"> i </w:t>
      </w:r>
      <w:r w:rsidR="00DD1E9D" w:rsidRPr="00512907">
        <w:rPr>
          <w:i/>
          <w:iCs/>
        </w:rPr>
        <w:t xml:space="preserve">mezi partnery projektu navzájem. </w:t>
      </w:r>
    </w:p>
    <w:p w14:paraId="4FC0B6C0" w14:textId="77777777" w:rsidR="00DD1E9D" w:rsidRDefault="00DD1E9D" w:rsidP="00DD1E9D">
      <w:pPr>
        <w:spacing w:line="257" w:lineRule="auto"/>
      </w:pPr>
      <w:r>
        <w:lastRenderedPageBreak/>
        <w:t xml:space="preserve">Další oblastí, kde by bylo možné použít pravidla </w:t>
      </w:r>
      <w:r w:rsidR="00D3749F">
        <w:t xml:space="preserve">RP </w:t>
      </w:r>
      <w:r>
        <w:t>jako příklady dobré praxe</w:t>
      </w:r>
      <w:r w:rsidR="00CF2492">
        <w:t>,</w:t>
      </w:r>
      <w:r>
        <w:t xml:space="preserve"> jsou </w:t>
      </w:r>
      <w:r w:rsidRPr="00544F05">
        <w:rPr>
          <w:b/>
        </w:rPr>
        <w:t>zjednodušené formy financování, především financování formou pevné částky, tzv. lump sum</w:t>
      </w:r>
      <w:r>
        <w:rPr>
          <w:rStyle w:val="Znakapoznpodarou"/>
          <w:b/>
          <w:bCs/>
        </w:rPr>
        <w:footnoteReference w:id="67"/>
      </w:r>
      <w:r w:rsidRPr="00544F05">
        <w:rPr>
          <w:b/>
        </w:rPr>
        <w:t>.</w:t>
      </w:r>
      <w:r>
        <w:t xml:space="preserve"> Tyto projekty jsou typické tím, že je zde zafixovaná pevná částka pro celý projekt, případně pevné částky pro jednotlivé pracovní balíčky. Tyto částky jsou proplaceny, jakmile jsou kompletně realizovány všechny aktivity, bez ohledu na skutečnou výši vynaložených nákladů. </w:t>
      </w:r>
      <w:r w:rsidRPr="00D81F60">
        <w:rPr>
          <w:b/>
          <w:bCs/>
        </w:rPr>
        <w:t>Pozornost je tak soustředěna na splnění vědeckých úkolů, nikoliv na finanční reportování</w:t>
      </w:r>
      <w:r w:rsidR="009B66B5">
        <w:rPr>
          <w:b/>
          <w:bCs/>
        </w:rPr>
        <w:t xml:space="preserve"> a </w:t>
      </w:r>
      <w:r w:rsidRPr="00D81F60">
        <w:rPr>
          <w:b/>
          <w:bCs/>
        </w:rPr>
        <w:t>audity.</w:t>
      </w:r>
      <w:r>
        <w:t xml:space="preserve"> V Horizont</w:t>
      </w:r>
      <w:r w:rsidR="00D3749F">
        <w:t>u</w:t>
      </w:r>
      <w:r>
        <w:t xml:space="preserve"> Evropa má </w:t>
      </w:r>
      <w:r w:rsidR="00AA2026">
        <w:t>Evropská komise</w:t>
      </w:r>
      <w:r w:rsidR="009B66B5">
        <w:t xml:space="preserve"> v </w:t>
      </w:r>
      <w:r>
        <w:t>plánu významně navyšovat počet výzev</w:t>
      </w:r>
      <w:r w:rsidR="009B66B5">
        <w:t xml:space="preserve"> s </w:t>
      </w:r>
      <w:r>
        <w:t>lump sum projekty. Postupně, částečně již</w:t>
      </w:r>
      <w:r w:rsidR="009B66B5">
        <w:t xml:space="preserve"> v </w:t>
      </w:r>
      <w:r>
        <w:t>roce 2022, masivněji</w:t>
      </w:r>
      <w:r w:rsidR="009B66B5">
        <w:t xml:space="preserve"> v </w:t>
      </w:r>
      <w:r>
        <w:t>letech 2023</w:t>
      </w:r>
      <w:r w:rsidR="009B66B5">
        <w:t xml:space="preserve"> a </w:t>
      </w:r>
      <w:r>
        <w:t xml:space="preserve">2024. Přestože </w:t>
      </w:r>
      <w:r w:rsidR="00AA2026">
        <w:t>Evropská komise</w:t>
      </w:r>
      <w:r>
        <w:t xml:space="preserve"> zatím neuvádí konkrétní čísla, avizuje, že primárním cílem je snížení chybovosti ze 4 na 2</w:t>
      </w:r>
      <w:r w:rsidR="00ED5B4A">
        <w:t> </w:t>
      </w:r>
      <w:r>
        <w:t>%, čehož by mohlo být dosaženo</w:t>
      </w:r>
      <w:r w:rsidR="009B66B5">
        <w:t xml:space="preserve"> v </w:t>
      </w:r>
      <w:r>
        <w:t>případě 50 % financování ve formě lump sum. Tento vývoj může sloužit jako inspirace pro národní poskytovatele, významně totiž může přispět</w:t>
      </w:r>
      <w:r w:rsidR="009B66B5">
        <w:t xml:space="preserve"> k </w:t>
      </w:r>
      <w:r>
        <w:t>snížení administrativní zátěže</w:t>
      </w:r>
      <w:r w:rsidR="009B66B5">
        <w:t xml:space="preserve"> a </w:t>
      </w:r>
      <w:r>
        <w:t xml:space="preserve">harmonizaci pravidel. Je však nutné nejdříve </w:t>
      </w:r>
      <w:r w:rsidRPr="00DC6129">
        <w:rPr>
          <w:b/>
          <w:bCs/>
        </w:rPr>
        <w:t>prozkoumat legislativní možnosti využití přístupu lump sum</w:t>
      </w:r>
      <w:r w:rsidR="009B66B5">
        <w:rPr>
          <w:b/>
          <w:bCs/>
        </w:rPr>
        <w:t xml:space="preserve"> v </w:t>
      </w:r>
      <w:r w:rsidRPr="00DC6129">
        <w:rPr>
          <w:b/>
          <w:bCs/>
        </w:rPr>
        <w:t>pravidlech českých poskytovatelů</w:t>
      </w:r>
      <w:r w:rsidR="009B66B5">
        <w:t xml:space="preserve"> a </w:t>
      </w:r>
      <w:r>
        <w:t>vyčkat</w:t>
      </w:r>
      <w:r w:rsidR="00B20113">
        <w:t>,</w:t>
      </w:r>
      <w:r>
        <w:t xml:space="preserve"> jaké budou zkušenosti</w:t>
      </w:r>
      <w:r w:rsidR="009B66B5">
        <w:t xml:space="preserve"> s </w:t>
      </w:r>
      <w:r>
        <w:t xml:space="preserve">tímto revolučním přístupem na evropské úrovni. </w:t>
      </w:r>
    </w:p>
    <w:p w14:paraId="5712E9CF" w14:textId="77777777" w:rsidR="00DD1E9D" w:rsidRDefault="00DD1E9D" w:rsidP="00DD1E9D">
      <w:pPr>
        <w:spacing w:line="257" w:lineRule="auto"/>
      </w:pPr>
      <w:r w:rsidRPr="00AC245D">
        <w:t xml:space="preserve">S ohledem na sjednocení pravidel na národní úrovni je také nutné zmínit progresivní přístup </w:t>
      </w:r>
      <w:r w:rsidR="003108AE">
        <w:t xml:space="preserve">Evropské </w:t>
      </w:r>
      <w:r w:rsidR="00AA2026">
        <w:t>komise</w:t>
      </w:r>
      <w:r w:rsidR="009B66B5">
        <w:t xml:space="preserve"> k </w:t>
      </w:r>
      <w:r w:rsidRPr="00AC245D">
        <w:t xml:space="preserve">tématům </w:t>
      </w:r>
      <w:r w:rsidRPr="00AC245D">
        <w:rPr>
          <w:b/>
          <w:bCs/>
        </w:rPr>
        <w:t>otevřené vědy</w:t>
      </w:r>
      <w:r w:rsidR="009B66B5">
        <w:rPr>
          <w:b/>
          <w:bCs/>
        </w:rPr>
        <w:t xml:space="preserve"> a </w:t>
      </w:r>
      <w:r w:rsidRPr="00AC245D">
        <w:rPr>
          <w:b/>
          <w:bCs/>
        </w:rPr>
        <w:t>genderu</w:t>
      </w:r>
      <w:r w:rsidRPr="00AC245D">
        <w:t>. V případě</w:t>
      </w:r>
      <w:r>
        <w:t xml:space="preserve"> otevřené vědy se jedná zejména</w:t>
      </w:r>
      <w:r w:rsidR="009B66B5">
        <w:t xml:space="preserve"> o </w:t>
      </w:r>
      <w:r>
        <w:t>povinnost umožnění okamžitého otevřeného přístupu jak</w:t>
      </w:r>
      <w:r w:rsidR="009B66B5">
        <w:t xml:space="preserve"> k </w:t>
      </w:r>
      <w:r>
        <w:t>publikacím, tak</w:t>
      </w:r>
      <w:r w:rsidR="009B66B5">
        <w:t xml:space="preserve"> k </w:t>
      </w:r>
      <w:r>
        <w:t>výzkumným datům;</w:t>
      </w:r>
      <w:r w:rsidR="009B66B5">
        <w:t xml:space="preserve"> s </w:t>
      </w:r>
      <w:r>
        <w:t>ohledem na genderovou rovnost jsou zásadní povinnosti zapracování genderové dimenze do výzkumu</w:t>
      </w:r>
      <w:r w:rsidR="009B66B5">
        <w:t xml:space="preserve"> a </w:t>
      </w:r>
      <w:r>
        <w:t xml:space="preserve">zveřejnění Plánů genderové rovnosti. </w:t>
      </w:r>
    </w:p>
    <w:p w14:paraId="0BA08E75" w14:textId="77777777" w:rsidR="00DD1E9D" w:rsidRPr="00AC245D" w:rsidRDefault="00DD1E9D" w:rsidP="00DD1E9D">
      <w:pPr>
        <w:spacing w:line="257" w:lineRule="auto"/>
        <w:rPr>
          <w:b/>
          <w:bCs/>
          <w:lang w:eastAsia="cs-CZ"/>
        </w:rPr>
      </w:pPr>
      <w:r w:rsidRPr="00AC245D">
        <w:rPr>
          <w:b/>
          <w:bCs/>
        </w:rPr>
        <w:t>V případě, že by národní poskytovatelé podpory měli zájem</w:t>
      </w:r>
      <w:r w:rsidR="009B66B5">
        <w:rPr>
          <w:b/>
          <w:bCs/>
        </w:rPr>
        <w:t xml:space="preserve"> o </w:t>
      </w:r>
      <w:r w:rsidRPr="00AC245D">
        <w:rPr>
          <w:b/>
          <w:bCs/>
        </w:rPr>
        <w:t>zavedení pravidel týkajících se otevřené vědy</w:t>
      </w:r>
      <w:r w:rsidR="009B66B5">
        <w:rPr>
          <w:b/>
          <w:bCs/>
        </w:rPr>
        <w:t xml:space="preserve"> a </w:t>
      </w:r>
      <w:r w:rsidRPr="00AC245D">
        <w:rPr>
          <w:b/>
          <w:bCs/>
        </w:rPr>
        <w:t>genderové rovnosti, je</w:t>
      </w:r>
      <w:r w:rsidR="006D7E7B">
        <w:rPr>
          <w:b/>
          <w:bCs/>
        </w:rPr>
        <w:t xml:space="preserve"> doporučeno</w:t>
      </w:r>
      <w:r w:rsidRPr="00AC245D">
        <w:rPr>
          <w:b/>
          <w:bCs/>
        </w:rPr>
        <w:t>, aby respektovali již zavedenou praxi</w:t>
      </w:r>
      <w:r w:rsidR="009B66B5">
        <w:rPr>
          <w:b/>
          <w:bCs/>
        </w:rPr>
        <w:t xml:space="preserve"> z </w:t>
      </w:r>
      <w:r w:rsidR="00D3749F">
        <w:rPr>
          <w:b/>
          <w:bCs/>
        </w:rPr>
        <w:t>RP</w:t>
      </w:r>
      <w:r w:rsidR="009B66B5">
        <w:rPr>
          <w:b/>
          <w:bCs/>
        </w:rPr>
        <w:t xml:space="preserve"> a </w:t>
      </w:r>
      <w:r>
        <w:t>již více administrativně nezatížili uchazeče</w:t>
      </w:r>
      <w:r w:rsidR="009B66B5">
        <w:t xml:space="preserve"> o </w:t>
      </w:r>
      <w:r>
        <w:t>projekty</w:t>
      </w:r>
      <w:r w:rsidR="009B66B5">
        <w:t xml:space="preserve"> a </w:t>
      </w:r>
      <w:r>
        <w:t>jejich příjemce</w:t>
      </w:r>
      <w:r w:rsidRPr="00AC245D">
        <w:rPr>
          <w:b/>
          <w:bCs/>
        </w:rPr>
        <w:t xml:space="preserve">.  </w:t>
      </w:r>
    </w:p>
    <w:p w14:paraId="2985D354" w14:textId="77777777" w:rsidR="00DD1E9D" w:rsidRPr="00E9081B" w:rsidRDefault="00DD1E9D" w:rsidP="005C25C6">
      <w:pPr>
        <w:pStyle w:val="Nadpis3"/>
      </w:pPr>
      <w:bookmarkStart w:id="73" w:name="_Toc114572351"/>
      <w:r>
        <w:t>Osobní náklady</w:t>
      </w:r>
      <w:r w:rsidR="009B66B5">
        <w:t xml:space="preserve"> a </w:t>
      </w:r>
      <w:r>
        <w:t>pravidla odměňování</w:t>
      </w:r>
      <w:bookmarkEnd w:id="73"/>
    </w:p>
    <w:p w14:paraId="0E091988" w14:textId="77777777" w:rsidR="00DD1E9D" w:rsidRDefault="00DD1E9D" w:rsidP="00DD1E9D">
      <w:pPr>
        <w:spacing w:line="257" w:lineRule="auto"/>
      </w:pPr>
      <w:r w:rsidRPr="3618E6C2">
        <w:rPr>
          <w:rFonts w:cs="Calibri"/>
        </w:rPr>
        <w:t xml:space="preserve">Osobní náklady představují nejvýznamnější část způsobilých nákladů projektů </w:t>
      </w:r>
      <w:r w:rsidR="00D3749F">
        <w:rPr>
          <w:rFonts w:cs="Calibri"/>
        </w:rPr>
        <w:t>RP</w:t>
      </w:r>
      <w:r w:rsidRPr="3618E6C2">
        <w:rPr>
          <w:rFonts w:cs="Calibri"/>
        </w:rPr>
        <w:t xml:space="preserve"> (okolo 75 %). Pravidla jejich způsobilosti</w:t>
      </w:r>
      <w:r w:rsidR="009B66B5">
        <w:rPr>
          <w:rFonts w:cs="Calibri"/>
        </w:rPr>
        <w:t xml:space="preserve"> a </w:t>
      </w:r>
      <w:r w:rsidRPr="3618E6C2">
        <w:rPr>
          <w:rFonts w:cs="Calibri"/>
        </w:rPr>
        <w:t>výše odměňování tak stojí</w:t>
      </w:r>
      <w:r w:rsidR="009B66B5">
        <w:rPr>
          <w:rFonts w:cs="Calibri"/>
        </w:rPr>
        <w:t xml:space="preserve"> v </w:t>
      </w:r>
      <w:r w:rsidRPr="3618E6C2">
        <w:rPr>
          <w:rFonts w:cs="Calibri"/>
        </w:rPr>
        <w:t>centru pozornosti řešitelských institucí (příjemců)</w:t>
      </w:r>
      <w:r w:rsidR="009B66B5">
        <w:rPr>
          <w:rFonts w:cs="Calibri"/>
        </w:rPr>
        <w:t xml:space="preserve"> a </w:t>
      </w:r>
      <w:r w:rsidRPr="3618E6C2">
        <w:rPr>
          <w:rFonts w:cs="Calibri"/>
        </w:rPr>
        <w:t>mají dozajista vliv na motivaci českých výzkumných týmů účastnit se projektů Horizont</w:t>
      </w:r>
      <w:r w:rsidR="00D3749F">
        <w:rPr>
          <w:rFonts w:cs="Calibri"/>
        </w:rPr>
        <w:t>u</w:t>
      </w:r>
      <w:r w:rsidRPr="3618E6C2">
        <w:rPr>
          <w:rFonts w:cs="Calibri"/>
        </w:rPr>
        <w:t xml:space="preserve"> Evropa. </w:t>
      </w:r>
    </w:p>
    <w:p w14:paraId="0E252BFC" w14:textId="77777777" w:rsidR="00B631F2" w:rsidRDefault="00B631F2" w:rsidP="00B631F2">
      <w:pPr>
        <w:spacing w:line="257" w:lineRule="auto"/>
      </w:pPr>
      <w:r w:rsidRPr="43F396A4">
        <w:rPr>
          <w:rFonts w:cs="Calibri"/>
        </w:rPr>
        <w:t>Napříč českou výzkumnou komunitou panují představy, že výzkumníci</w:t>
      </w:r>
      <w:r w:rsidR="009B66B5">
        <w:rPr>
          <w:rFonts w:cs="Calibri"/>
        </w:rPr>
        <w:t xml:space="preserve"> a </w:t>
      </w:r>
      <w:r w:rsidRPr="43F396A4">
        <w:rPr>
          <w:rFonts w:cs="Calibri"/>
        </w:rPr>
        <w:t>výzkumnice pracující na excelentních evropských projektech budou srovnatelně odměňování jako jejich partneři</w:t>
      </w:r>
      <w:r w:rsidR="009B66B5">
        <w:rPr>
          <w:rFonts w:cs="Calibri"/>
        </w:rPr>
        <w:t xml:space="preserve"> v </w:t>
      </w:r>
      <w:r w:rsidR="0096066B">
        <w:rPr>
          <w:rFonts w:cs="Calibri"/>
        </w:rPr>
        <w:t>konsorciu</w:t>
      </w:r>
      <w:r w:rsidRPr="43F396A4">
        <w:rPr>
          <w:rFonts w:cs="Calibri"/>
        </w:rPr>
        <w:t xml:space="preserve"> ze zahraničí,</w:t>
      </w:r>
      <w:r w:rsidR="009B66B5">
        <w:rPr>
          <w:rFonts w:cs="Calibri"/>
        </w:rPr>
        <w:t xml:space="preserve"> a </w:t>
      </w:r>
      <w:r w:rsidRPr="43F396A4">
        <w:rPr>
          <w:rFonts w:cs="Calibri"/>
        </w:rPr>
        <w:t>to bez ohledu na výši odměňování</w:t>
      </w:r>
      <w:r w:rsidR="009B66B5">
        <w:rPr>
          <w:rFonts w:cs="Calibri"/>
        </w:rPr>
        <w:t xml:space="preserve"> v </w:t>
      </w:r>
      <w:r w:rsidRPr="43F396A4">
        <w:rPr>
          <w:rFonts w:cs="Calibri"/>
        </w:rPr>
        <w:t>národních projektech</w:t>
      </w:r>
      <w:r w:rsidR="009B66B5">
        <w:rPr>
          <w:rFonts w:cs="Calibri"/>
        </w:rPr>
        <w:t xml:space="preserve"> a </w:t>
      </w:r>
      <w:r w:rsidRPr="43F396A4">
        <w:rPr>
          <w:rFonts w:cs="Calibri"/>
        </w:rPr>
        <w:t xml:space="preserve">dalších aktivitách. Pro české příjemce je také </w:t>
      </w:r>
      <w:r>
        <w:rPr>
          <w:rFonts w:cs="Calibri"/>
        </w:rPr>
        <w:t>nezvyklé</w:t>
      </w:r>
      <w:r w:rsidRPr="43F396A4">
        <w:rPr>
          <w:rFonts w:cs="Calibri"/>
        </w:rPr>
        <w:t xml:space="preserve">, že </w:t>
      </w:r>
      <w:r w:rsidR="00AA2026">
        <w:rPr>
          <w:rFonts w:cs="Calibri"/>
        </w:rPr>
        <w:t>Evropská komise</w:t>
      </w:r>
      <w:r w:rsidRPr="43F396A4">
        <w:rPr>
          <w:rFonts w:cs="Calibri"/>
        </w:rPr>
        <w:t xml:space="preserve"> nedefinuje úroveň odměňování dopředu</w:t>
      </w:r>
      <w:r>
        <w:rPr>
          <w:rStyle w:val="Znakapoznpodarou"/>
          <w:rFonts w:cs="Calibri"/>
        </w:rPr>
        <w:footnoteReference w:id="68"/>
      </w:r>
      <w:r w:rsidRPr="43F396A4">
        <w:rPr>
          <w:rFonts w:cs="Calibri"/>
        </w:rPr>
        <w:t xml:space="preserve"> (tak, jak jsou často zvyklí od národních poskytovatelů). </w:t>
      </w:r>
    </w:p>
    <w:p w14:paraId="1A3FDE43" w14:textId="77777777" w:rsidR="00B631F2" w:rsidRDefault="00F5458F" w:rsidP="00B631F2">
      <w:pPr>
        <w:spacing w:line="257" w:lineRule="auto"/>
      </w:pPr>
      <w:r>
        <w:rPr>
          <w:rFonts w:cs="Calibri"/>
        </w:rPr>
        <w:lastRenderedPageBreak/>
        <w:t>Naopak</w:t>
      </w:r>
      <w:r w:rsidR="00B631F2" w:rsidRPr="43F396A4">
        <w:rPr>
          <w:rFonts w:cs="Calibri"/>
        </w:rPr>
        <w:t xml:space="preserve"> </w:t>
      </w:r>
      <w:r w:rsidR="00B631F2" w:rsidRPr="43F396A4">
        <w:rPr>
          <w:rFonts w:cs="Calibri"/>
          <w:b/>
          <w:bCs/>
        </w:rPr>
        <w:t xml:space="preserve">pravidla pro mzdové ohodnocení ze strany </w:t>
      </w:r>
      <w:r w:rsidR="003108AE">
        <w:rPr>
          <w:rFonts w:cs="Calibri"/>
          <w:b/>
          <w:bCs/>
        </w:rPr>
        <w:t>Evropské</w:t>
      </w:r>
      <w:r w:rsidR="00AA2026">
        <w:rPr>
          <w:rFonts w:cs="Calibri"/>
          <w:b/>
          <w:bCs/>
        </w:rPr>
        <w:t xml:space="preserve"> komise</w:t>
      </w:r>
      <w:r w:rsidR="009B66B5">
        <w:rPr>
          <w:rFonts w:cs="Calibri"/>
          <w:b/>
          <w:bCs/>
        </w:rPr>
        <w:t xml:space="preserve"> v </w:t>
      </w:r>
      <w:r w:rsidR="00D3749F">
        <w:rPr>
          <w:rFonts w:cs="Calibri"/>
          <w:b/>
          <w:bCs/>
        </w:rPr>
        <w:t>Horizontu Evropa</w:t>
      </w:r>
      <w:r w:rsidR="00B631F2" w:rsidRPr="43F396A4">
        <w:rPr>
          <w:rFonts w:cs="Calibri"/>
          <w:b/>
          <w:bCs/>
        </w:rPr>
        <w:t xml:space="preserve"> plně respektují výši odměňování, která je</w:t>
      </w:r>
      <w:r w:rsidR="009B66B5">
        <w:rPr>
          <w:rFonts w:cs="Calibri"/>
          <w:b/>
          <w:bCs/>
        </w:rPr>
        <w:t xml:space="preserve"> v </w:t>
      </w:r>
      <w:r w:rsidR="00B631F2" w:rsidRPr="43F396A4">
        <w:rPr>
          <w:rFonts w:cs="Calibri"/>
          <w:b/>
          <w:bCs/>
        </w:rPr>
        <w:t xml:space="preserve">jednotlivých </w:t>
      </w:r>
      <w:r>
        <w:rPr>
          <w:rFonts w:cs="Calibri"/>
          <w:b/>
          <w:bCs/>
        </w:rPr>
        <w:t>státech, respektive institucích</w:t>
      </w:r>
      <w:r w:rsidR="00B631F2" w:rsidRPr="43F396A4">
        <w:rPr>
          <w:rFonts w:cs="Calibri"/>
          <w:b/>
          <w:bCs/>
        </w:rPr>
        <w:t xml:space="preserve"> již nastavená. </w:t>
      </w:r>
    </w:p>
    <w:p w14:paraId="1F3E62B2" w14:textId="77777777" w:rsidR="00B631F2" w:rsidRDefault="00D3749F" w:rsidP="00B631F2">
      <w:pPr>
        <w:spacing w:line="257" w:lineRule="auto"/>
      </w:pPr>
      <w:r>
        <w:rPr>
          <w:rFonts w:cs="Calibri"/>
          <w:b/>
          <w:bCs/>
        </w:rPr>
        <w:t>RP</w:t>
      </w:r>
      <w:r w:rsidR="00B631F2" w:rsidRPr="43F396A4">
        <w:rPr>
          <w:rFonts w:cs="Calibri"/>
          <w:b/>
          <w:bCs/>
        </w:rPr>
        <w:t xml:space="preserve"> nejsou nástrojem pro vyrovnávání </w:t>
      </w:r>
      <w:r>
        <w:rPr>
          <w:rFonts w:cs="Calibri"/>
          <w:b/>
          <w:bCs/>
        </w:rPr>
        <w:t xml:space="preserve">mzdových </w:t>
      </w:r>
      <w:r w:rsidR="00B631F2" w:rsidRPr="43F396A4">
        <w:rPr>
          <w:rFonts w:cs="Calibri"/>
          <w:b/>
          <w:bCs/>
        </w:rPr>
        <w:t>rozdílů mezi regiony</w:t>
      </w:r>
      <w:r w:rsidR="00B631F2" w:rsidRPr="43F396A4">
        <w:rPr>
          <w:rFonts w:cs="Calibri"/>
        </w:rPr>
        <w:t>,</w:t>
      </w:r>
      <w:r w:rsidR="009B66B5">
        <w:rPr>
          <w:rFonts w:cs="Calibri"/>
        </w:rPr>
        <w:t xml:space="preserve"> a </w:t>
      </w:r>
      <w:r w:rsidR="00B631F2" w:rsidRPr="43F396A4">
        <w:rPr>
          <w:rFonts w:cs="Calibri"/>
        </w:rPr>
        <w:t>tak by výše odměňování</w:t>
      </w:r>
      <w:r w:rsidR="009B66B5">
        <w:rPr>
          <w:rFonts w:cs="Calibri"/>
        </w:rPr>
        <w:t xml:space="preserve"> v </w:t>
      </w:r>
      <w:r w:rsidR="00B631F2" w:rsidRPr="43F396A4">
        <w:rPr>
          <w:rFonts w:cs="Calibri"/>
        </w:rPr>
        <w:t xml:space="preserve">projektech </w:t>
      </w:r>
      <w:r>
        <w:rPr>
          <w:rFonts w:cs="Calibri"/>
        </w:rPr>
        <w:t>RP</w:t>
      </w:r>
      <w:r w:rsidRPr="43F396A4">
        <w:rPr>
          <w:rFonts w:cs="Calibri"/>
        </w:rPr>
        <w:t xml:space="preserve"> </w:t>
      </w:r>
      <w:r w:rsidR="00B631F2" w:rsidRPr="43F396A4">
        <w:rPr>
          <w:rFonts w:cs="Calibri"/>
        </w:rPr>
        <w:t>neměla být účelově navyšována, naopak by měla odpovídat úrovni odměňování</w:t>
      </w:r>
      <w:r w:rsidR="009B66B5">
        <w:rPr>
          <w:rFonts w:cs="Calibri"/>
        </w:rPr>
        <w:t xml:space="preserve"> v </w:t>
      </w:r>
      <w:r w:rsidR="00B631F2" w:rsidRPr="43F396A4">
        <w:rPr>
          <w:rFonts w:cs="Calibri"/>
        </w:rPr>
        <w:t>jednotlivých státech/institucích. Pokud považují instituce konkrétní výzkumníky</w:t>
      </w:r>
      <w:r w:rsidR="009B66B5">
        <w:rPr>
          <w:rFonts w:cs="Calibri"/>
        </w:rPr>
        <w:t xml:space="preserve"> a </w:t>
      </w:r>
      <w:r w:rsidR="00B631F2" w:rsidRPr="43F396A4">
        <w:rPr>
          <w:rFonts w:cs="Calibri"/>
        </w:rPr>
        <w:t xml:space="preserve">výzkumnice za excelentní, </w:t>
      </w:r>
      <w:r w:rsidR="00AA2026">
        <w:rPr>
          <w:rFonts w:cs="Calibri"/>
        </w:rPr>
        <w:t>Evropská komise</w:t>
      </w:r>
      <w:r w:rsidR="00B631F2" w:rsidRPr="43F396A4">
        <w:rPr>
          <w:rFonts w:cs="Calibri"/>
        </w:rPr>
        <w:t xml:space="preserve"> předpokládá, že se jedná</w:t>
      </w:r>
      <w:r w:rsidR="009B66B5">
        <w:rPr>
          <w:rFonts w:cs="Calibri"/>
        </w:rPr>
        <w:t xml:space="preserve"> o </w:t>
      </w:r>
      <w:r w:rsidR="00B631F2" w:rsidRPr="00E104FC">
        <w:rPr>
          <w:rFonts w:cs="Calibri"/>
          <w:b/>
          <w:bCs/>
        </w:rPr>
        <w:t>excelentní zaměstnance</w:t>
      </w:r>
      <w:r w:rsidR="009B66B5">
        <w:rPr>
          <w:rFonts w:cs="Calibri"/>
          <w:b/>
          <w:bCs/>
        </w:rPr>
        <w:t xml:space="preserve"> a </w:t>
      </w:r>
      <w:r w:rsidR="00B631F2" w:rsidRPr="00E104FC">
        <w:rPr>
          <w:rFonts w:cs="Calibri"/>
          <w:b/>
          <w:bCs/>
        </w:rPr>
        <w:t>zaměstnankyně</w:t>
      </w:r>
      <w:r w:rsidR="009B66B5">
        <w:rPr>
          <w:rFonts w:cs="Calibri"/>
          <w:b/>
          <w:bCs/>
        </w:rPr>
        <w:t xml:space="preserve"> v </w:t>
      </w:r>
      <w:r w:rsidR="00B631F2" w:rsidRPr="00E104FC">
        <w:rPr>
          <w:rFonts w:cs="Calibri"/>
          <w:b/>
          <w:bCs/>
        </w:rPr>
        <w:t>rámci celého jejich úvazku</w:t>
      </w:r>
      <w:r w:rsidR="00B631F2" w:rsidRPr="43F396A4">
        <w:rPr>
          <w:rFonts w:cs="Calibri"/>
        </w:rPr>
        <w:t>,</w:t>
      </w:r>
      <w:r w:rsidR="009B66B5">
        <w:rPr>
          <w:rFonts w:cs="Calibri"/>
        </w:rPr>
        <w:t xml:space="preserve"> a </w:t>
      </w:r>
      <w:r w:rsidR="00B631F2" w:rsidRPr="43F396A4">
        <w:rPr>
          <w:rFonts w:cs="Calibri"/>
        </w:rPr>
        <w:t>ne pouze</w:t>
      </w:r>
      <w:r w:rsidR="009B66B5">
        <w:rPr>
          <w:rFonts w:cs="Calibri"/>
        </w:rPr>
        <w:t xml:space="preserve"> v </w:t>
      </w:r>
      <w:r w:rsidR="00B631F2" w:rsidRPr="43F396A4">
        <w:rPr>
          <w:rFonts w:cs="Calibri"/>
        </w:rPr>
        <w:t xml:space="preserve">okamžiku práce na projektech </w:t>
      </w:r>
      <w:r w:rsidR="00642D8C">
        <w:rPr>
          <w:rFonts w:cs="Calibri"/>
        </w:rPr>
        <w:t>RP</w:t>
      </w:r>
      <w:r w:rsidR="00B631F2" w:rsidRPr="43F396A4">
        <w:rPr>
          <w:rFonts w:cs="Calibri"/>
        </w:rPr>
        <w:t>.</w:t>
      </w:r>
    </w:p>
    <w:p w14:paraId="375CFC8A" w14:textId="77777777" w:rsidR="00B631F2" w:rsidRDefault="00B631F2" w:rsidP="00B631F2">
      <w:pPr>
        <w:spacing w:line="257" w:lineRule="auto"/>
      </w:pPr>
      <w:r w:rsidRPr="3618E6C2">
        <w:rPr>
          <w:rFonts w:cs="Calibri"/>
        </w:rPr>
        <w:t>Většina států/institucí původní EU</w:t>
      </w:r>
      <w:r w:rsidR="00494F9E">
        <w:rPr>
          <w:rFonts w:cs="Calibri"/>
        </w:rPr>
        <w:t>-</w:t>
      </w:r>
      <w:r w:rsidRPr="3618E6C2">
        <w:rPr>
          <w:rFonts w:cs="Calibri"/>
        </w:rPr>
        <w:t>15 používá</w:t>
      </w:r>
      <w:r w:rsidR="009B66B5">
        <w:rPr>
          <w:rFonts w:cs="Calibri"/>
        </w:rPr>
        <w:t xml:space="preserve"> v </w:t>
      </w:r>
      <w:r w:rsidRPr="3618E6C2">
        <w:rPr>
          <w:rFonts w:cs="Calibri"/>
        </w:rPr>
        <w:t>akademickém prostředí systém ohodnocení, kdy výzkumníci</w:t>
      </w:r>
      <w:r w:rsidR="009B66B5">
        <w:rPr>
          <w:rFonts w:cs="Calibri"/>
        </w:rPr>
        <w:t xml:space="preserve"> a </w:t>
      </w:r>
      <w:r w:rsidRPr="3618E6C2">
        <w:rPr>
          <w:rFonts w:cs="Calibri"/>
        </w:rPr>
        <w:t>výzkumnice mají fixní plat bez ohledu na jejich účast</w:t>
      </w:r>
      <w:r w:rsidR="009B66B5">
        <w:rPr>
          <w:rFonts w:cs="Calibri"/>
        </w:rPr>
        <w:t xml:space="preserve"> v </w:t>
      </w:r>
      <w:r w:rsidRPr="3618E6C2">
        <w:rPr>
          <w:rFonts w:cs="Calibri"/>
        </w:rPr>
        <w:t>interních, národních nebo</w:t>
      </w:r>
      <w:r w:rsidR="009B66B5">
        <w:rPr>
          <w:rFonts w:cs="Calibri"/>
        </w:rPr>
        <w:t xml:space="preserve"> i </w:t>
      </w:r>
      <w:r w:rsidRPr="3618E6C2">
        <w:rPr>
          <w:rFonts w:cs="Calibri"/>
        </w:rPr>
        <w:t>mezinárodních projektech. Tento způsob financování umožňuje bezproblémové proplácení mezd</w:t>
      </w:r>
      <w:r w:rsidR="009B66B5">
        <w:rPr>
          <w:rFonts w:cs="Calibri"/>
        </w:rPr>
        <w:t xml:space="preserve"> v </w:t>
      </w:r>
      <w:r w:rsidR="00642D8C">
        <w:rPr>
          <w:rFonts w:cs="Calibri"/>
        </w:rPr>
        <w:t>RP</w:t>
      </w:r>
      <w:r w:rsidRPr="3618E6C2">
        <w:rPr>
          <w:rFonts w:cs="Calibri"/>
        </w:rPr>
        <w:t xml:space="preserve"> (skrze tzv. neprojektové financování). </w:t>
      </w:r>
    </w:p>
    <w:p w14:paraId="0551049E" w14:textId="77777777" w:rsidR="00B631F2" w:rsidRDefault="00B631F2" w:rsidP="00B631F2">
      <w:pPr>
        <w:spacing w:line="257" w:lineRule="auto"/>
      </w:pPr>
      <w:r w:rsidRPr="43F396A4">
        <w:rPr>
          <w:rFonts w:cs="Calibri"/>
          <w:b/>
          <w:bCs/>
        </w:rPr>
        <w:t>Státy</w:t>
      </w:r>
      <w:r w:rsidR="009B66B5">
        <w:rPr>
          <w:rFonts w:cs="Calibri"/>
          <w:b/>
          <w:bCs/>
        </w:rPr>
        <w:t xml:space="preserve"> a </w:t>
      </w:r>
      <w:r w:rsidRPr="43F396A4">
        <w:rPr>
          <w:rFonts w:cs="Calibri"/>
          <w:b/>
          <w:bCs/>
        </w:rPr>
        <w:t>instituce EU</w:t>
      </w:r>
      <w:r w:rsidR="00642D8C">
        <w:rPr>
          <w:rFonts w:cs="Calibri"/>
          <w:b/>
          <w:bCs/>
        </w:rPr>
        <w:t>-</w:t>
      </w:r>
      <w:r w:rsidRPr="43F396A4">
        <w:rPr>
          <w:rFonts w:cs="Calibri"/>
          <w:b/>
          <w:bCs/>
        </w:rPr>
        <w:t>13, včetně Č</w:t>
      </w:r>
      <w:r w:rsidR="00642D8C">
        <w:rPr>
          <w:rFonts w:cs="Calibri"/>
          <w:b/>
          <w:bCs/>
        </w:rPr>
        <w:t>R</w:t>
      </w:r>
      <w:r w:rsidRPr="43F396A4">
        <w:rPr>
          <w:rFonts w:cs="Calibri"/>
          <w:b/>
          <w:bCs/>
        </w:rPr>
        <w:t>, často využívají</w:t>
      </w:r>
      <w:r w:rsidR="009B66B5">
        <w:rPr>
          <w:rFonts w:cs="Calibri"/>
          <w:b/>
          <w:bCs/>
        </w:rPr>
        <w:t xml:space="preserve"> i </w:t>
      </w:r>
      <w:r w:rsidRPr="43F396A4">
        <w:rPr>
          <w:rFonts w:cs="Calibri"/>
          <w:b/>
          <w:bCs/>
        </w:rPr>
        <w:t>tzv. projektové financování</w:t>
      </w:r>
      <w:r>
        <w:rPr>
          <w:rStyle w:val="Znakapoznpodarou"/>
          <w:rFonts w:cs="Calibri"/>
          <w:b/>
          <w:bCs/>
        </w:rPr>
        <w:footnoteReference w:id="69"/>
      </w:r>
      <w:r w:rsidRPr="43F396A4">
        <w:rPr>
          <w:rFonts w:cs="Calibri"/>
          <w:b/>
          <w:bCs/>
        </w:rPr>
        <w:t>, tj. systém, kdy výše mzdového ohodnocení kolísá</w:t>
      </w:r>
      <w:r w:rsidR="009B66B5">
        <w:rPr>
          <w:rFonts w:cs="Calibri"/>
          <w:b/>
          <w:bCs/>
        </w:rPr>
        <w:t xml:space="preserve"> v </w:t>
      </w:r>
      <w:r w:rsidRPr="43F396A4">
        <w:rPr>
          <w:rFonts w:cs="Calibri"/>
          <w:b/>
          <w:bCs/>
        </w:rPr>
        <w:t>souvislosti</w:t>
      </w:r>
      <w:r w:rsidR="009B66B5">
        <w:rPr>
          <w:rFonts w:cs="Calibri"/>
          <w:b/>
          <w:bCs/>
        </w:rPr>
        <w:t xml:space="preserve"> s </w:t>
      </w:r>
      <w:r w:rsidRPr="43F396A4">
        <w:rPr>
          <w:rFonts w:cs="Calibri"/>
          <w:b/>
          <w:bCs/>
        </w:rPr>
        <w:t xml:space="preserve">účastí daného člověka ve výzkumných projektech. </w:t>
      </w:r>
    </w:p>
    <w:p w14:paraId="53A044CA" w14:textId="77777777" w:rsidR="00B631F2" w:rsidRDefault="00B631F2" w:rsidP="00B631F2">
      <w:pPr>
        <w:spacing w:line="257" w:lineRule="auto"/>
      </w:pPr>
      <w:r w:rsidRPr="43F396A4">
        <w:rPr>
          <w:rFonts w:cs="Calibri"/>
        </w:rPr>
        <w:t>Také</w:t>
      </w:r>
      <w:r w:rsidR="009B66B5">
        <w:rPr>
          <w:rFonts w:cs="Calibri"/>
        </w:rPr>
        <w:t xml:space="preserve"> v </w:t>
      </w:r>
      <w:r w:rsidRPr="43F396A4">
        <w:rPr>
          <w:rFonts w:cs="Calibri"/>
        </w:rPr>
        <w:t xml:space="preserve">tomto případě se vždy pravidla </w:t>
      </w:r>
      <w:r w:rsidR="003108AE">
        <w:rPr>
          <w:rFonts w:cs="Calibri"/>
        </w:rPr>
        <w:t>Evropské</w:t>
      </w:r>
      <w:r w:rsidR="00AA2026">
        <w:rPr>
          <w:rFonts w:cs="Calibri"/>
        </w:rPr>
        <w:t xml:space="preserve"> komise</w:t>
      </w:r>
      <w:r w:rsidRPr="43F396A4">
        <w:rPr>
          <w:rFonts w:cs="Calibri"/>
        </w:rPr>
        <w:t xml:space="preserve"> odkazují na výši ohodnocení, která je</w:t>
      </w:r>
      <w:r w:rsidR="009B66B5">
        <w:rPr>
          <w:rFonts w:cs="Calibri"/>
        </w:rPr>
        <w:t xml:space="preserve"> v </w:t>
      </w:r>
      <w:r w:rsidRPr="43F396A4">
        <w:rPr>
          <w:rFonts w:cs="Calibri"/>
        </w:rPr>
        <w:t xml:space="preserve">daném státě nebo instituci běžná skrze tzv. </w:t>
      </w:r>
      <w:r w:rsidRPr="43F396A4">
        <w:rPr>
          <w:rFonts w:cs="Calibri"/>
          <w:b/>
          <w:bCs/>
        </w:rPr>
        <w:t>národní referenční sazbu</w:t>
      </w:r>
      <w:r w:rsidRPr="43F396A4">
        <w:rPr>
          <w:rFonts w:cs="Calibri"/>
        </w:rPr>
        <w:t>. Tato sazba může být</w:t>
      </w:r>
      <w:r w:rsidR="00642D8C">
        <w:rPr>
          <w:rFonts w:cs="Calibri"/>
        </w:rPr>
        <w:t>:</w:t>
      </w:r>
      <w:r w:rsidRPr="43F396A4">
        <w:rPr>
          <w:rFonts w:cs="Calibri"/>
        </w:rPr>
        <w:t xml:space="preserve"> </w:t>
      </w:r>
    </w:p>
    <w:p w14:paraId="467BEDE5" w14:textId="77777777" w:rsidR="00B631F2" w:rsidRDefault="00B631F2" w:rsidP="00B631F2">
      <w:pPr>
        <w:spacing w:line="257" w:lineRule="auto"/>
      </w:pPr>
      <w:r w:rsidRPr="3618E6C2">
        <w:rPr>
          <w:rFonts w:cs="Calibri"/>
        </w:rPr>
        <w:t>(1) stanovená státem na národní úrovni (v národní legislativě je stanovená úroveň odměňování pro výzkumné pracovníky</w:t>
      </w:r>
      <w:r w:rsidR="009B66B5">
        <w:rPr>
          <w:rFonts w:cs="Calibri"/>
        </w:rPr>
        <w:t xml:space="preserve"> a </w:t>
      </w:r>
      <w:r w:rsidRPr="3618E6C2">
        <w:rPr>
          <w:rFonts w:cs="Calibri"/>
        </w:rPr>
        <w:t xml:space="preserve">pracovnice, což je situace například </w:t>
      </w:r>
      <w:r w:rsidR="000B5E5F">
        <w:rPr>
          <w:rFonts w:cs="Calibri"/>
        </w:rPr>
        <w:t xml:space="preserve">Maďarska, </w:t>
      </w:r>
      <w:r w:rsidRPr="3618E6C2">
        <w:rPr>
          <w:rFonts w:cs="Calibri"/>
        </w:rPr>
        <w:t>Rumunska či Slovinska, kdy legislativa určuje maximální limity</w:t>
      </w:r>
      <w:r w:rsidR="009B66B5">
        <w:rPr>
          <w:rFonts w:cs="Calibri"/>
        </w:rPr>
        <w:t xml:space="preserve"> a </w:t>
      </w:r>
      <w:r w:rsidRPr="3618E6C2">
        <w:rPr>
          <w:rFonts w:cs="Calibri"/>
        </w:rPr>
        <w:t xml:space="preserve">instituce následně tyto limity promítnou do vlastní interní směrnice), </w:t>
      </w:r>
    </w:p>
    <w:p w14:paraId="1B625557" w14:textId="77777777" w:rsidR="00B631F2" w:rsidRDefault="00B631F2" w:rsidP="00B631F2">
      <w:pPr>
        <w:spacing w:line="257" w:lineRule="auto"/>
      </w:pPr>
      <w:r w:rsidRPr="43F396A4">
        <w:rPr>
          <w:rFonts w:cs="Calibri"/>
        </w:rPr>
        <w:t xml:space="preserve">(2) stanovená interními směrnicemi konkrétní instituce (tato </w:t>
      </w:r>
      <w:r w:rsidRPr="43F396A4">
        <w:rPr>
          <w:rFonts w:cs="Calibri"/>
          <w:b/>
          <w:bCs/>
        </w:rPr>
        <w:t>směrnice musí být objektivní a</w:t>
      </w:r>
      <w:r w:rsidR="00ED5B4A">
        <w:rPr>
          <w:rFonts w:cs="Calibri"/>
          <w:b/>
          <w:bCs/>
        </w:rPr>
        <w:t> </w:t>
      </w:r>
      <w:r w:rsidRPr="43F396A4">
        <w:rPr>
          <w:rFonts w:cs="Calibri"/>
          <w:b/>
          <w:bCs/>
        </w:rPr>
        <w:t>aplikovatelná pro všechny výzkumné projekty</w:t>
      </w:r>
      <w:r w:rsidR="009B66B5">
        <w:rPr>
          <w:rFonts w:cs="Calibri"/>
          <w:b/>
          <w:bCs/>
        </w:rPr>
        <w:t xml:space="preserve"> a </w:t>
      </w:r>
      <w:r w:rsidRPr="43F396A4">
        <w:rPr>
          <w:rFonts w:cs="Calibri"/>
          <w:b/>
          <w:bCs/>
        </w:rPr>
        <w:t xml:space="preserve">poskytovatele, nejen pro </w:t>
      </w:r>
      <w:r w:rsidR="000B5E5F">
        <w:rPr>
          <w:rFonts w:cs="Calibri"/>
          <w:b/>
          <w:bCs/>
        </w:rPr>
        <w:t>RP</w:t>
      </w:r>
      <w:r w:rsidRPr="43F396A4">
        <w:rPr>
          <w:rFonts w:cs="Calibri"/>
        </w:rPr>
        <w:t>, což je situace</w:t>
      </w:r>
      <w:r w:rsidR="009B66B5">
        <w:rPr>
          <w:rFonts w:cs="Calibri"/>
        </w:rPr>
        <w:t xml:space="preserve"> v </w:t>
      </w:r>
      <w:r w:rsidRPr="43F396A4">
        <w:rPr>
          <w:rFonts w:cs="Calibri"/>
        </w:rPr>
        <w:t>řadě dalších států EU</w:t>
      </w:r>
      <w:r w:rsidR="00494F9E">
        <w:rPr>
          <w:rFonts w:cs="Calibri"/>
        </w:rPr>
        <w:t>-</w:t>
      </w:r>
      <w:r w:rsidRPr="43F396A4">
        <w:rPr>
          <w:rFonts w:cs="Calibri"/>
        </w:rPr>
        <w:t>13, např.</w:t>
      </w:r>
      <w:r w:rsidR="009B66B5">
        <w:rPr>
          <w:rFonts w:cs="Calibri"/>
        </w:rPr>
        <w:t xml:space="preserve"> v </w:t>
      </w:r>
      <w:r w:rsidRPr="43F396A4">
        <w:rPr>
          <w:rFonts w:cs="Calibri"/>
        </w:rPr>
        <w:t>řadě institucí</w:t>
      </w:r>
      <w:r w:rsidR="009B66B5">
        <w:rPr>
          <w:rFonts w:cs="Calibri"/>
        </w:rPr>
        <w:t xml:space="preserve"> z </w:t>
      </w:r>
      <w:r w:rsidRPr="43F396A4">
        <w:rPr>
          <w:rFonts w:cs="Calibri"/>
        </w:rPr>
        <w:t>Maďarska či Polska; touto cestou plánují jít do budoucna</w:t>
      </w:r>
      <w:r w:rsidR="009B66B5">
        <w:rPr>
          <w:rFonts w:cs="Calibri"/>
        </w:rPr>
        <w:t xml:space="preserve"> i </w:t>
      </w:r>
      <w:r w:rsidRPr="43F396A4">
        <w:rPr>
          <w:rFonts w:cs="Calibri"/>
        </w:rPr>
        <w:t>instituce na Slovensku či</w:t>
      </w:r>
      <w:r w:rsidR="009B66B5">
        <w:rPr>
          <w:rFonts w:cs="Calibri"/>
        </w:rPr>
        <w:t xml:space="preserve"> v </w:t>
      </w:r>
      <w:r w:rsidRPr="43F396A4">
        <w:rPr>
          <w:rFonts w:cs="Calibri"/>
        </w:rPr>
        <w:t>Litvě) nebo</w:t>
      </w:r>
    </w:p>
    <w:p w14:paraId="2670BAB5" w14:textId="77777777" w:rsidR="00B631F2" w:rsidRDefault="00B631F2" w:rsidP="00B631F2">
      <w:pPr>
        <w:spacing w:line="257" w:lineRule="auto"/>
      </w:pPr>
      <w:r w:rsidRPr="3618E6C2">
        <w:rPr>
          <w:rFonts w:cs="Calibri"/>
        </w:rPr>
        <w:t>(3) je nutné sazbu vypočíst na základě skutečných údajů</w:t>
      </w:r>
      <w:r w:rsidR="009B66B5">
        <w:rPr>
          <w:rFonts w:cs="Calibri"/>
        </w:rPr>
        <w:t xml:space="preserve"> z </w:t>
      </w:r>
      <w:r w:rsidRPr="3618E6C2">
        <w:rPr>
          <w:rFonts w:cs="Calibri"/>
        </w:rPr>
        <w:t xml:space="preserve">posledního uzavřeného kalendářního roku. </w:t>
      </w:r>
    </w:p>
    <w:p w14:paraId="4DB76BE6" w14:textId="77777777" w:rsidR="00B631F2" w:rsidRDefault="00B631F2" w:rsidP="00B631F2">
      <w:pPr>
        <w:spacing w:line="257" w:lineRule="auto"/>
      </w:pPr>
      <w:r w:rsidRPr="3618E6C2">
        <w:rPr>
          <w:rFonts w:cs="Calibri"/>
          <w:b/>
          <w:bCs/>
        </w:rPr>
        <w:t xml:space="preserve">V </w:t>
      </w:r>
      <w:r w:rsidR="000B5E5F">
        <w:rPr>
          <w:rFonts w:cs="Calibri"/>
          <w:b/>
          <w:bCs/>
        </w:rPr>
        <w:t>ČR</w:t>
      </w:r>
      <w:r w:rsidRPr="3618E6C2">
        <w:rPr>
          <w:rFonts w:cs="Calibri"/>
          <w:b/>
          <w:bCs/>
        </w:rPr>
        <w:t xml:space="preserve"> není úroveň odměňování stanovena národní legislativou</w:t>
      </w:r>
      <w:r w:rsidR="009B66B5">
        <w:rPr>
          <w:rFonts w:cs="Calibri"/>
          <w:b/>
          <w:bCs/>
        </w:rPr>
        <w:t xml:space="preserve"> a </w:t>
      </w:r>
      <w:r w:rsidRPr="3618E6C2">
        <w:rPr>
          <w:rFonts w:cs="Calibri"/>
          <w:b/>
          <w:bCs/>
        </w:rPr>
        <w:t>pravidla národních poskytovatelů jsou zároveň příliš komplexní na to, aby instituce mohly vytvořit</w:t>
      </w:r>
      <w:r w:rsidR="009B66B5">
        <w:rPr>
          <w:rFonts w:cs="Calibri"/>
          <w:b/>
          <w:bCs/>
        </w:rPr>
        <w:t xml:space="preserve"> a </w:t>
      </w:r>
      <w:r w:rsidRPr="3618E6C2">
        <w:rPr>
          <w:rFonts w:cs="Calibri"/>
          <w:b/>
          <w:bCs/>
        </w:rPr>
        <w:t>jednotně aplikovat interní směrnice stanovující konkrétní úroveň odměňování svých výzkumníků</w:t>
      </w:r>
      <w:r w:rsidR="009B66B5">
        <w:rPr>
          <w:rFonts w:cs="Calibri"/>
          <w:b/>
          <w:bCs/>
        </w:rPr>
        <w:t xml:space="preserve"> a </w:t>
      </w:r>
      <w:r w:rsidRPr="3618E6C2">
        <w:rPr>
          <w:rFonts w:cs="Calibri"/>
          <w:b/>
          <w:bCs/>
        </w:rPr>
        <w:t>výzkumnic,</w:t>
      </w:r>
      <w:r w:rsidR="009B66B5">
        <w:rPr>
          <w:rFonts w:cs="Calibri"/>
          <w:b/>
          <w:bCs/>
        </w:rPr>
        <w:t xml:space="preserve"> a </w:t>
      </w:r>
      <w:r w:rsidRPr="3618E6C2">
        <w:rPr>
          <w:rFonts w:cs="Calibri"/>
          <w:b/>
          <w:bCs/>
        </w:rPr>
        <w:t xml:space="preserve">tak se využívá výhradně třetí možnost. </w:t>
      </w:r>
      <w:r w:rsidRPr="3618E6C2">
        <w:rPr>
          <w:rFonts w:cs="Calibri"/>
        </w:rPr>
        <w:t>(Dalším možným důvo</w:t>
      </w:r>
      <w:r w:rsidR="00494F9E">
        <w:rPr>
          <w:rFonts w:cs="Calibri"/>
        </w:rPr>
        <w:t>dem absence interních směrnic</w:t>
      </w:r>
      <w:r w:rsidR="009B66B5">
        <w:rPr>
          <w:rFonts w:cs="Calibri"/>
        </w:rPr>
        <w:t xml:space="preserve"> v </w:t>
      </w:r>
      <w:r w:rsidRPr="3618E6C2">
        <w:rPr>
          <w:rFonts w:cs="Calibri"/>
        </w:rPr>
        <w:t>českých institucích může být</w:t>
      </w:r>
      <w:r w:rsidR="009B66B5">
        <w:rPr>
          <w:rFonts w:cs="Calibri"/>
        </w:rPr>
        <w:t xml:space="preserve"> i </w:t>
      </w:r>
      <w:r w:rsidRPr="3618E6C2">
        <w:rPr>
          <w:rFonts w:cs="Calibri"/>
        </w:rPr>
        <w:t>neochota institucí zavádět objektivní směr</w:t>
      </w:r>
      <w:r w:rsidRPr="3618E6C2">
        <w:rPr>
          <w:rFonts w:cs="Calibri"/>
        </w:rPr>
        <w:lastRenderedPageBreak/>
        <w:t>nice, které částečně omezují flexibilitu</w:t>
      </w:r>
      <w:r w:rsidR="009B66B5">
        <w:rPr>
          <w:rFonts w:cs="Calibri"/>
        </w:rPr>
        <w:t xml:space="preserve"> v </w:t>
      </w:r>
      <w:r w:rsidRPr="3618E6C2">
        <w:rPr>
          <w:rFonts w:cs="Calibri"/>
        </w:rPr>
        <w:t>rozdělování odměn na základě rozhodnutí managementu instituce</w:t>
      </w:r>
      <w:r w:rsidR="000B5E5F">
        <w:rPr>
          <w:rFonts w:cs="Calibri"/>
        </w:rPr>
        <w:t>, či jejich vysoká míra autonomie vůči orgánům státní správy, resp.</w:t>
      </w:r>
      <w:r w:rsidR="009B66B5">
        <w:rPr>
          <w:rFonts w:cs="Calibri"/>
        </w:rPr>
        <w:t xml:space="preserve"> i </w:t>
      </w:r>
      <w:r w:rsidR="000B5E5F">
        <w:rPr>
          <w:rFonts w:cs="Calibri"/>
        </w:rPr>
        <w:t>jejich zřizovateli</w:t>
      </w:r>
      <w:r w:rsidRPr="3618E6C2">
        <w:rPr>
          <w:rFonts w:cs="Calibri"/>
        </w:rPr>
        <w:t>.)</w:t>
      </w:r>
    </w:p>
    <w:p w14:paraId="10B32E99" w14:textId="77777777" w:rsidR="00B631F2" w:rsidRDefault="00B631F2" w:rsidP="00B631F2">
      <w:pPr>
        <w:spacing w:line="257" w:lineRule="auto"/>
      </w:pPr>
      <w:r w:rsidRPr="3618E6C2">
        <w:rPr>
          <w:rFonts w:cs="Calibri"/>
        </w:rPr>
        <w:t>Aby bylo možné nastavit transparentní interní pravidla odměňování</w:t>
      </w:r>
      <w:r w:rsidR="009B66B5">
        <w:rPr>
          <w:rFonts w:cs="Calibri"/>
        </w:rPr>
        <w:t xml:space="preserve"> v </w:t>
      </w:r>
      <w:r w:rsidRPr="3618E6C2">
        <w:rPr>
          <w:rFonts w:cs="Calibri"/>
        </w:rPr>
        <w:t xml:space="preserve">institucích, je nutná nejen </w:t>
      </w:r>
      <w:r w:rsidRPr="3618E6C2">
        <w:rPr>
          <w:rFonts w:cs="Calibri"/>
          <w:b/>
          <w:bCs/>
        </w:rPr>
        <w:t>ochota vedení institucí</w:t>
      </w:r>
      <w:r w:rsidRPr="3618E6C2">
        <w:rPr>
          <w:rFonts w:cs="Calibri"/>
        </w:rPr>
        <w:t>, ale především flexibilita</w:t>
      </w:r>
      <w:r w:rsidR="009B66B5">
        <w:rPr>
          <w:rFonts w:cs="Calibri"/>
        </w:rPr>
        <w:t xml:space="preserve"> s </w:t>
      </w:r>
      <w:r w:rsidRPr="3618E6C2">
        <w:rPr>
          <w:rFonts w:cs="Calibri"/>
        </w:rPr>
        <w:t xml:space="preserve">ohledem na </w:t>
      </w:r>
      <w:r w:rsidRPr="3618E6C2">
        <w:rPr>
          <w:rFonts w:cs="Calibri"/>
          <w:b/>
          <w:bCs/>
        </w:rPr>
        <w:t>pravidla</w:t>
      </w:r>
      <w:r w:rsidR="009B66B5">
        <w:rPr>
          <w:rFonts w:cs="Calibri"/>
          <w:b/>
          <w:bCs/>
        </w:rPr>
        <w:t xml:space="preserve"> a </w:t>
      </w:r>
      <w:r w:rsidRPr="3618E6C2">
        <w:rPr>
          <w:rFonts w:cs="Calibri"/>
          <w:b/>
          <w:bCs/>
        </w:rPr>
        <w:t>požadavky národních poskytovatelů</w:t>
      </w:r>
      <w:r w:rsidR="00494F9E">
        <w:rPr>
          <w:rFonts w:cs="Calibri"/>
          <w:b/>
          <w:bCs/>
        </w:rPr>
        <w:t>, tak</w:t>
      </w:r>
      <w:r w:rsidRPr="3618E6C2">
        <w:rPr>
          <w:rFonts w:cs="Calibri"/>
          <w:b/>
          <w:bCs/>
        </w:rPr>
        <w:t xml:space="preserve"> aby poskytovatelé respektovali výši odměňování nastavenou interními směrnicemi konkrétní instituce</w:t>
      </w:r>
      <w:r w:rsidRPr="3618E6C2">
        <w:rPr>
          <w:rFonts w:cs="Calibri"/>
        </w:rPr>
        <w:t>. Komunikace</w:t>
      </w:r>
      <w:r w:rsidR="009B66B5">
        <w:rPr>
          <w:rFonts w:cs="Calibri"/>
        </w:rPr>
        <w:t xml:space="preserve"> a </w:t>
      </w:r>
      <w:r w:rsidRPr="3618E6C2">
        <w:rPr>
          <w:rFonts w:cs="Calibri"/>
        </w:rPr>
        <w:t>spolupráce</w:t>
      </w:r>
      <w:r w:rsidR="009B66B5">
        <w:rPr>
          <w:rFonts w:cs="Calibri"/>
        </w:rPr>
        <w:t xml:space="preserve"> s </w:t>
      </w:r>
      <w:r w:rsidRPr="3618E6C2">
        <w:rPr>
          <w:rFonts w:cs="Calibri"/>
        </w:rPr>
        <w:t>národními poskytovateli</w:t>
      </w:r>
      <w:r w:rsidR="009B66B5">
        <w:rPr>
          <w:rFonts w:cs="Calibri"/>
        </w:rPr>
        <w:t xml:space="preserve"> a </w:t>
      </w:r>
      <w:r w:rsidRPr="3618E6C2">
        <w:rPr>
          <w:rFonts w:cs="Calibri"/>
        </w:rPr>
        <w:t>mezi národními poskytovateli navzájem je</w:t>
      </w:r>
      <w:r w:rsidR="009B66B5">
        <w:rPr>
          <w:rFonts w:cs="Calibri"/>
        </w:rPr>
        <w:t xml:space="preserve"> v </w:t>
      </w:r>
      <w:r w:rsidRPr="3618E6C2">
        <w:rPr>
          <w:rFonts w:cs="Calibri"/>
        </w:rPr>
        <w:t xml:space="preserve">tomto ohledu zásadní. </w:t>
      </w:r>
    </w:p>
    <w:p w14:paraId="450F6778" w14:textId="77777777" w:rsidR="00B631F2" w:rsidRDefault="00B631F2" w:rsidP="00B631F2">
      <w:pPr>
        <w:spacing w:line="257" w:lineRule="auto"/>
      </w:pPr>
      <w:r w:rsidRPr="3618E6C2">
        <w:rPr>
          <w:rFonts w:cs="Calibri"/>
        </w:rPr>
        <w:t xml:space="preserve">Technologické centrum </w:t>
      </w:r>
      <w:r w:rsidR="000B5E5F">
        <w:rPr>
          <w:rFonts w:cs="Calibri"/>
        </w:rPr>
        <w:t>AV</w:t>
      </w:r>
      <w:r w:rsidR="002D7AEF">
        <w:rPr>
          <w:rFonts w:cs="Calibri"/>
        </w:rPr>
        <w:t xml:space="preserve"> </w:t>
      </w:r>
      <w:r w:rsidR="000B5E5F">
        <w:rPr>
          <w:rFonts w:cs="Calibri"/>
        </w:rPr>
        <w:t xml:space="preserve">ČR </w:t>
      </w:r>
      <w:r w:rsidRPr="3618E6C2">
        <w:rPr>
          <w:rFonts w:cs="Calibri"/>
        </w:rPr>
        <w:t>již</w:t>
      </w:r>
      <w:r w:rsidR="009B66B5">
        <w:rPr>
          <w:rFonts w:cs="Calibri"/>
        </w:rPr>
        <w:t xml:space="preserve"> v </w:t>
      </w:r>
      <w:r w:rsidRPr="3618E6C2">
        <w:rPr>
          <w:rFonts w:cs="Calibri"/>
        </w:rPr>
        <w:t xml:space="preserve">minulosti organizovalo </w:t>
      </w:r>
      <w:r w:rsidRPr="3618E6C2">
        <w:rPr>
          <w:rFonts w:cs="Calibri"/>
          <w:b/>
          <w:bCs/>
        </w:rPr>
        <w:t>ve spolupráci se skupinou PES</w:t>
      </w:r>
      <w:r w:rsidR="009B66B5">
        <w:rPr>
          <w:rFonts w:cs="Calibri"/>
          <w:b/>
          <w:bCs/>
        </w:rPr>
        <w:t xml:space="preserve"> a </w:t>
      </w:r>
      <w:r w:rsidRPr="3618E6C2">
        <w:rPr>
          <w:rFonts w:cs="Calibri"/>
          <w:b/>
          <w:bCs/>
        </w:rPr>
        <w:t>pracovní skupinou RVVI pro de-byrokratizaci kulatý stůl</w:t>
      </w:r>
      <w:r w:rsidR="009B66B5">
        <w:rPr>
          <w:rFonts w:cs="Calibri"/>
          <w:b/>
          <w:bCs/>
        </w:rPr>
        <w:t xml:space="preserve"> k </w:t>
      </w:r>
      <w:r w:rsidRPr="3618E6C2">
        <w:rPr>
          <w:rFonts w:cs="Calibri"/>
          <w:b/>
          <w:bCs/>
        </w:rPr>
        <w:t>tématu „Osobní náklady</w:t>
      </w:r>
      <w:r w:rsidR="009B66B5">
        <w:rPr>
          <w:rFonts w:cs="Calibri"/>
          <w:b/>
          <w:bCs/>
        </w:rPr>
        <w:t xml:space="preserve"> v </w:t>
      </w:r>
      <w:r w:rsidRPr="3618E6C2">
        <w:rPr>
          <w:rFonts w:cs="Calibri"/>
          <w:b/>
          <w:bCs/>
        </w:rPr>
        <w:t>projektech účelové podpory VVI“ (20.</w:t>
      </w:r>
      <w:r w:rsidR="00494F9E">
        <w:rPr>
          <w:rFonts w:cs="Calibri"/>
          <w:b/>
          <w:bCs/>
        </w:rPr>
        <w:t xml:space="preserve"> </w:t>
      </w:r>
      <w:r w:rsidRPr="3618E6C2">
        <w:rPr>
          <w:rFonts w:cs="Calibri"/>
          <w:b/>
          <w:bCs/>
        </w:rPr>
        <w:t>9.</w:t>
      </w:r>
      <w:r w:rsidR="00494F9E">
        <w:rPr>
          <w:rFonts w:cs="Calibri"/>
          <w:b/>
          <w:bCs/>
        </w:rPr>
        <w:t xml:space="preserve"> </w:t>
      </w:r>
      <w:r w:rsidRPr="3618E6C2">
        <w:rPr>
          <w:rFonts w:cs="Calibri"/>
          <w:b/>
          <w:bCs/>
        </w:rPr>
        <w:t>2019).</w:t>
      </w:r>
      <w:r w:rsidRPr="3618E6C2">
        <w:rPr>
          <w:rFonts w:cs="Calibri"/>
        </w:rPr>
        <w:t xml:space="preserve"> Zde se sešli zástupci příjemců, poskytovatelů</w:t>
      </w:r>
      <w:r w:rsidR="009B66B5">
        <w:rPr>
          <w:rFonts w:cs="Calibri"/>
        </w:rPr>
        <w:t xml:space="preserve"> i </w:t>
      </w:r>
      <w:r w:rsidRPr="3618E6C2">
        <w:rPr>
          <w:rFonts w:cs="Calibri"/>
        </w:rPr>
        <w:t>RVVI</w:t>
      </w:r>
      <w:r w:rsidR="009B66B5">
        <w:rPr>
          <w:rFonts w:cs="Calibri"/>
        </w:rPr>
        <w:t xml:space="preserve"> a </w:t>
      </w:r>
      <w:r w:rsidRPr="3618E6C2">
        <w:rPr>
          <w:rFonts w:cs="Calibri"/>
        </w:rPr>
        <w:t xml:space="preserve">Technologického centra AV ČR. </w:t>
      </w:r>
    </w:p>
    <w:p w14:paraId="7B012FCC" w14:textId="77777777" w:rsidR="00B631F2" w:rsidRDefault="00B631F2" w:rsidP="00B631F2">
      <w:pPr>
        <w:spacing w:line="257" w:lineRule="auto"/>
        <w:rPr>
          <w:rFonts w:cs="Calibri"/>
        </w:rPr>
      </w:pPr>
      <w:r w:rsidRPr="43F396A4">
        <w:rPr>
          <w:rFonts w:cs="Calibri"/>
        </w:rPr>
        <w:t>Ze závěrů setkání vyplývá, že nejednotnost přístupu poskytovatelů ke stanovení výše způsobilých osobních nákladů</w:t>
      </w:r>
      <w:r w:rsidR="009B66B5">
        <w:rPr>
          <w:rFonts w:cs="Calibri"/>
        </w:rPr>
        <w:t xml:space="preserve"> v </w:t>
      </w:r>
      <w:r w:rsidRPr="43F396A4">
        <w:rPr>
          <w:rFonts w:cs="Calibri"/>
        </w:rPr>
        <w:t xml:space="preserve">projektech účelové podpory způsobuje </w:t>
      </w:r>
      <w:r w:rsidRPr="43F396A4">
        <w:rPr>
          <w:rFonts w:cs="Calibri"/>
          <w:b/>
          <w:bCs/>
        </w:rPr>
        <w:t>zvýšenou administrativní</w:t>
      </w:r>
      <w:r w:rsidR="009B66B5">
        <w:rPr>
          <w:rFonts w:cs="Calibri"/>
          <w:b/>
          <w:bCs/>
        </w:rPr>
        <w:t xml:space="preserve"> i </w:t>
      </w:r>
      <w:r w:rsidRPr="43F396A4">
        <w:rPr>
          <w:rFonts w:cs="Calibri"/>
          <w:b/>
          <w:bCs/>
        </w:rPr>
        <w:t>finanční zátěž</w:t>
      </w:r>
      <w:r w:rsidRPr="43F396A4">
        <w:rPr>
          <w:rFonts w:cs="Calibri"/>
        </w:rPr>
        <w:t xml:space="preserve"> výzkumných organizací</w:t>
      </w:r>
      <w:r w:rsidR="00494F9E">
        <w:rPr>
          <w:rFonts w:cs="Calibri"/>
        </w:rPr>
        <w:t xml:space="preserve"> </w:t>
      </w:r>
      <w:r w:rsidRPr="43F396A4">
        <w:rPr>
          <w:rFonts w:cs="Calibri"/>
        </w:rPr>
        <w:t>/</w:t>
      </w:r>
      <w:r w:rsidR="00494F9E">
        <w:rPr>
          <w:rFonts w:cs="Calibri"/>
        </w:rPr>
        <w:t xml:space="preserve"> </w:t>
      </w:r>
      <w:r w:rsidRPr="43F396A4">
        <w:rPr>
          <w:rFonts w:cs="Calibri"/>
        </w:rPr>
        <w:t>příjemců podpory</w:t>
      </w:r>
      <w:r w:rsidR="009B66B5">
        <w:rPr>
          <w:rFonts w:cs="Calibri"/>
        </w:rPr>
        <w:t xml:space="preserve"> a </w:t>
      </w:r>
      <w:r w:rsidRPr="43F396A4">
        <w:rPr>
          <w:rFonts w:cs="Calibri"/>
          <w:b/>
          <w:bCs/>
        </w:rPr>
        <w:t>znemožňuje vytvoření interních pravidel příjemce</w:t>
      </w:r>
      <w:r w:rsidRPr="43F396A4">
        <w:rPr>
          <w:rFonts w:cs="Calibri"/>
        </w:rPr>
        <w:t>, která by jednotně definovala úroveň odměňování</w:t>
      </w:r>
      <w:r w:rsidR="009B66B5">
        <w:rPr>
          <w:rFonts w:cs="Calibri"/>
        </w:rPr>
        <w:t xml:space="preserve"> v </w:t>
      </w:r>
      <w:r w:rsidRPr="43F396A4">
        <w:rPr>
          <w:rFonts w:cs="Calibri"/>
        </w:rPr>
        <w:t>projektech financovaných</w:t>
      </w:r>
      <w:r w:rsidR="009B66B5">
        <w:rPr>
          <w:rFonts w:cs="Calibri"/>
        </w:rPr>
        <w:t xml:space="preserve"> z </w:t>
      </w:r>
      <w:r w:rsidRPr="43F396A4">
        <w:rPr>
          <w:rFonts w:cs="Calibri"/>
        </w:rPr>
        <w:t>národních grantů</w:t>
      </w:r>
      <w:r w:rsidR="00494F9E">
        <w:rPr>
          <w:rFonts w:cs="Calibri"/>
        </w:rPr>
        <w:t>,</w:t>
      </w:r>
      <w:r w:rsidR="009B66B5">
        <w:rPr>
          <w:rFonts w:cs="Calibri"/>
        </w:rPr>
        <w:t xml:space="preserve"> a </w:t>
      </w:r>
      <w:r w:rsidRPr="43F396A4">
        <w:rPr>
          <w:rFonts w:cs="Calibri"/>
        </w:rPr>
        <w:t>byla tak jednoduše využitelná</w:t>
      </w:r>
      <w:r w:rsidR="009B66B5">
        <w:rPr>
          <w:rFonts w:cs="Calibri"/>
        </w:rPr>
        <w:t xml:space="preserve"> i v </w:t>
      </w:r>
      <w:r w:rsidRPr="43F396A4">
        <w:rPr>
          <w:rFonts w:cs="Calibri"/>
        </w:rPr>
        <w:t xml:space="preserve">projektech </w:t>
      </w:r>
      <w:r w:rsidR="000B5E5F">
        <w:rPr>
          <w:rFonts w:cs="Calibri"/>
        </w:rPr>
        <w:t>RP.</w:t>
      </w:r>
      <w:r w:rsidRPr="43F396A4">
        <w:rPr>
          <w:rFonts w:cs="Calibri"/>
        </w:rPr>
        <w:t xml:space="preserve"> </w:t>
      </w:r>
      <w:r w:rsidR="6CA34851" w:rsidRPr="09F46A13">
        <w:rPr>
          <w:rFonts w:cs="Calibri"/>
        </w:rPr>
        <w:t xml:space="preserve"> </w:t>
      </w:r>
    </w:p>
    <w:p w14:paraId="779390B4" w14:textId="77777777" w:rsidR="00B631F2" w:rsidRDefault="00B631F2" w:rsidP="00B631F2">
      <w:pPr>
        <w:spacing w:line="257" w:lineRule="auto"/>
        <w:rPr>
          <w:rFonts w:cs="Calibri"/>
        </w:rPr>
      </w:pPr>
      <w:r w:rsidRPr="3618E6C2">
        <w:rPr>
          <w:rFonts w:cs="Calibri"/>
        </w:rPr>
        <w:t>Z diskuse</w:t>
      </w:r>
      <w:r w:rsidR="009B66B5">
        <w:rPr>
          <w:rFonts w:cs="Calibri"/>
        </w:rPr>
        <w:t xml:space="preserve"> a </w:t>
      </w:r>
      <w:r w:rsidRPr="3618E6C2">
        <w:rPr>
          <w:rFonts w:cs="Calibri"/>
        </w:rPr>
        <w:t xml:space="preserve">závěrů kulatého stolu dále vyplývá, že </w:t>
      </w:r>
      <w:bookmarkStart w:id="74" w:name="_Hlk113021063"/>
      <w:r w:rsidRPr="3618E6C2">
        <w:rPr>
          <w:rFonts w:cs="Calibri"/>
        </w:rPr>
        <w:t xml:space="preserve">jak pro poskytovatele, tak pro příjemce by bylo dobré, aby </w:t>
      </w:r>
      <w:r w:rsidRPr="3618E6C2">
        <w:rPr>
          <w:rFonts w:cs="Calibri"/>
          <w:b/>
          <w:bCs/>
        </w:rPr>
        <w:t>všichni poskytovatelé shodně nastavovali pravidla uznatelnosti osobních nákladů</w:t>
      </w:r>
      <w:r w:rsidR="009B66B5">
        <w:rPr>
          <w:rFonts w:cs="Calibri"/>
        </w:rPr>
        <w:t xml:space="preserve"> v </w:t>
      </w:r>
      <w:r w:rsidRPr="3618E6C2">
        <w:rPr>
          <w:rFonts w:cs="Calibri"/>
        </w:rPr>
        <w:t xml:space="preserve">projektech účelové </w:t>
      </w:r>
      <w:r w:rsidRPr="22EFA289">
        <w:rPr>
          <w:rFonts w:cs="Calibri"/>
        </w:rPr>
        <w:t xml:space="preserve">podpory. </w:t>
      </w:r>
      <w:bookmarkEnd w:id="74"/>
      <w:r w:rsidRPr="22EFA289">
        <w:rPr>
          <w:rFonts w:cs="Calibri"/>
        </w:rPr>
        <w:t>Ruku</w:t>
      </w:r>
      <w:r w:rsidR="009B66B5">
        <w:rPr>
          <w:rFonts w:cs="Calibri"/>
        </w:rPr>
        <w:t xml:space="preserve"> v </w:t>
      </w:r>
      <w:r w:rsidRPr="22EFA289">
        <w:rPr>
          <w:rFonts w:cs="Calibri"/>
        </w:rPr>
        <w:t>ruce</w:t>
      </w:r>
      <w:r w:rsidR="009B66B5">
        <w:rPr>
          <w:rFonts w:cs="Calibri"/>
        </w:rPr>
        <w:t xml:space="preserve"> s </w:t>
      </w:r>
      <w:r w:rsidRPr="22EFA289">
        <w:rPr>
          <w:rFonts w:cs="Calibri"/>
        </w:rPr>
        <w:t>tím by měl jít také shodný způsob kontroly (např. akceptace směrnic</w:t>
      </w:r>
      <w:r w:rsidRPr="3618E6C2">
        <w:rPr>
          <w:rFonts w:cs="Calibri"/>
        </w:rPr>
        <w:t>, kontrola dodržení pravidel 3E</w:t>
      </w:r>
      <w:r w:rsidR="009B66B5">
        <w:rPr>
          <w:rFonts w:cs="Calibri"/>
        </w:rPr>
        <w:t xml:space="preserve"> a </w:t>
      </w:r>
      <w:r w:rsidRPr="3618E6C2">
        <w:rPr>
          <w:rFonts w:cs="Calibri"/>
        </w:rPr>
        <w:t>zákoníku práce – za stejnou práci stejná odměna).</w:t>
      </w:r>
    </w:p>
    <w:p w14:paraId="7323434C" w14:textId="77777777" w:rsidR="00B631F2" w:rsidRDefault="00B631F2" w:rsidP="00B631F2">
      <w:pPr>
        <w:spacing w:line="257" w:lineRule="auto"/>
      </w:pPr>
      <w:r w:rsidRPr="43F396A4">
        <w:rPr>
          <w:rFonts w:cs="Calibri"/>
        </w:rPr>
        <w:t xml:space="preserve">Nejvíce konsensuálním řešením se jeví </w:t>
      </w:r>
      <w:r w:rsidRPr="43F396A4">
        <w:rPr>
          <w:rFonts w:cs="Calibri"/>
          <w:b/>
          <w:bCs/>
        </w:rPr>
        <w:t>určení výše způsobilých osobních nákladů dle interních pravidel příjemce</w:t>
      </w:r>
      <w:r w:rsidRPr="43F396A4">
        <w:rPr>
          <w:rFonts w:cs="Calibri"/>
        </w:rPr>
        <w:t xml:space="preserve">. Tato varianta samozřejmě ale znamená, že </w:t>
      </w:r>
      <w:r w:rsidRPr="43F396A4">
        <w:rPr>
          <w:rFonts w:cs="Calibri"/>
          <w:b/>
          <w:bCs/>
        </w:rPr>
        <w:t xml:space="preserve">příjemci </w:t>
      </w:r>
      <w:r>
        <w:rPr>
          <w:rFonts w:cs="Calibri"/>
          <w:b/>
          <w:bCs/>
        </w:rPr>
        <w:t xml:space="preserve">již </w:t>
      </w:r>
      <w:r w:rsidRPr="43F396A4">
        <w:rPr>
          <w:rFonts w:cs="Calibri"/>
          <w:b/>
          <w:bCs/>
        </w:rPr>
        <w:t>mají příslušné interní předpisy</w:t>
      </w:r>
      <w:r>
        <w:rPr>
          <w:rFonts w:cs="Calibri"/>
          <w:b/>
          <w:bCs/>
        </w:rPr>
        <w:t xml:space="preserve"> </w:t>
      </w:r>
      <w:r w:rsidRPr="00381425">
        <w:rPr>
          <w:rFonts w:cs="Calibri"/>
        </w:rPr>
        <w:t>(což není současná praxe</w:t>
      </w:r>
      <w:r w:rsidR="009B66B5">
        <w:rPr>
          <w:rFonts w:cs="Calibri"/>
        </w:rPr>
        <w:t xml:space="preserve"> v </w:t>
      </w:r>
      <w:r w:rsidRPr="00381425">
        <w:rPr>
          <w:rFonts w:cs="Calibri"/>
        </w:rPr>
        <w:t>ČR)</w:t>
      </w:r>
      <w:r w:rsidR="00280F9E">
        <w:rPr>
          <w:rFonts w:cs="Calibri"/>
        </w:rPr>
        <w:t>,</w:t>
      </w:r>
      <w:r w:rsidR="002D7AEF">
        <w:rPr>
          <w:rFonts w:cs="Calibri"/>
          <w:b/>
          <w:bCs/>
        </w:rPr>
        <w:t xml:space="preserve"> a </w:t>
      </w:r>
      <w:r w:rsidRPr="001C1339">
        <w:rPr>
          <w:rFonts w:cs="Calibri"/>
        </w:rPr>
        <w:t>nese tak</w:t>
      </w:r>
      <w:r w:rsidR="009B66B5">
        <w:rPr>
          <w:rFonts w:cs="Calibri"/>
        </w:rPr>
        <w:t xml:space="preserve"> s </w:t>
      </w:r>
      <w:r w:rsidRPr="001C1339">
        <w:rPr>
          <w:rFonts w:cs="Calibri"/>
        </w:rPr>
        <w:t>sebou potřebu</w:t>
      </w:r>
      <w:r>
        <w:rPr>
          <w:rFonts w:cs="Calibri"/>
          <w:b/>
          <w:bCs/>
        </w:rPr>
        <w:t xml:space="preserve"> vytvoření těchto předpisů institucemi příjemců</w:t>
      </w:r>
      <w:r w:rsidR="00280F9E">
        <w:rPr>
          <w:rFonts w:cs="Calibri"/>
          <w:b/>
          <w:bCs/>
        </w:rPr>
        <w:t>.</w:t>
      </w:r>
    </w:p>
    <w:p w14:paraId="2AD9A8D5" w14:textId="77777777" w:rsidR="00B631F2" w:rsidRDefault="00B631F2" w:rsidP="00B631F2">
      <w:pPr>
        <w:spacing w:line="257" w:lineRule="auto"/>
      </w:pPr>
      <w:r w:rsidRPr="3618E6C2">
        <w:rPr>
          <w:rFonts w:cs="Calibri"/>
        </w:rPr>
        <w:t xml:space="preserve">Výstupy této diskuse by měly být </w:t>
      </w:r>
      <w:r w:rsidRPr="3618E6C2">
        <w:rPr>
          <w:rFonts w:cs="Calibri"/>
          <w:b/>
          <w:bCs/>
        </w:rPr>
        <w:t xml:space="preserve">promítnuty do </w:t>
      </w:r>
      <w:r w:rsidRPr="04BC4D88">
        <w:rPr>
          <w:rFonts w:cs="Calibri"/>
          <w:b/>
          <w:bCs/>
        </w:rPr>
        <w:t>konkrétních</w:t>
      </w:r>
      <w:r w:rsidRPr="3618E6C2">
        <w:rPr>
          <w:rFonts w:cs="Calibri"/>
          <w:b/>
          <w:bCs/>
        </w:rPr>
        <w:t xml:space="preserve"> kroků vlády</w:t>
      </w:r>
      <w:r w:rsidRPr="00A239CE">
        <w:rPr>
          <w:rFonts w:cs="Calibri"/>
          <w:b/>
          <w:bCs/>
        </w:rPr>
        <w:t xml:space="preserve"> </w:t>
      </w:r>
      <w:r w:rsidR="000B5E5F" w:rsidRPr="00A239CE">
        <w:rPr>
          <w:rFonts w:cs="Calibri"/>
          <w:b/>
          <w:bCs/>
        </w:rPr>
        <w:t>ČR</w:t>
      </w:r>
      <w:r w:rsidR="000B5E5F">
        <w:rPr>
          <w:rFonts w:cs="Calibri"/>
        </w:rPr>
        <w:t xml:space="preserve"> </w:t>
      </w:r>
      <w:r w:rsidRPr="3618E6C2">
        <w:rPr>
          <w:rFonts w:cs="Calibri"/>
        </w:rPr>
        <w:t>(např. podzákonná opatření)</w:t>
      </w:r>
      <w:r w:rsidR="002D7AEF">
        <w:rPr>
          <w:rFonts w:cs="Calibri"/>
        </w:rPr>
        <w:t xml:space="preserve"> a</w:t>
      </w:r>
      <w:r w:rsidRPr="3618E6C2">
        <w:rPr>
          <w:rFonts w:cs="Calibri"/>
        </w:rPr>
        <w:t xml:space="preserve"> pravidel poskytovatelů by měla obecně probíhat za </w:t>
      </w:r>
      <w:r w:rsidRPr="0696246C">
        <w:rPr>
          <w:rFonts w:cs="Calibri"/>
          <w:b/>
        </w:rPr>
        <w:t xml:space="preserve">vzájemné </w:t>
      </w:r>
      <w:r w:rsidRPr="3618E6C2">
        <w:rPr>
          <w:rFonts w:cs="Calibri"/>
          <w:b/>
          <w:bCs/>
        </w:rPr>
        <w:t>spolupráce</w:t>
      </w:r>
      <w:r w:rsidRPr="3618E6C2">
        <w:rPr>
          <w:rFonts w:cs="Calibri"/>
        </w:rPr>
        <w:t xml:space="preserve"> </w:t>
      </w:r>
      <w:r w:rsidRPr="3848CE07">
        <w:rPr>
          <w:rFonts w:cs="Calibri"/>
          <w:b/>
        </w:rPr>
        <w:t>poskytovatelů, příjemců</w:t>
      </w:r>
      <w:r w:rsidR="009B66B5">
        <w:rPr>
          <w:rFonts w:cs="Calibri"/>
          <w:b/>
        </w:rPr>
        <w:t xml:space="preserve"> i </w:t>
      </w:r>
      <w:r w:rsidRPr="3848CE07">
        <w:rPr>
          <w:rFonts w:cs="Calibri"/>
          <w:b/>
        </w:rPr>
        <w:t>RVVI</w:t>
      </w:r>
      <w:r w:rsidRPr="3618E6C2">
        <w:rPr>
          <w:rFonts w:cs="Calibri"/>
        </w:rPr>
        <w:t>. Zlepšení pravidel by jistě pomohla</w:t>
      </w:r>
      <w:r w:rsidR="009B66B5">
        <w:rPr>
          <w:rFonts w:cs="Calibri"/>
        </w:rPr>
        <w:t xml:space="preserve"> i </w:t>
      </w:r>
      <w:r w:rsidRPr="2EF91AA1">
        <w:rPr>
          <w:rFonts w:cs="Calibri"/>
          <w:b/>
        </w:rPr>
        <w:t>průběžná konzultace se zástupci</w:t>
      </w:r>
      <w:r w:rsidR="009B66B5">
        <w:rPr>
          <w:rFonts w:cs="Calibri"/>
          <w:b/>
        </w:rPr>
        <w:t xml:space="preserve"> z </w:t>
      </w:r>
      <w:r w:rsidRPr="2EF91AA1">
        <w:rPr>
          <w:rFonts w:cs="Calibri"/>
          <w:b/>
        </w:rPr>
        <w:t>řad kontrolních orgánů</w:t>
      </w:r>
      <w:r w:rsidRPr="3618E6C2">
        <w:rPr>
          <w:rFonts w:cs="Calibri"/>
        </w:rPr>
        <w:t>, která je</w:t>
      </w:r>
      <w:r w:rsidR="009B66B5">
        <w:rPr>
          <w:rFonts w:cs="Calibri"/>
        </w:rPr>
        <w:t xml:space="preserve"> z </w:t>
      </w:r>
      <w:r w:rsidRPr="3618E6C2">
        <w:rPr>
          <w:rFonts w:cs="Calibri"/>
        </w:rPr>
        <w:t>hlediska vybraných poskytovatelů nutnou podmínkou. Organizace kulatých stolů</w:t>
      </w:r>
      <w:r w:rsidR="009B66B5">
        <w:rPr>
          <w:rFonts w:cs="Calibri"/>
        </w:rPr>
        <w:t xml:space="preserve"> a </w:t>
      </w:r>
      <w:r w:rsidRPr="3618E6C2">
        <w:rPr>
          <w:rFonts w:cs="Calibri"/>
        </w:rPr>
        <w:t>diskuse RVVI</w:t>
      </w:r>
      <w:r w:rsidR="009B66B5">
        <w:rPr>
          <w:rFonts w:cs="Calibri"/>
        </w:rPr>
        <w:t xml:space="preserve"> s </w:t>
      </w:r>
      <w:r w:rsidRPr="3618E6C2">
        <w:rPr>
          <w:rFonts w:cs="Calibri"/>
        </w:rPr>
        <w:t>poskytovateli</w:t>
      </w:r>
      <w:r w:rsidR="009B66B5">
        <w:rPr>
          <w:rFonts w:cs="Calibri"/>
        </w:rPr>
        <w:t xml:space="preserve"> a </w:t>
      </w:r>
      <w:r w:rsidRPr="3618E6C2">
        <w:rPr>
          <w:rFonts w:cs="Calibri"/>
        </w:rPr>
        <w:t xml:space="preserve">příjemci by dále </w:t>
      </w:r>
      <w:r w:rsidRPr="13650034">
        <w:rPr>
          <w:rFonts w:cs="Calibri"/>
        </w:rPr>
        <w:t>měly</w:t>
      </w:r>
      <w:r w:rsidRPr="3618E6C2">
        <w:rPr>
          <w:rFonts w:cs="Calibri"/>
        </w:rPr>
        <w:t xml:space="preserve"> pokračovat. </w:t>
      </w:r>
    </w:p>
    <w:p w14:paraId="7B2EAE58" w14:textId="77777777" w:rsidR="00B631F2" w:rsidRDefault="00B631F2" w:rsidP="00B631F2">
      <w:pPr>
        <w:spacing w:line="257" w:lineRule="auto"/>
        <w:rPr>
          <w:rFonts w:cs="Calibri"/>
          <w:highlight w:val="yellow"/>
        </w:rPr>
      </w:pPr>
      <w:r w:rsidRPr="43F396A4">
        <w:rPr>
          <w:rFonts w:cs="Calibri"/>
          <w:b/>
          <w:bCs/>
        </w:rPr>
        <w:t xml:space="preserve">Technologické centrum </w:t>
      </w:r>
      <w:r w:rsidR="000B5E5F">
        <w:rPr>
          <w:rFonts w:cs="Calibri"/>
          <w:b/>
          <w:bCs/>
        </w:rPr>
        <w:t>AV</w:t>
      </w:r>
      <w:r w:rsidR="00C853D7">
        <w:rPr>
          <w:rFonts w:cs="Calibri"/>
          <w:b/>
          <w:bCs/>
        </w:rPr>
        <w:t xml:space="preserve"> </w:t>
      </w:r>
      <w:r w:rsidR="000B5E5F">
        <w:rPr>
          <w:rFonts w:cs="Calibri"/>
          <w:b/>
          <w:bCs/>
        </w:rPr>
        <w:t xml:space="preserve">ČR </w:t>
      </w:r>
      <w:r w:rsidRPr="43F396A4">
        <w:rPr>
          <w:rFonts w:cs="Calibri"/>
          <w:b/>
          <w:bCs/>
        </w:rPr>
        <w:t>je připravené organizačně</w:t>
      </w:r>
      <w:r w:rsidR="009B66B5">
        <w:rPr>
          <w:rFonts w:cs="Calibri"/>
          <w:b/>
          <w:bCs/>
        </w:rPr>
        <w:t xml:space="preserve"> a </w:t>
      </w:r>
      <w:r w:rsidRPr="43F396A4">
        <w:rPr>
          <w:rFonts w:cs="Calibri"/>
          <w:b/>
          <w:bCs/>
        </w:rPr>
        <w:t>odborně zaštítit další taková setkání, případě spolupracovat</w:t>
      </w:r>
      <w:r w:rsidR="009B66B5">
        <w:rPr>
          <w:rFonts w:cs="Calibri"/>
          <w:b/>
          <w:bCs/>
        </w:rPr>
        <w:t xml:space="preserve"> s </w:t>
      </w:r>
      <w:r w:rsidRPr="43F396A4">
        <w:rPr>
          <w:rFonts w:cs="Calibri"/>
          <w:b/>
          <w:bCs/>
        </w:rPr>
        <w:t>RVVI, poskytovateli</w:t>
      </w:r>
      <w:r w:rsidR="009B66B5">
        <w:rPr>
          <w:rFonts w:cs="Calibri"/>
          <w:b/>
          <w:bCs/>
        </w:rPr>
        <w:t xml:space="preserve"> i </w:t>
      </w:r>
      <w:r w:rsidRPr="43F396A4">
        <w:rPr>
          <w:rFonts w:cs="Calibri"/>
          <w:b/>
          <w:bCs/>
        </w:rPr>
        <w:t>příjemci na jiné platformě.</w:t>
      </w:r>
      <w:r w:rsidRPr="43F396A4">
        <w:rPr>
          <w:rFonts w:cs="Calibri"/>
        </w:rPr>
        <w:t xml:space="preserve"> Jako účelné se nabízí</w:t>
      </w:r>
      <w:r w:rsidR="009B66B5">
        <w:rPr>
          <w:rFonts w:cs="Calibri"/>
        </w:rPr>
        <w:t xml:space="preserve"> i </w:t>
      </w:r>
      <w:r w:rsidRPr="00D14E3B">
        <w:rPr>
          <w:rFonts w:cs="Calibri"/>
          <w:b/>
          <w:bCs/>
        </w:rPr>
        <w:t xml:space="preserve">spolupráce </w:t>
      </w:r>
      <w:r w:rsidR="00280F9E">
        <w:rPr>
          <w:rFonts w:cs="Calibri"/>
          <w:b/>
          <w:bCs/>
        </w:rPr>
        <w:br/>
      </w:r>
      <w:r w:rsidRPr="00D14E3B">
        <w:rPr>
          <w:rFonts w:cs="Calibri"/>
          <w:b/>
          <w:bCs/>
        </w:rPr>
        <w:t>s nově vzniklým sdružením CZARMA</w:t>
      </w:r>
      <w:r>
        <w:rPr>
          <w:rStyle w:val="Znakapoznpodarou"/>
          <w:rFonts w:cs="Calibri"/>
        </w:rPr>
        <w:footnoteReference w:id="70"/>
      </w:r>
      <w:r>
        <w:rPr>
          <w:rFonts w:cs="Calibri"/>
        </w:rPr>
        <w:t xml:space="preserve"> (</w:t>
      </w:r>
      <w:r w:rsidRPr="00B80CBD">
        <w:rPr>
          <w:rFonts w:cs="Calibri"/>
        </w:rPr>
        <w:t>Česká asociace manažerů</w:t>
      </w:r>
      <w:r w:rsidR="009B66B5">
        <w:rPr>
          <w:rFonts w:cs="Calibri"/>
        </w:rPr>
        <w:t xml:space="preserve"> a </w:t>
      </w:r>
      <w:r w:rsidRPr="00B80CBD">
        <w:rPr>
          <w:rFonts w:cs="Calibri"/>
        </w:rPr>
        <w:t>administrátorů ve výzkumu, z. s.</w:t>
      </w:r>
      <w:r>
        <w:rPr>
          <w:rFonts w:cs="Calibri"/>
        </w:rPr>
        <w:t>)</w:t>
      </w:r>
      <w:r w:rsidRPr="43F396A4">
        <w:rPr>
          <w:rFonts w:cs="Calibri"/>
        </w:rPr>
        <w:t xml:space="preserve">. </w:t>
      </w:r>
      <w:r>
        <w:rPr>
          <w:rFonts w:cs="Calibri"/>
        </w:rPr>
        <w:t>Jedná se</w:t>
      </w:r>
      <w:r w:rsidR="009B66B5">
        <w:rPr>
          <w:rFonts w:cs="Calibri"/>
        </w:rPr>
        <w:t xml:space="preserve"> o </w:t>
      </w:r>
      <w:r>
        <w:rPr>
          <w:rFonts w:cs="Calibri"/>
        </w:rPr>
        <w:t>profesní sdružení založené</w:t>
      </w:r>
      <w:r w:rsidR="009B66B5">
        <w:rPr>
          <w:rFonts w:cs="Calibri"/>
        </w:rPr>
        <w:t xml:space="preserve"> v </w:t>
      </w:r>
      <w:r>
        <w:rPr>
          <w:rFonts w:cs="Calibri"/>
        </w:rPr>
        <w:t>roce 2022</w:t>
      </w:r>
      <w:r w:rsidR="009B66B5">
        <w:rPr>
          <w:rFonts w:cs="Calibri"/>
        </w:rPr>
        <w:t xml:space="preserve"> a </w:t>
      </w:r>
      <w:r>
        <w:rPr>
          <w:rFonts w:cs="Calibri"/>
        </w:rPr>
        <w:t>čítající aktuálně téměř 300 členů</w:t>
      </w:r>
      <w:r w:rsidR="009B66B5">
        <w:rPr>
          <w:rFonts w:cs="Calibri"/>
        </w:rPr>
        <w:t xml:space="preserve"> z </w:t>
      </w:r>
      <w:r>
        <w:rPr>
          <w:rFonts w:cs="Calibri"/>
        </w:rPr>
        <w:t xml:space="preserve">různých výzkumných organizací napříč </w:t>
      </w:r>
      <w:r w:rsidR="000B5E5F">
        <w:rPr>
          <w:rFonts w:cs="Calibri"/>
        </w:rPr>
        <w:t>ČR</w:t>
      </w:r>
      <w:r>
        <w:rPr>
          <w:rFonts w:cs="Calibri"/>
        </w:rPr>
        <w:t xml:space="preserve">. Jeho cílem je </w:t>
      </w:r>
      <w:r w:rsidRPr="00CF7A4A">
        <w:rPr>
          <w:rFonts w:cs="Calibri"/>
        </w:rPr>
        <w:t>přispět</w:t>
      </w:r>
      <w:r w:rsidR="009B66B5">
        <w:rPr>
          <w:rFonts w:cs="Calibri"/>
        </w:rPr>
        <w:t xml:space="preserve"> k </w:t>
      </w:r>
      <w:r w:rsidRPr="00CF7A4A">
        <w:rPr>
          <w:rFonts w:cs="Calibri"/>
        </w:rPr>
        <w:t>rozvoji</w:t>
      </w:r>
      <w:r w:rsidR="009B66B5">
        <w:rPr>
          <w:rFonts w:cs="Calibri"/>
        </w:rPr>
        <w:t xml:space="preserve"> a </w:t>
      </w:r>
      <w:r w:rsidRPr="00CF7A4A">
        <w:rPr>
          <w:rFonts w:cs="Calibri"/>
        </w:rPr>
        <w:t xml:space="preserve">kultivaci </w:t>
      </w:r>
      <w:r w:rsidRPr="00CF7A4A">
        <w:rPr>
          <w:rFonts w:cs="Calibri"/>
        </w:rPr>
        <w:lastRenderedPageBreak/>
        <w:t>českého</w:t>
      </w:r>
      <w:r w:rsidR="009B66B5">
        <w:rPr>
          <w:rFonts w:cs="Calibri"/>
        </w:rPr>
        <w:t xml:space="preserve"> i </w:t>
      </w:r>
      <w:r w:rsidR="000B5E5F">
        <w:rPr>
          <w:rFonts w:cs="Calibri"/>
        </w:rPr>
        <w:t>E</w:t>
      </w:r>
      <w:r w:rsidRPr="00CF7A4A">
        <w:rPr>
          <w:rFonts w:cs="Calibri"/>
        </w:rPr>
        <w:t>vropského výzkumného prostoru</w:t>
      </w:r>
      <w:r w:rsidR="009B66B5">
        <w:rPr>
          <w:rFonts w:cs="Calibri"/>
        </w:rPr>
        <w:t xml:space="preserve"> a </w:t>
      </w:r>
      <w:r>
        <w:rPr>
          <w:rFonts w:cs="Calibri"/>
        </w:rPr>
        <w:t xml:space="preserve">mimo jiné </w:t>
      </w:r>
      <w:r w:rsidRPr="00CF7A4A">
        <w:rPr>
          <w:rFonts w:cs="Calibri"/>
        </w:rPr>
        <w:t>být</w:t>
      </w:r>
      <w:r w:rsidR="009B66B5">
        <w:rPr>
          <w:rFonts w:cs="Calibri"/>
        </w:rPr>
        <w:t xml:space="preserve"> i </w:t>
      </w:r>
      <w:r w:rsidRPr="00CF7A4A">
        <w:rPr>
          <w:rFonts w:cs="Calibri"/>
        </w:rPr>
        <w:t>partnerem relevantních orgánů veřejné správy</w:t>
      </w:r>
      <w:r w:rsidR="009B66B5">
        <w:rPr>
          <w:rFonts w:cs="Calibri"/>
        </w:rPr>
        <w:t xml:space="preserve"> a </w:t>
      </w:r>
      <w:r w:rsidRPr="00CF7A4A">
        <w:rPr>
          <w:rFonts w:cs="Calibri"/>
        </w:rPr>
        <w:t>poskytovatelům dotace</w:t>
      </w:r>
      <w:r>
        <w:rPr>
          <w:rFonts w:cs="Calibri"/>
        </w:rPr>
        <w:t xml:space="preserve"> či se </w:t>
      </w:r>
      <w:r w:rsidRPr="00CF7A4A">
        <w:rPr>
          <w:rFonts w:cs="Calibri"/>
        </w:rPr>
        <w:t>podílet na připomínkování nových legislativních</w:t>
      </w:r>
      <w:r w:rsidR="009B66B5">
        <w:rPr>
          <w:rFonts w:cs="Calibri"/>
        </w:rPr>
        <w:t xml:space="preserve"> a </w:t>
      </w:r>
      <w:r w:rsidRPr="00CF7A4A">
        <w:rPr>
          <w:rFonts w:cs="Calibri"/>
        </w:rPr>
        <w:t>ekonomických dokumentů</w:t>
      </w:r>
      <w:r>
        <w:rPr>
          <w:rFonts w:cs="Calibri"/>
        </w:rPr>
        <w:t xml:space="preserve">. </w:t>
      </w:r>
    </w:p>
    <w:p w14:paraId="568B9B0A" w14:textId="77777777" w:rsidR="00B631F2" w:rsidRDefault="00B631F2" w:rsidP="00B631F2">
      <w:pPr>
        <w:spacing w:line="257" w:lineRule="auto"/>
      </w:pPr>
      <w:r w:rsidRPr="43F396A4">
        <w:rPr>
          <w:rFonts w:cs="Calibri"/>
        </w:rPr>
        <w:t>Technologické centrum</w:t>
      </w:r>
      <w:r w:rsidR="00FC1D67">
        <w:rPr>
          <w:rFonts w:cs="Calibri"/>
        </w:rPr>
        <w:t xml:space="preserve"> AV</w:t>
      </w:r>
      <w:r w:rsidR="00C853D7">
        <w:rPr>
          <w:rFonts w:cs="Calibri"/>
        </w:rPr>
        <w:t xml:space="preserve"> </w:t>
      </w:r>
      <w:r w:rsidR="00FC1D67">
        <w:rPr>
          <w:rFonts w:cs="Calibri"/>
        </w:rPr>
        <w:t>ČR</w:t>
      </w:r>
      <w:r w:rsidRPr="43F396A4">
        <w:rPr>
          <w:rFonts w:cs="Calibri"/>
        </w:rPr>
        <w:t xml:space="preserve"> dále může detailněji zmapovat situaci</w:t>
      </w:r>
      <w:r w:rsidR="009B66B5">
        <w:rPr>
          <w:rFonts w:cs="Calibri"/>
        </w:rPr>
        <w:t xml:space="preserve"> v </w:t>
      </w:r>
      <w:r w:rsidRPr="43F396A4">
        <w:rPr>
          <w:rFonts w:cs="Calibri"/>
        </w:rPr>
        <w:t>jiných státech EU</w:t>
      </w:r>
      <w:r w:rsidR="00280F9E">
        <w:rPr>
          <w:rFonts w:cs="Calibri"/>
        </w:rPr>
        <w:t>-</w:t>
      </w:r>
      <w:r w:rsidRPr="43F396A4">
        <w:rPr>
          <w:rFonts w:cs="Calibri"/>
        </w:rPr>
        <w:t>13</w:t>
      </w:r>
      <w:r w:rsidR="009B66B5">
        <w:rPr>
          <w:rFonts w:cs="Calibri"/>
        </w:rPr>
        <w:t xml:space="preserve"> a </w:t>
      </w:r>
      <w:r w:rsidRPr="43F396A4">
        <w:rPr>
          <w:rFonts w:cs="Calibri"/>
        </w:rPr>
        <w:t xml:space="preserve">na základě dobré praxe vytvořit </w:t>
      </w:r>
      <w:r w:rsidRPr="43F396A4">
        <w:rPr>
          <w:rFonts w:cs="Calibri"/>
          <w:b/>
          <w:bCs/>
        </w:rPr>
        <w:t>vzorové znění interních předpisů pro odměňování</w:t>
      </w:r>
      <w:r w:rsidRPr="43F396A4">
        <w:rPr>
          <w:rFonts w:cs="Calibri"/>
        </w:rPr>
        <w:t xml:space="preserve"> –</w:t>
      </w:r>
      <w:r w:rsidR="009B66B5">
        <w:rPr>
          <w:rFonts w:cs="Calibri"/>
        </w:rPr>
        <w:t xml:space="preserve"> a </w:t>
      </w:r>
      <w:r w:rsidRPr="43F396A4">
        <w:rPr>
          <w:rFonts w:cs="Calibri"/>
        </w:rPr>
        <w:t>to ideálně</w:t>
      </w:r>
      <w:r w:rsidR="009B66B5">
        <w:rPr>
          <w:rFonts w:cs="Calibri"/>
        </w:rPr>
        <w:t xml:space="preserve"> v </w:t>
      </w:r>
      <w:r w:rsidRPr="43F396A4">
        <w:rPr>
          <w:rFonts w:cs="Calibri"/>
        </w:rPr>
        <w:t>součinnosti s</w:t>
      </w:r>
      <w:r w:rsidR="00ED5B4A">
        <w:rPr>
          <w:rFonts w:cs="Calibri"/>
        </w:rPr>
        <w:t> </w:t>
      </w:r>
      <w:r w:rsidRPr="43F396A4">
        <w:rPr>
          <w:rFonts w:cs="Calibri"/>
        </w:rPr>
        <w:t>RVVI, národními poskytovateli</w:t>
      </w:r>
      <w:r w:rsidR="009B66B5">
        <w:rPr>
          <w:rFonts w:cs="Calibri"/>
        </w:rPr>
        <w:t xml:space="preserve"> i </w:t>
      </w:r>
      <w:r w:rsidRPr="43F396A4">
        <w:rPr>
          <w:rFonts w:cs="Calibri"/>
        </w:rPr>
        <w:t>příjemci, Evropskou komisí</w:t>
      </w:r>
      <w:r w:rsidR="009B66B5">
        <w:rPr>
          <w:rFonts w:cs="Calibri"/>
        </w:rPr>
        <w:t xml:space="preserve"> a </w:t>
      </w:r>
      <w:r w:rsidRPr="43F396A4">
        <w:rPr>
          <w:rFonts w:cs="Calibri"/>
        </w:rPr>
        <w:t xml:space="preserve">případně dalšími relevantními zainteresovanými stranami. </w:t>
      </w:r>
    </w:p>
    <w:p w14:paraId="44C7A9E5" w14:textId="77777777" w:rsidR="00B631F2" w:rsidRDefault="00B631F2" w:rsidP="00B631F2">
      <w:pPr>
        <w:spacing w:line="257" w:lineRule="auto"/>
      </w:pPr>
      <w:r w:rsidRPr="43F396A4">
        <w:rPr>
          <w:rFonts w:cs="Calibri"/>
        </w:rPr>
        <w:t>Aby bylo možné dosáhnout vyššího mzdového ohodnocení pro výzkumníky</w:t>
      </w:r>
      <w:r w:rsidR="009B66B5">
        <w:rPr>
          <w:rFonts w:cs="Calibri"/>
        </w:rPr>
        <w:t xml:space="preserve"> a </w:t>
      </w:r>
      <w:r w:rsidRPr="43F396A4">
        <w:rPr>
          <w:rFonts w:cs="Calibri"/>
        </w:rPr>
        <w:t xml:space="preserve">výzkumnice účastnící se projektů </w:t>
      </w:r>
      <w:r w:rsidR="00FC1D67">
        <w:rPr>
          <w:rFonts w:cs="Calibri"/>
        </w:rPr>
        <w:t>RP</w:t>
      </w:r>
      <w:r w:rsidRPr="43F396A4">
        <w:rPr>
          <w:rFonts w:cs="Calibri"/>
        </w:rPr>
        <w:t>, je nutné využít jednu</w:t>
      </w:r>
      <w:r w:rsidR="009B66B5">
        <w:rPr>
          <w:rFonts w:cs="Calibri"/>
        </w:rPr>
        <w:t xml:space="preserve"> z </w:t>
      </w:r>
      <w:r w:rsidRPr="43F396A4">
        <w:rPr>
          <w:rFonts w:cs="Calibri"/>
        </w:rPr>
        <w:t>výše popsaných možností. Důsledkem bude</w:t>
      </w:r>
      <w:r w:rsidR="009B66B5">
        <w:rPr>
          <w:rFonts w:cs="Calibri"/>
        </w:rPr>
        <w:t xml:space="preserve"> i </w:t>
      </w:r>
      <w:r w:rsidRPr="43F396A4">
        <w:rPr>
          <w:rFonts w:cs="Calibri"/>
        </w:rPr>
        <w:t>snížení administrativní zátěže pro příjemce</w:t>
      </w:r>
      <w:r w:rsidR="009B66B5">
        <w:rPr>
          <w:rFonts w:cs="Calibri"/>
        </w:rPr>
        <w:t xml:space="preserve"> a </w:t>
      </w:r>
      <w:r w:rsidRPr="43F396A4">
        <w:rPr>
          <w:rFonts w:cs="Calibri"/>
        </w:rPr>
        <w:t xml:space="preserve">zvýšení právní jistoty. Každopádně </w:t>
      </w:r>
      <w:r w:rsidRPr="43F396A4">
        <w:rPr>
          <w:rFonts w:cs="Calibri"/>
          <w:b/>
          <w:bCs/>
        </w:rPr>
        <w:t xml:space="preserve">princip, že </w:t>
      </w:r>
      <w:r w:rsidR="00AA2026">
        <w:rPr>
          <w:rFonts w:cs="Calibri"/>
          <w:b/>
          <w:bCs/>
        </w:rPr>
        <w:t>Evropská komise</w:t>
      </w:r>
      <w:r w:rsidR="00280F9E">
        <w:rPr>
          <w:rFonts w:cs="Calibri"/>
          <w:b/>
          <w:bCs/>
        </w:rPr>
        <w:t xml:space="preserve"> </w:t>
      </w:r>
      <w:r w:rsidRPr="43F396A4">
        <w:rPr>
          <w:rFonts w:cs="Calibri"/>
          <w:b/>
          <w:bCs/>
        </w:rPr>
        <w:t>respektuje běžnou míru mzdového ohodnocení</w:t>
      </w:r>
      <w:r w:rsidR="009B66B5">
        <w:rPr>
          <w:rFonts w:cs="Calibri"/>
          <w:b/>
          <w:bCs/>
        </w:rPr>
        <w:t xml:space="preserve"> v </w:t>
      </w:r>
      <w:r w:rsidR="00280F9E">
        <w:rPr>
          <w:rFonts w:cs="Calibri"/>
          <w:b/>
          <w:bCs/>
        </w:rPr>
        <w:t>dané instituci, případně státu</w:t>
      </w:r>
      <w:r w:rsidRPr="43F396A4">
        <w:rPr>
          <w:rFonts w:cs="Calibri"/>
          <w:b/>
          <w:bCs/>
        </w:rPr>
        <w:t xml:space="preserve"> zůstává zachován.</w:t>
      </w:r>
    </w:p>
    <w:p w14:paraId="3ACD992C" w14:textId="77777777" w:rsidR="00B020F6" w:rsidRDefault="002701E9" w:rsidP="005515AB">
      <w:pPr>
        <w:pStyle w:val="Nadpis2"/>
      </w:pPr>
      <w:bookmarkStart w:id="75" w:name="_Toc114572352"/>
      <w:r>
        <w:t>Závěr</w:t>
      </w:r>
      <w:bookmarkEnd w:id="75"/>
      <w:r>
        <w:t xml:space="preserve"> </w:t>
      </w:r>
    </w:p>
    <w:p w14:paraId="7C7A04CC" w14:textId="77777777" w:rsidR="008D3FE0" w:rsidRDefault="00CD1F0A" w:rsidP="008F570A">
      <w:r w:rsidRPr="00CD1F0A">
        <w:t xml:space="preserve">Pravidla pro mzdové ohodnocení ze strany </w:t>
      </w:r>
      <w:r w:rsidR="003108AE">
        <w:t>Evropské</w:t>
      </w:r>
      <w:r w:rsidR="00AA2026">
        <w:t xml:space="preserve"> komise</w:t>
      </w:r>
      <w:r w:rsidR="009B66B5">
        <w:t xml:space="preserve"> v </w:t>
      </w:r>
      <w:r w:rsidR="00FC1D67">
        <w:t>Horizontu Evropa</w:t>
      </w:r>
      <w:r w:rsidRPr="00CD1F0A">
        <w:t xml:space="preserve"> plně respektují výši odměňování, která je</w:t>
      </w:r>
      <w:r w:rsidR="009B66B5">
        <w:t xml:space="preserve"> v </w:t>
      </w:r>
      <w:r w:rsidRPr="00CD1F0A">
        <w:t xml:space="preserve">jednotlivých </w:t>
      </w:r>
      <w:r w:rsidR="00BD72E7">
        <w:t>státech, respektive institucích</w:t>
      </w:r>
      <w:r w:rsidRPr="00CD1F0A">
        <w:t xml:space="preserve"> již nastavená</w:t>
      </w:r>
      <w:r>
        <w:t xml:space="preserve">. </w:t>
      </w:r>
      <w:r w:rsidR="000142DA">
        <w:t xml:space="preserve">Nejednotnost </w:t>
      </w:r>
      <w:r w:rsidR="00046493">
        <w:t>administrativních</w:t>
      </w:r>
      <w:r w:rsidR="009B66B5">
        <w:t xml:space="preserve"> a </w:t>
      </w:r>
      <w:r w:rsidR="00046493">
        <w:t xml:space="preserve">finančních </w:t>
      </w:r>
      <w:r w:rsidR="000142DA">
        <w:t>pravidel</w:t>
      </w:r>
      <w:r w:rsidR="001223F2">
        <w:t xml:space="preserve"> českých poskytovatelů </w:t>
      </w:r>
      <w:r w:rsidR="006334E3" w:rsidRPr="006334E3">
        <w:t>komplikuje práci českých projektových manažerů</w:t>
      </w:r>
      <w:r w:rsidR="009B66B5">
        <w:t xml:space="preserve"> a </w:t>
      </w:r>
      <w:r w:rsidR="006334E3" w:rsidRPr="006334E3">
        <w:t>manažerek</w:t>
      </w:r>
      <w:r w:rsidR="009B66B5">
        <w:t xml:space="preserve"> a </w:t>
      </w:r>
      <w:r w:rsidR="006334E3" w:rsidRPr="006334E3">
        <w:t>způsobuje zvýšenou administrativní</w:t>
      </w:r>
      <w:r w:rsidR="009B66B5">
        <w:t xml:space="preserve"> i </w:t>
      </w:r>
      <w:r w:rsidR="006334E3" w:rsidRPr="006334E3">
        <w:t>finanční zátěž uchazečům/příjemcům podpory.</w:t>
      </w:r>
      <w:r w:rsidR="00205BA5">
        <w:t xml:space="preserve"> </w:t>
      </w:r>
      <w:r w:rsidR="00D04705">
        <w:t>J</w:t>
      </w:r>
      <w:r w:rsidR="00205BA5" w:rsidRPr="00205BA5">
        <w:t>ak pro poskytovatele, tak pro příjemce by bylo dobré, aby všichni poskytovatelé shodně nastavovali pravidla uznatelnosti osobních nákladů</w:t>
      </w:r>
      <w:r w:rsidR="009B66B5">
        <w:t xml:space="preserve"> v </w:t>
      </w:r>
      <w:r w:rsidR="00205BA5" w:rsidRPr="00205BA5">
        <w:t>projektech účelové podpory.</w:t>
      </w:r>
      <w:r w:rsidR="00B94D48" w:rsidRPr="00B94D48">
        <w:t xml:space="preserve"> Pravidla způsobilosti</w:t>
      </w:r>
      <w:r w:rsidR="009B66B5">
        <w:t xml:space="preserve"> a </w:t>
      </w:r>
      <w:r w:rsidR="00B94D48" w:rsidRPr="00B94D48">
        <w:t xml:space="preserve">výše odměňování mají dozajista </w:t>
      </w:r>
      <w:r w:rsidR="00EA6EBD">
        <w:t xml:space="preserve">také </w:t>
      </w:r>
      <w:r w:rsidR="00B94D48" w:rsidRPr="00B94D48">
        <w:t>vliv na motivaci českých výzkumných týmů účastnit se projektů Horizont</w:t>
      </w:r>
      <w:r w:rsidR="00FC1D67">
        <w:t>u</w:t>
      </w:r>
      <w:r w:rsidR="00B94D48" w:rsidRPr="00B94D48">
        <w:t xml:space="preserve"> Evropa</w:t>
      </w:r>
      <w:r w:rsidR="00A9464A">
        <w:t>.</w:t>
      </w:r>
    </w:p>
    <w:p w14:paraId="701701D0" w14:textId="77777777" w:rsidR="00B020F6" w:rsidRDefault="00B020F6" w:rsidP="005515AB">
      <w:pPr>
        <w:pStyle w:val="Nadpis1"/>
      </w:pPr>
      <w:bookmarkStart w:id="76" w:name="_Toc114572353"/>
      <w:r>
        <w:lastRenderedPageBreak/>
        <w:t>Informační</w:t>
      </w:r>
      <w:r w:rsidR="009B66B5">
        <w:t xml:space="preserve"> a </w:t>
      </w:r>
      <w:r>
        <w:t>konzultační podpora</w:t>
      </w:r>
      <w:r w:rsidR="009B66B5">
        <w:t xml:space="preserve"> k </w:t>
      </w:r>
      <w:r>
        <w:t>podávání návrhů projektů do evropských programů</w:t>
      </w:r>
      <w:bookmarkEnd w:id="76"/>
    </w:p>
    <w:p w14:paraId="3DAD8492" w14:textId="77777777" w:rsidR="00ED44F0" w:rsidRPr="00ED44F0" w:rsidRDefault="007950A7" w:rsidP="00ED44F0">
      <w:r>
        <w:t xml:space="preserve">Dostupnost </w:t>
      </w:r>
      <w:r w:rsidR="00AF6C9D">
        <w:t xml:space="preserve">specializované </w:t>
      </w:r>
      <w:r>
        <w:t>informační</w:t>
      </w:r>
      <w:r w:rsidR="009B66B5">
        <w:t xml:space="preserve"> a </w:t>
      </w:r>
      <w:r>
        <w:t xml:space="preserve">konzultační podpory pro </w:t>
      </w:r>
      <w:r w:rsidR="00AF6C9D">
        <w:t>všechny typy uchazečů</w:t>
      </w:r>
      <w:r w:rsidR="009B66B5">
        <w:t xml:space="preserve"> o </w:t>
      </w:r>
      <w:r w:rsidR="00BE4236">
        <w:t>evropské granty</w:t>
      </w:r>
      <w:r w:rsidR="009B66B5">
        <w:t xml:space="preserve"> i </w:t>
      </w:r>
      <w:r w:rsidR="00BE4236">
        <w:t>pro řešitele projektů ve fázi jejich realizace</w:t>
      </w:r>
      <w:r w:rsidR="009B66B5">
        <w:t xml:space="preserve"> i </w:t>
      </w:r>
      <w:r w:rsidR="0063515C">
        <w:t xml:space="preserve">ukončování je důležitým předpokladem pro zvyšování účasti </w:t>
      </w:r>
      <w:r w:rsidR="00A26AF3">
        <w:t>národních týmů</w:t>
      </w:r>
      <w:r w:rsidR="009B66B5">
        <w:t xml:space="preserve"> v </w:t>
      </w:r>
      <w:r w:rsidR="006538CA">
        <w:t>RP</w:t>
      </w:r>
      <w:r w:rsidR="009B66B5">
        <w:t xml:space="preserve"> i </w:t>
      </w:r>
      <w:r w:rsidR="00E633AA">
        <w:t>navazují</w:t>
      </w:r>
      <w:r w:rsidR="00CE3FDD">
        <w:t>cí</w:t>
      </w:r>
      <w:r w:rsidR="00E633AA">
        <w:t>ch programec</w:t>
      </w:r>
      <w:r w:rsidR="00F30CD3">
        <w:t>h</w:t>
      </w:r>
      <w:r w:rsidR="009B66B5">
        <w:t xml:space="preserve"> a </w:t>
      </w:r>
      <w:r w:rsidR="00E633AA">
        <w:t>inici</w:t>
      </w:r>
      <w:r w:rsidR="0024416C">
        <w:t>ativách (evropská partnerství, m</w:t>
      </w:r>
      <w:r w:rsidR="00F30CD3">
        <w:t>ise)</w:t>
      </w:r>
      <w:r w:rsidR="00E844C7">
        <w:t xml:space="preserve">. </w:t>
      </w:r>
      <w:r w:rsidR="008F6BA7">
        <w:t>Podpůrné systémy tzv. náro</w:t>
      </w:r>
      <w:r w:rsidR="0024416C">
        <w:t>dních informačních pracovníků (National Contact P</w:t>
      </w:r>
      <w:r w:rsidR="008F6BA7">
        <w:t>oints</w:t>
      </w:r>
      <w:r w:rsidR="006538CA">
        <w:t>,</w:t>
      </w:r>
      <w:r w:rsidR="001D3E30">
        <w:t xml:space="preserve"> NCPs) jsou budovány ve všech členských zemí</w:t>
      </w:r>
      <w:r w:rsidR="0024416C">
        <w:t>ch</w:t>
      </w:r>
      <w:r w:rsidR="001D3E30">
        <w:t xml:space="preserve"> EU, zemích asociovaných</w:t>
      </w:r>
      <w:r w:rsidR="009B66B5">
        <w:t xml:space="preserve"> k </w:t>
      </w:r>
      <w:r w:rsidR="006538CA">
        <w:t>RP</w:t>
      </w:r>
      <w:r w:rsidR="009B66B5">
        <w:t xml:space="preserve"> a v </w:t>
      </w:r>
      <w:r w:rsidR="0024416C">
        <w:t xml:space="preserve">řadě </w:t>
      </w:r>
      <w:r w:rsidR="001D3E30">
        <w:t xml:space="preserve">třetích zemí. </w:t>
      </w:r>
      <w:r w:rsidR="00AA2026">
        <w:t>Evropská komise</w:t>
      </w:r>
      <w:r w:rsidR="00E71070">
        <w:t xml:space="preserve"> definuje strukturu</w:t>
      </w:r>
      <w:r w:rsidR="00C527EE">
        <w:t xml:space="preserve"> NCP</w:t>
      </w:r>
      <w:r w:rsidR="00E71070">
        <w:t>, základní požadavky na jejich fun</w:t>
      </w:r>
      <w:r w:rsidR="00C527EE">
        <w:t>gování</w:t>
      </w:r>
      <w:r w:rsidR="009B66B5">
        <w:t xml:space="preserve"> a </w:t>
      </w:r>
      <w:r w:rsidR="00E4505E">
        <w:t xml:space="preserve">prostřednictvím specializovaných projektů pro </w:t>
      </w:r>
      <w:r w:rsidR="0041071E">
        <w:t xml:space="preserve">sítě </w:t>
      </w:r>
      <w:r w:rsidR="00E4505E">
        <w:t>NCP</w:t>
      </w:r>
      <w:r w:rsidR="0041071E">
        <w:t xml:space="preserve"> </w:t>
      </w:r>
      <w:r w:rsidR="00037D4E">
        <w:t>financovaných</w:t>
      </w:r>
      <w:r w:rsidR="009B66B5">
        <w:t xml:space="preserve"> z </w:t>
      </w:r>
      <w:r w:rsidR="006538CA">
        <w:t>RP</w:t>
      </w:r>
      <w:r w:rsidR="00037D4E">
        <w:t xml:space="preserve"> </w:t>
      </w:r>
      <w:r w:rsidR="00E4505E">
        <w:t>podporuje jejich</w:t>
      </w:r>
      <w:r w:rsidR="00BC3750">
        <w:t xml:space="preserve"> nadnárodní spolupráci, školení</w:t>
      </w:r>
      <w:r w:rsidR="009B66B5">
        <w:t xml:space="preserve"> s </w:t>
      </w:r>
      <w:r w:rsidR="00BC3750">
        <w:t>cílem zvyšování kvality služeb</w:t>
      </w:r>
      <w:r w:rsidR="00972EB9">
        <w:t xml:space="preserve"> nebo</w:t>
      </w:r>
      <w:r w:rsidR="002F3DD1">
        <w:t xml:space="preserve"> </w:t>
      </w:r>
      <w:r w:rsidR="00FA083B">
        <w:t>organizaci mezinárodních partnerských burz</w:t>
      </w:r>
      <w:r w:rsidR="0041071E">
        <w:t xml:space="preserve"> pro </w:t>
      </w:r>
      <w:r w:rsidR="00FA083B">
        <w:t xml:space="preserve">usnadnění </w:t>
      </w:r>
      <w:r w:rsidR="00175792">
        <w:t>vyhledávání partnerů pro mezinárodní projekty</w:t>
      </w:r>
      <w:r w:rsidR="00E75451">
        <w:t>.</w:t>
      </w:r>
      <w:r w:rsidR="00175792">
        <w:t xml:space="preserve"> </w:t>
      </w:r>
    </w:p>
    <w:p w14:paraId="44C3A031" w14:textId="77777777" w:rsidR="00B020F6" w:rsidRDefault="00B020F6" w:rsidP="005515AB">
      <w:pPr>
        <w:pStyle w:val="Nadpis2"/>
      </w:pPr>
      <w:bookmarkStart w:id="77" w:name="_Toc114572354"/>
      <w:r>
        <w:t>Stávající systém podpory</w:t>
      </w:r>
      <w:bookmarkEnd w:id="77"/>
      <w:r>
        <w:t xml:space="preserve"> </w:t>
      </w:r>
    </w:p>
    <w:p w14:paraId="1FE558C3" w14:textId="77777777" w:rsidR="662E54F4" w:rsidRDefault="662E54F4" w:rsidP="662E54F4">
      <w:pPr>
        <w:spacing w:line="257" w:lineRule="auto"/>
      </w:pPr>
      <w:r w:rsidRPr="662E54F4">
        <w:rPr>
          <w:rFonts w:cs="Calibri"/>
        </w:rPr>
        <w:t>Informační podpora pro integraci</w:t>
      </w:r>
      <w:r w:rsidR="009B66B5">
        <w:rPr>
          <w:rFonts w:cs="Calibri"/>
        </w:rPr>
        <w:t xml:space="preserve"> a </w:t>
      </w:r>
      <w:r w:rsidRPr="662E54F4">
        <w:rPr>
          <w:rFonts w:cs="Calibri"/>
        </w:rPr>
        <w:t>zvýšení účasti organizací</w:t>
      </w:r>
      <w:r w:rsidR="009B66B5">
        <w:rPr>
          <w:rFonts w:cs="Calibri"/>
        </w:rPr>
        <w:t xml:space="preserve"> z </w:t>
      </w:r>
      <w:r w:rsidRPr="662E54F4">
        <w:rPr>
          <w:rFonts w:cs="Calibri"/>
        </w:rPr>
        <w:t>ČR</w:t>
      </w:r>
      <w:r w:rsidR="009B66B5">
        <w:rPr>
          <w:rFonts w:cs="Calibri"/>
        </w:rPr>
        <w:t xml:space="preserve"> v </w:t>
      </w:r>
      <w:r w:rsidR="006538CA">
        <w:rPr>
          <w:rFonts w:cs="Calibri"/>
        </w:rPr>
        <w:t>RP</w:t>
      </w:r>
      <w:r w:rsidRPr="662E54F4">
        <w:rPr>
          <w:rFonts w:cs="Calibri"/>
        </w:rPr>
        <w:t xml:space="preserve"> byla systematicky podporována postupně prostřednictvím několika programů MŠMT:</w:t>
      </w:r>
    </w:p>
    <w:p w14:paraId="3C8AE5F7" w14:textId="5FF23AA4" w:rsidR="662E54F4" w:rsidRDefault="0041071E">
      <w:pPr>
        <w:pStyle w:val="Odstavecseseznamem"/>
        <w:numPr>
          <w:ilvl w:val="0"/>
          <w:numId w:val="21"/>
        </w:numPr>
        <w:rPr>
          <w:rFonts w:cs="Calibri"/>
        </w:rPr>
      </w:pPr>
      <w:r>
        <w:rPr>
          <w:rFonts w:cs="Calibri"/>
        </w:rPr>
        <w:t xml:space="preserve">OK </w:t>
      </w:r>
      <w:r w:rsidRPr="662E54F4">
        <w:rPr>
          <w:rFonts w:cs="Calibri"/>
        </w:rPr>
        <w:t>–</w:t>
      </w:r>
      <w:r w:rsidR="662E54F4" w:rsidRPr="662E54F4">
        <w:rPr>
          <w:rFonts w:cs="Calibri"/>
        </w:rPr>
        <w:t xml:space="preserve"> EUPRO (</w:t>
      </w:r>
      <w:r w:rsidR="00417784" w:rsidRPr="662E54F4">
        <w:rPr>
          <w:rFonts w:cs="Calibri"/>
        </w:rPr>
        <w:t>1994–2012</w:t>
      </w:r>
      <w:r w:rsidR="662E54F4" w:rsidRPr="662E54F4">
        <w:rPr>
          <w:rFonts w:cs="Calibri"/>
        </w:rPr>
        <w:t>)</w:t>
      </w:r>
    </w:p>
    <w:p w14:paraId="37A50641" w14:textId="35772B5F" w:rsidR="662E54F4" w:rsidRDefault="0041071E">
      <w:pPr>
        <w:pStyle w:val="Odstavecseseznamem"/>
        <w:numPr>
          <w:ilvl w:val="0"/>
          <w:numId w:val="21"/>
        </w:numPr>
        <w:rPr>
          <w:rFonts w:cs="Calibri"/>
        </w:rPr>
      </w:pPr>
      <w:r>
        <w:rPr>
          <w:rFonts w:cs="Calibri"/>
        </w:rPr>
        <w:t xml:space="preserve">LE </w:t>
      </w:r>
      <w:r w:rsidRPr="662E54F4">
        <w:rPr>
          <w:rFonts w:cs="Calibri"/>
        </w:rPr>
        <w:t>–</w:t>
      </w:r>
      <w:r w:rsidR="662E54F4" w:rsidRPr="662E54F4">
        <w:rPr>
          <w:rFonts w:cs="Calibri"/>
        </w:rPr>
        <w:t xml:space="preserve"> EUPRO II (2011</w:t>
      </w:r>
      <w:r w:rsidR="00417784">
        <w:rPr>
          <w:rFonts w:cs="Calibri"/>
        </w:rPr>
        <w:t>–</w:t>
      </w:r>
      <w:r w:rsidR="662E54F4" w:rsidRPr="662E54F4">
        <w:rPr>
          <w:rFonts w:cs="Calibri"/>
        </w:rPr>
        <w:t>2017)</w:t>
      </w:r>
    </w:p>
    <w:p w14:paraId="50EDB711" w14:textId="77777777" w:rsidR="662E54F4" w:rsidRDefault="0041071E">
      <w:pPr>
        <w:pStyle w:val="Odstavecseseznamem"/>
        <w:numPr>
          <w:ilvl w:val="0"/>
          <w:numId w:val="21"/>
        </w:numPr>
        <w:rPr>
          <w:rFonts w:cs="Calibri"/>
        </w:rPr>
      </w:pPr>
      <w:r>
        <w:rPr>
          <w:rFonts w:cs="Calibri"/>
        </w:rPr>
        <w:t xml:space="preserve">LT </w:t>
      </w:r>
      <w:r w:rsidRPr="662E54F4">
        <w:rPr>
          <w:rFonts w:cs="Calibri"/>
        </w:rPr>
        <w:t>–</w:t>
      </w:r>
      <w:r>
        <w:rPr>
          <w:rFonts w:cs="Calibri"/>
        </w:rPr>
        <w:t xml:space="preserve"> </w:t>
      </w:r>
      <w:r w:rsidR="662E54F4" w:rsidRPr="662E54F4">
        <w:rPr>
          <w:rFonts w:cs="Calibri"/>
        </w:rPr>
        <w:t>INTER-EXC</w:t>
      </w:r>
      <w:r>
        <w:rPr>
          <w:rFonts w:cs="Calibri"/>
        </w:rPr>
        <w:t>ELLENCE (2016</w:t>
      </w:r>
      <w:r w:rsidRPr="662E54F4">
        <w:rPr>
          <w:rFonts w:cs="Calibri"/>
        </w:rPr>
        <w:t>–</w:t>
      </w:r>
      <w:r w:rsidR="662E54F4" w:rsidRPr="662E54F4">
        <w:rPr>
          <w:rFonts w:cs="Calibri"/>
        </w:rPr>
        <w:t>2024), podprogram INTER-INFORM</w:t>
      </w:r>
    </w:p>
    <w:p w14:paraId="4A94DDA5" w14:textId="77777777" w:rsidR="662E54F4" w:rsidRDefault="662E54F4" w:rsidP="662E54F4">
      <w:pPr>
        <w:spacing w:line="257" w:lineRule="auto"/>
      </w:pPr>
      <w:r w:rsidRPr="662E54F4">
        <w:rPr>
          <w:rFonts w:cs="Calibri"/>
        </w:rPr>
        <w:t xml:space="preserve">V uvedených programech byly podporovány zejména projekty zajišťující fungování systému </w:t>
      </w:r>
      <w:r w:rsidR="0055759B">
        <w:rPr>
          <w:rFonts w:cs="Calibri"/>
        </w:rPr>
        <w:t>NCP</w:t>
      </w:r>
      <w:r w:rsidR="009B66B5">
        <w:rPr>
          <w:rFonts w:cs="Calibri"/>
        </w:rPr>
        <w:t xml:space="preserve"> v </w:t>
      </w:r>
      <w:r w:rsidRPr="662E54F4">
        <w:rPr>
          <w:rFonts w:cs="Calibri"/>
        </w:rPr>
        <w:t>ČR,</w:t>
      </w:r>
      <w:r w:rsidR="009B66B5">
        <w:rPr>
          <w:rFonts w:cs="Calibri"/>
        </w:rPr>
        <w:t xml:space="preserve"> a </w:t>
      </w:r>
      <w:r w:rsidRPr="662E54F4">
        <w:rPr>
          <w:rFonts w:cs="Calibri"/>
        </w:rPr>
        <w:t>to podle požadavků</w:t>
      </w:r>
      <w:r w:rsidR="009B66B5">
        <w:rPr>
          <w:rFonts w:cs="Calibri"/>
        </w:rPr>
        <w:t xml:space="preserve"> a </w:t>
      </w:r>
      <w:r w:rsidRPr="662E54F4">
        <w:rPr>
          <w:rFonts w:cs="Calibri"/>
        </w:rPr>
        <w:t xml:space="preserve">doporučených standardů </w:t>
      </w:r>
      <w:r w:rsidR="003108AE">
        <w:rPr>
          <w:rFonts w:cs="Calibri"/>
        </w:rPr>
        <w:t>Evropské</w:t>
      </w:r>
      <w:r w:rsidR="00AA2026">
        <w:rPr>
          <w:rFonts w:cs="Calibri"/>
        </w:rPr>
        <w:t xml:space="preserve"> komise</w:t>
      </w:r>
      <w:r w:rsidRPr="662E54F4">
        <w:rPr>
          <w:rFonts w:cs="Calibri"/>
        </w:rPr>
        <w:t xml:space="preserve"> na fungování těchto systémů. Dále pak byly financovány projekty typu regionálních</w:t>
      </w:r>
      <w:r w:rsidR="009B66B5">
        <w:rPr>
          <w:rFonts w:cs="Calibri"/>
        </w:rPr>
        <w:t xml:space="preserve"> a </w:t>
      </w:r>
      <w:r w:rsidRPr="662E54F4">
        <w:rPr>
          <w:rFonts w:cs="Calibri"/>
        </w:rPr>
        <w:t xml:space="preserve">oborových kontaktních organizací pro podporu integrace do Evropského výzkumného prostoru, především do </w:t>
      </w:r>
      <w:r w:rsidR="0055759B">
        <w:rPr>
          <w:rFonts w:cs="Calibri"/>
        </w:rPr>
        <w:t>RP</w:t>
      </w:r>
      <w:r w:rsidRPr="662E54F4">
        <w:rPr>
          <w:rFonts w:cs="Calibri"/>
        </w:rPr>
        <w:t xml:space="preserve">. Projekty </w:t>
      </w:r>
      <w:r w:rsidR="0041071E">
        <w:rPr>
          <w:rFonts w:cs="Calibri"/>
        </w:rPr>
        <w:t>podprogramu</w:t>
      </w:r>
      <w:r w:rsidRPr="662E54F4">
        <w:rPr>
          <w:rFonts w:cs="Calibri"/>
        </w:rPr>
        <w:t xml:space="preserve"> </w:t>
      </w:r>
      <w:r w:rsidR="0041071E" w:rsidRPr="662E54F4">
        <w:rPr>
          <w:rFonts w:cs="Calibri"/>
        </w:rPr>
        <w:t xml:space="preserve">INTER-INFORM </w:t>
      </w:r>
      <w:r w:rsidRPr="662E54F4">
        <w:rPr>
          <w:rFonts w:cs="Calibri"/>
        </w:rPr>
        <w:t>jsou postupně ukončovány, do pro</w:t>
      </w:r>
      <w:r w:rsidR="0041071E">
        <w:rPr>
          <w:rFonts w:cs="Calibri"/>
        </w:rPr>
        <w:t xml:space="preserve">gramu </w:t>
      </w:r>
      <w:r w:rsidR="0041071E" w:rsidRPr="662E54F4">
        <w:rPr>
          <w:rFonts w:cs="Calibri"/>
        </w:rPr>
        <w:t>INTER-EXC</w:t>
      </w:r>
      <w:r w:rsidR="0041071E">
        <w:rPr>
          <w:rFonts w:cs="Calibri"/>
        </w:rPr>
        <w:t>ELLENCE II (2022</w:t>
      </w:r>
      <w:r w:rsidR="0041071E" w:rsidRPr="662E54F4">
        <w:rPr>
          <w:rFonts w:cs="Calibri"/>
        </w:rPr>
        <w:t>–</w:t>
      </w:r>
      <w:r w:rsidRPr="662E54F4">
        <w:rPr>
          <w:rFonts w:cs="Calibri"/>
        </w:rPr>
        <w:t xml:space="preserve">2029) již není podprogram </w:t>
      </w:r>
      <w:r w:rsidR="0041071E" w:rsidRPr="662E54F4">
        <w:rPr>
          <w:rFonts w:cs="Calibri"/>
        </w:rPr>
        <w:t>INTER-INFORM</w:t>
      </w:r>
      <w:r w:rsidRPr="662E54F4">
        <w:rPr>
          <w:rFonts w:cs="Calibri"/>
        </w:rPr>
        <w:t xml:space="preserve"> zařazen.</w:t>
      </w:r>
    </w:p>
    <w:p w14:paraId="4C07CDF2" w14:textId="77777777" w:rsidR="662E54F4" w:rsidRDefault="662E54F4" w:rsidP="662E54F4">
      <w:pPr>
        <w:spacing w:line="257" w:lineRule="auto"/>
      </w:pPr>
      <w:r w:rsidRPr="662E54F4">
        <w:rPr>
          <w:rFonts w:cs="Calibri"/>
        </w:rPr>
        <w:t xml:space="preserve">Usnesením vlády </w:t>
      </w:r>
      <w:r w:rsidR="0055759B">
        <w:rPr>
          <w:rFonts w:cs="Calibri"/>
        </w:rPr>
        <w:t xml:space="preserve">ČR </w:t>
      </w:r>
      <w:r w:rsidRPr="662E54F4">
        <w:rPr>
          <w:rFonts w:cs="Calibri"/>
        </w:rPr>
        <w:t>ze dne 25.</w:t>
      </w:r>
      <w:r w:rsidR="0041071E">
        <w:rPr>
          <w:rFonts w:cs="Calibri"/>
        </w:rPr>
        <w:t xml:space="preserve"> </w:t>
      </w:r>
      <w:r w:rsidRPr="662E54F4">
        <w:rPr>
          <w:rFonts w:cs="Calibri"/>
        </w:rPr>
        <w:t>1. 2021 byl schválen projekt sdí</w:t>
      </w:r>
      <w:r w:rsidR="0041071E">
        <w:rPr>
          <w:rFonts w:cs="Calibri"/>
        </w:rPr>
        <w:t xml:space="preserve">lených činností pro období </w:t>
      </w:r>
      <w:r w:rsidR="0055759B">
        <w:rPr>
          <w:rFonts w:cs="Calibri"/>
        </w:rPr>
        <w:t xml:space="preserve">let </w:t>
      </w:r>
      <w:r w:rsidR="0041071E">
        <w:rPr>
          <w:rFonts w:cs="Calibri"/>
        </w:rPr>
        <w:t>2021–</w:t>
      </w:r>
      <w:r w:rsidRPr="662E54F4">
        <w:rPr>
          <w:rFonts w:cs="Calibri"/>
        </w:rPr>
        <w:t xml:space="preserve">2027 </w:t>
      </w:r>
      <w:r w:rsidRPr="662E54F4">
        <w:rPr>
          <w:rFonts w:cs="Calibri"/>
          <w:b/>
          <w:bCs/>
        </w:rPr>
        <w:t>Prohloubení integrace výzkumného</w:t>
      </w:r>
      <w:r w:rsidR="009B66B5">
        <w:rPr>
          <w:rFonts w:cs="Calibri"/>
          <w:b/>
          <w:bCs/>
        </w:rPr>
        <w:t xml:space="preserve"> a </w:t>
      </w:r>
      <w:r w:rsidRPr="662E54F4">
        <w:rPr>
          <w:rFonts w:cs="Calibri"/>
          <w:b/>
          <w:bCs/>
        </w:rPr>
        <w:t>inovačního ekosystému ČR do Evropského výzkumného prostoru</w:t>
      </w:r>
      <w:r w:rsidR="009B66B5">
        <w:rPr>
          <w:rFonts w:cs="Calibri"/>
          <w:b/>
          <w:bCs/>
        </w:rPr>
        <w:t xml:space="preserve"> a </w:t>
      </w:r>
      <w:r w:rsidRPr="662E54F4">
        <w:rPr>
          <w:rFonts w:cs="Calibri"/>
          <w:b/>
          <w:bCs/>
        </w:rPr>
        <w:t>podpora intenzivní mezinárodní spolupráce výzkumných organizací</w:t>
      </w:r>
      <w:r w:rsidR="009B66B5">
        <w:rPr>
          <w:rFonts w:cs="Calibri"/>
          <w:b/>
          <w:bCs/>
        </w:rPr>
        <w:t xml:space="preserve"> a </w:t>
      </w:r>
      <w:r w:rsidRPr="662E54F4">
        <w:rPr>
          <w:rFonts w:cs="Calibri"/>
          <w:b/>
          <w:bCs/>
        </w:rPr>
        <w:t>podniků ČR ve výzkumu, vývoji</w:t>
      </w:r>
      <w:r w:rsidR="009B66B5">
        <w:rPr>
          <w:rFonts w:cs="Calibri"/>
          <w:b/>
          <w:bCs/>
        </w:rPr>
        <w:t xml:space="preserve"> a </w:t>
      </w:r>
      <w:r w:rsidRPr="662E54F4">
        <w:rPr>
          <w:rFonts w:cs="Calibri"/>
          <w:b/>
          <w:bCs/>
        </w:rPr>
        <w:t>inovacích (CZERA)</w:t>
      </w:r>
      <w:r w:rsidRPr="662E54F4">
        <w:rPr>
          <w:rFonts w:cs="Calibri"/>
        </w:rPr>
        <w:t xml:space="preserve">. </w:t>
      </w:r>
    </w:p>
    <w:p w14:paraId="62748FEF" w14:textId="77777777" w:rsidR="662E54F4" w:rsidRDefault="662E54F4" w:rsidP="662E54F4">
      <w:pPr>
        <w:spacing w:line="257" w:lineRule="auto"/>
      </w:pPr>
      <w:r w:rsidRPr="662E54F4">
        <w:rPr>
          <w:rFonts w:cs="Calibri"/>
        </w:rPr>
        <w:t>Stěžejní cíl projektu CZERA je poskytnout všem zúčastněným stakeholderům</w:t>
      </w:r>
      <w:r w:rsidR="009B66B5">
        <w:rPr>
          <w:rFonts w:cs="Calibri"/>
        </w:rPr>
        <w:t xml:space="preserve"> z </w:t>
      </w:r>
      <w:r w:rsidRPr="662E54F4">
        <w:rPr>
          <w:rFonts w:cs="Calibri"/>
        </w:rPr>
        <w:t>prostředí VaVaI</w:t>
      </w:r>
      <w:r w:rsidR="009B66B5">
        <w:rPr>
          <w:rFonts w:cs="Calibri"/>
        </w:rPr>
        <w:t xml:space="preserve"> v </w:t>
      </w:r>
      <w:r w:rsidRPr="662E54F4">
        <w:rPr>
          <w:rFonts w:cs="Calibri"/>
        </w:rPr>
        <w:t>ČR kompletní portfolio služeb analytického, informačního, poradenského</w:t>
      </w:r>
      <w:r w:rsidR="009B66B5">
        <w:rPr>
          <w:rFonts w:cs="Calibri"/>
        </w:rPr>
        <w:t xml:space="preserve"> a </w:t>
      </w:r>
      <w:r w:rsidRPr="662E54F4">
        <w:rPr>
          <w:rFonts w:cs="Calibri"/>
        </w:rPr>
        <w:t>konzultačního charakteru, které jsou spjaty</w:t>
      </w:r>
      <w:r w:rsidR="009B66B5">
        <w:rPr>
          <w:rFonts w:cs="Calibri"/>
        </w:rPr>
        <w:t xml:space="preserve"> s </w:t>
      </w:r>
      <w:r w:rsidRPr="662E54F4">
        <w:rPr>
          <w:rFonts w:cs="Calibri"/>
        </w:rPr>
        <w:t>nároky kladenými na zapojení do mezinárodní spolupráce ve VaVaI. Hlavním řešitelem projektu je Technologické centrum AV ČR, spoluřešiteli Sociologický ústav AV ČR, v.</w:t>
      </w:r>
      <w:r w:rsidR="0041071E">
        <w:rPr>
          <w:rFonts w:cs="Calibri"/>
        </w:rPr>
        <w:t xml:space="preserve"> </w:t>
      </w:r>
      <w:r w:rsidRPr="662E54F4">
        <w:rPr>
          <w:rFonts w:cs="Calibri"/>
        </w:rPr>
        <w:t>v.</w:t>
      </w:r>
      <w:r w:rsidR="0041071E">
        <w:rPr>
          <w:rFonts w:cs="Calibri"/>
        </w:rPr>
        <w:t xml:space="preserve"> </w:t>
      </w:r>
      <w:r w:rsidR="00F168D7">
        <w:rPr>
          <w:rFonts w:cs="Calibri"/>
        </w:rPr>
        <w:t>i. – NKC Ge</w:t>
      </w:r>
      <w:r w:rsidRPr="662E54F4">
        <w:rPr>
          <w:rFonts w:cs="Calibri"/>
        </w:rPr>
        <w:t>nder</w:t>
      </w:r>
      <w:r w:rsidR="009B66B5">
        <w:rPr>
          <w:rFonts w:cs="Calibri"/>
        </w:rPr>
        <w:t xml:space="preserve"> a </w:t>
      </w:r>
      <w:r w:rsidRPr="662E54F4">
        <w:rPr>
          <w:rFonts w:cs="Calibri"/>
        </w:rPr>
        <w:t>věda</w:t>
      </w:r>
      <w:r w:rsidR="009B66B5">
        <w:rPr>
          <w:rFonts w:cs="Calibri"/>
        </w:rPr>
        <w:t xml:space="preserve"> a </w:t>
      </w:r>
      <w:r w:rsidRPr="662E54F4">
        <w:rPr>
          <w:rFonts w:cs="Calibri"/>
        </w:rPr>
        <w:t>Středisko společných činností AV ČR, v.</w:t>
      </w:r>
      <w:r w:rsidR="0041071E">
        <w:rPr>
          <w:rFonts w:cs="Calibri"/>
        </w:rPr>
        <w:t xml:space="preserve"> </w:t>
      </w:r>
      <w:r w:rsidRPr="662E54F4">
        <w:rPr>
          <w:rFonts w:cs="Calibri"/>
        </w:rPr>
        <w:t>v.</w:t>
      </w:r>
      <w:r w:rsidR="0041071E">
        <w:rPr>
          <w:rFonts w:cs="Calibri"/>
        </w:rPr>
        <w:t xml:space="preserve"> </w:t>
      </w:r>
      <w:r w:rsidRPr="662E54F4">
        <w:rPr>
          <w:rFonts w:cs="Calibri"/>
        </w:rPr>
        <w:t>i. – EURAXESS.</w:t>
      </w:r>
    </w:p>
    <w:p w14:paraId="2CC2A78E" w14:textId="77777777" w:rsidR="662E54F4" w:rsidRDefault="662E54F4" w:rsidP="662E54F4">
      <w:pPr>
        <w:spacing w:line="257" w:lineRule="auto"/>
      </w:pPr>
      <w:r w:rsidRPr="662E54F4">
        <w:rPr>
          <w:rFonts w:cs="Calibri"/>
        </w:rPr>
        <w:t>Systematickou informační, konzultační, poradenskou</w:t>
      </w:r>
      <w:r w:rsidR="009B66B5">
        <w:rPr>
          <w:rFonts w:cs="Calibri"/>
        </w:rPr>
        <w:t xml:space="preserve"> a </w:t>
      </w:r>
      <w:r w:rsidRPr="662E54F4">
        <w:rPr>
          <w:rFonts w:cs="Calibri"/>
        </w:rPr>
        <w:t>analytickou činností projekt zabezpečuje efektivní přenos informací</w:t>
      </w:r>
      <w:r w:rsidR="009B66B5">
        <w:rPr>
          <w:rFonts w:cs="Calibri"/>
        </w:rPr>
        <w:t xml:space="preserve"> o </w:t>
      </w:r>
      <w:r w:rsidRPr="662E54F4">
        <w:rPr>
          <w:rFonts w:cs="Calibri"/>
        </w:rPr>
        <w:t>evropských iniciativách</w:t>
      </w:r>
      <w:r w:rsidR="009B66B5">
        <w:rPr>
          <w:rFonts w:cs="Calibri"/>
        </w:rPr>
        <w:t xml:space="preserve"> a </w:t>
      </w:r>
      <w:r w:rsidRPr="662E54F4">
        <w:rPr>
          <w:rFonts w:cs="Calibri"/>
        </w:rPr>
        <w:t>programech VaVaI,</w:t>
      </w:r>
      <w:r w:rsidR="009B66B5">
        <w:rPr>
          <w:rFonts w:cs="Calibri"/>
        </w:rPr>
        <w:t xml:space="preserve"> a </w:t>
      </w:r>
      <w:r w:rsidRPr="662E54F4">
        <w:rPr>
          <w:rFonts w:cs="Calibri"/>
        </w:rPr>
        <w:t>to zejména</w:t>
      </w:r>
      <w:r w:rsidR="009B66B5">
        <w:rPr>
          <w:rFonts w:cs="Calibri"/>
        </w:rPr>
        <w:t xml:space="preserve"> o </w:t>
      </w:r>
      <w:r w:rsidRPr="662E54F4">
        <w:rPr>
          <w:rFonts w:cs="Calibri"/>
        </w:rPr>
        <w:t>Horizont</w:t>
      </w:r>
      <w:r w:rsidR="0055759B">
        <w:rPr>
          <w:rFonts w:cs="Calibri"/>
        </w:rPr>
        <w:t>u</w:t>
      </w:r>
      <w:r w:rsidRPr="662E54F4">
        <w:rPr>
          <w:rFonts w:cs="Calibri"/>
        </w:rPr>
        <w:t xml:space="preserve"> Evropa, na výzkumná</w:t>
      </w:r>
      <w:r w:rsidR="009B66B5">
        <w:rPr>
          <w:rFonts w:cs="Calibri"/>
        </w:rPr>
        <w:t xml:space="preserve"> a </w:t>
      </w:r>
      <w:r w:rsidRPr="662E54F4">
        <w:rPr>
          <w:rFonts w:cs="Calibri"/>
        </w:rPr>
        <w:t>inovační pracoviště</w:t>
      </w:r>
      <w:r w:rsidR="009B66B5">
        <w:rPr>
          <w:rFonts w:cs="Calibri"/>
        </w:rPr>
        <w:t xml:space="preserve"> v </w:t>
      </w:r>
      <w:r w:rsidRPr="662E54F4">
        <w:rPr>
          <w:rFonts w:cs="Calibri"/>
        </w:rPr>
        <w:t>ČR mající potenciál podílet se na řešení projektů VaVaI podporovaných</w:t>
      </w:r>
      <w:r w:rsidR="009B66B5">
        <w:rPr>
          <w:rFonts w:cs="Calibri"/>
        </w:rPr>
        <w:t xml:space="preserve"> v </w:t>
      </w:r>
      <w:r w:rsidRPr="662E54F4">
        <w:rPr>
          <w:rFonts w:cs="Calibri"/>
        </w:rPr>
        <w:t>rámci těchto nástrojů. Aktivity</w:t>
      </w:r>
      <w:r w:rsidR="009B66B5">
        <w:rPr>
          <w:rFonts w:cs="Calibri"/>
        </w:rPr>
        <w:t xml:space="preserve"> a </w:t>
      </w:r>
      <w:r w:rsidRPr="662E54F4">
        <w:rPr>
          <w:rFonts w:cs="Calibri"/>
        </w:rPr>
        <w:t xml:space="preserve">služby </w:t>
      </w:r>
      <w:r w:rsidRPr="662E54F4">
        <w:rPr>
          <w:rFonts w:cs="Calibri"/>
        </w:rPr>
        <w:lastRenderedPageBreak/>
        <w:t>projektu jsou postaveny na třech komplementárních modulech, které odborně zajišťují partneři projektu:</w:t>
      </w:r>
    </w:p>
    <w:p w14:paraId="42A2C35C" w14:textId="77777777" w:rsidR="662E54F4" w:rsidRDefault="662E54F4">
      <w:pPr>
        <w:pStyle w:val="Odstavecseseznamem"/>
        <w:numPr>
          <w:ilvl w:val="0"/>
          <w:numId w:val="20"/>
        </w:numPr>
        <w:rPr>
          <w:rFonts w:cs="Calibri"/>
        </w:rPr>
      </w:pPr>
      <w:r w:rsidRPr="662E54F4">
        <w:rPr>
          <w:rFonts w:cs="Calibri"/>
        </w:rPr>
        <w:t>Modul 1: Národní informační centrum pro evropský výzkum (NICER) rozvíjí aktivity</w:t>
      </w:r>
      <w:r w:rsidR="009B66B5">
        <w:rPr>
          <w:rFonts w:cs="Calibri"/>
        </w:rPr>
        <w:t xml:space="preserve"> a </w:t>
      </w:r>
      <w:r w:rsidRPr="662E54F4">
        <w:rPr>
          <w:rFonts w:cs="Calibri"/>
        </w:rPr>
        <w:t>poskytuje služby</w:t>
      </w:r>
      <w:r w:rsidR="009B66B5">
        <w:rPr>
          <w:rFonts w:cs="Calibri"/>
        </w:rPr>
        <w:t xml:space="preserve"> v </w:t>
      </w:r>
      <w:r w:rsidRPr="662E54F4">
        <w:rPr>
          <w:rFonts w:cs="Calibri"/>
        </w:rPr>
        <w:t>oblastech:</w:t>
      </w:r>
    </w:p>
    <w:p w14:paraId="792D72EA" w14:textId="77777777" w:rsidR="662E54F4" w:rsidRDefault="662E54F4">
      <w:pPr>
        <w:pStyle w:val="Odstavecseseznamem"/>
        <w:numPr>
          <w:ilvl w:val="1"/>
          <w:numId w:val="20"/>
        </w:numPr>
      </w:pPr>
      <w:r w:rsidRPr="662E54F4">
        <w:rPr>
          <w:rFonts w:cs="Calibri"/>
        </w:rPr>
        <w:t xml:space="preserve">Komplexní informační činnost pro zapojení do </w:t>
      </w:r>
      <w:r w:rsidR="00C032C8">
        <w:rPr>
          <w:rFonts w:cs="Calibri"/>
        </w:rPr>
        <w:t>RP Horizont Evropa</w:t>
      </w:r>
      <w:r w:rsidR="009B66B5">
        <w:rPr>
          <w:rFonts w:cs="Calibri"/>
        </w:rPr>
        <w:t xml:space="preserve"> a </w:t>
      </w:r>
      <w:r w:rsidRPr="662E54F4">
        <w:rPr>
          <w:rFonts w:cs="Calibri"/>
        </w:rPr>
        <w:t xml:space="preserve">dalších iniciativ </w:t>
      </w:r>
    </w:p>
    <w:p w14:paraId="5F9E7AAF" w14:textId="77777777" w:rsidR="662E54F4" w:rsidRDefault="662E54F4">
      <w:pPr>
        <w:pStyle w:val="Odstavecseseznamem"/>
        <w:numPr>
          <w:ilvl w:val="1"/>
          <w:numId w:val="20"/>
        </w:numPr>
        <w:rPr>
          <w:rFonts w:ascii="Courier New" w:eastAsia="Courier New" w:hAnsi="Courier New" w:cs="Courier New"/>
        </w:rPr>
      </w:pPr>
      <w:r w:rsidRPr="662E54F4">
        <w:rPr>
          <w:rFonts w:cs="Calibri"/>
        </w:rPr>
        <w:t>Školicí aktivity, mentoring</w:t>
      </w:r>
      <w:r w:rsidR="009B66B5">
        <w:rPr>
          <w:rFonts w:cs="Calibri"/>
        </w:rPr>
        <w:t xml:space="preserve"> a </w:t>
      </w:r>
      <w:r w:rsidRPr="662E54F4">
        <w:rPr>
          <w:rFonts w:cs="Calibri"/>
        </w:rPr>
        <w:t>expertní činnosti zvyšující připravenost řešitelských týmů</w:t>
      </w:r>
    </w:p>
    <w:p w14:paraId="5DD57931" w14:textId="77777777" w:rsidR="662E54F4" w:rsidRDefault="662E54F4">
      <w:pPr>
        <w:pStyle w:val="Odstavecseseznamem"/>
        <w:numPr>
          <w:ilvl w:val="1"/>
          <w:numId w:val="20"/>
        </w:numPr>
        <w:rPr>
          <w:rFonts w:ascii="Courier New" w:eastAsia="Courier New" w:hAnsi="Courier New" w:cs="Courier New"/>
        </w:rPr>
      </w:pPr>
      <w:r w:rsidRPr="662E54F4">
        <w:rPr>
          <w:rFonts w:cs="Calibri"/>
        </w:rPr>
        <w:t xml:space="preserve">Konzultační činnosti – individuální konzultační podpora </w:t>
      </w:r>
    </w:p>
    <w:p w14:paraId="61974309" w14:textId="77777777" w:rsidR="662E54F4" w:rsidRDefault="662E54F4">
      <w:pPr>
        <w:pStyle w:val="Odstavecseseznamem"/>
        <w:numPr>
          <w:ilvl w:val="1"/>
          <w:numId w:val="20"/>
        </w:numPr>
        <w:rPr>
          <w:rFonts w:ascii="Courier New" w:eastAsia="Courier New" w:hAnsi="Courier New" w:cs="Courier New"/>
        </w:rPr>
      </w:pPr>
      <w:r w:rsidRPr="662E54F4">
        <w:rPr>
          <w:rFonts w:cs="Calibri"/>
        </w:rPr>
        <w:t>Monitoring</w:t>
      </w:r>
      <w:r w:rsidR="009B66B5">
        <w:rPr>
          <w:rFonts w:cs="Calibri"/>
        </w:rPr>
        <w:t xml:space="preserve"> a </w:t>
      </w:r>
      <w:r w:rsidRPr="662E54F4">
        <w:rPr>
          <w:rFonts w:cs="Calibri"/>
        </w:rPr>
        <w:t>vyhodnocování zapojení českých VO</w:t>
      </w:r>
      <w:r w:rsidR="009B66B5">
        <w:rPr>
          <w:rFonts w:cs="Calibri"/>
        </w:rPr>
        <w:t xml:space="preserve"> a </w:t>
      </w:r>
      <w:r w:rsidRPr="662E54F4">
        <w:rPr>
          <w:rFonts w:cs="Calibri"/>
        </w:rPr>
        <w:t>podniků do RP, analytická podpora</w:t>
      </w:r>
    </w:p>
    <w:p w14:paraId="02F3A23D" w14:textId="77777777" w:rsidR="662E54F4" w:rsidRDefault="662E54F4">
      <w:pPr>
        <w:pStyle w:val="Odstavecseseznamem"/>
        <w:numPr>
          <w:ilvl w:val="1"/>
          <w:numId w:val="20"/>
        </w:numPr>
        <w:rPr>
          <w:rFonts w:ascii="Courier New" w:eastAsia="Courier New" w:hAnsi="Courier New" w:cs="Courier New"/>
        </w:rPr>
      </w:pPr>
      <w:r w:rsidRPr="662E54F4">
        <w:rPr>
          <w:rFonts w:cs="Calibri"/>
        </w:rPr>
        <w:t>Podpora diseminace výsledků projektů, popularizace</w:t>
      </w:r>
    </w:p>
    <w:p w14:paraId="57A3BC33" w14:textId="77777777" w:rsidR="662E54F4" w:rsidRDefault="662E54F4">
      <w:pPr>
        <w:pStyle w:val="Odstavecseseznamem"/>
        <w:numPr>
          <w:ilvl w:val="1"/>
          <w:numId w:val="20"/>
        </w:numPr>
        <w:rPr>
          <w:rFonts w:ascii="Courier New" w:eastAsia="Courier New" w:hAnsi="Courier New" w:cs="Courier New"/>
        </w:rPr>
      </w:pPr>
      <w:r w:rsidRPr="662E54F4">
        <w:rPr>
          <w:rFonts w:cs="Calibri"/>
        </w:rPr>
        <w:t>Expertní podpora orgánům státní správy, delegátům</w:t>
      </w:r>
      <w:r w:rsidR="009B66B5">
        <w:rPr>
          <w:rFonts w:cs="Calibri"/>
        </w:rPr>
        <w:t xml:space="preserve"> a </w:t>
      </w:r>
      <w:r w:rsidRPr="662E54F4">
        <w:rPr>
          <w:rFonts w:cs="Calibri"/>
        </w:rPr>
        <w:t>zástupcům ČR</w:t>
      </w:r>
      <w:r w:rsidR="009B66B5">
        <w:rPr>
          <w:rFonts w:cs="Calibri"/>
        </w:rPr>
        <w:t xml:space="preserve"> v </w:t>
      </w:r>
      <w:r w:rsidRPr="662E54F4">
        <w:rPr>
          <w:rFonts w:cs="Calibri"/>
        </w:rPr>
        <w:t>orgánech ERA</w:t>
      </w:r>
    </w:p>
    <w:p w14:paraId="3F77D9A8" w14:textId="77777777" w:rsidR="662E54F4" w:rsidRDefault="662E54F4">
      <w:pPr>
        <w:pStyle w:val="Odstavecseseznamem"/>
        <w:numPr>
          <w:ilvl w:val="1"/>
          <w:numId w:val="20"/>
        </w:numPr>
        <w:rPr>
          <w:rFonts w:ascii="Courier New" w:eastAsia="Courier New" w:hAnsi="Courier New" w:cs="Courier New"/>
        </w:rPr>
      </w:pPr>
      <w:r w:rsidRPr="662E54F4">
        <w:rPr>
          <w:rFonts w:cs="Calibri"/>
        </w:rPr>
        <w:t>Zvyšování</w:t>
      </w:r>
      <w:r w:rsidR="009B66B5">
        <w:rPr>
          <w:rFonts w:cs="Calibri"/>
        </w:rPr>
        <w:t xml:space="preserve"> a </w:t>
      </w:r>
      <w:r w:rsidRPr="662E54F4">
        <w:rPr>
          <w:rFonts w:cs="Calibri"/>
        </w:rPr>
        <w:t>prohlubování kvalifikace NCP</w:t>
      </w:r>
      <w:r w:rsidR="009B66B5">
        <w:rPr>
          <w:rFonts w:cs="Calibri"/>
        </w:rPr>
        <w:t xml:space="preserve"> a </w:t>
      </w:r>
      <w:r w:rsidRPr="662E54F4">
        <w:rPr>
          <w:rFonts w:cs="Calibri"/>
        </w:rPr>
        <w:t>spolupráce</w:t>
      </w:r>
      <w:r w:rsidR="009B66B5">
        <w:rPr>
          <w:rFonts w:cs="Calibri"/>
        </w:rPr>
        <w:t xml:space="preserve"> s </w:t>
      </w:r>
      <w:r w:rsidRPr="662E54F4">
        <w:rPr>
          <w:rFonts w:cs="Calibri"/>
        </w:rPr>
        <w:t>mezinárodní sítí NCP</w:t>
      </w:r>
    </w:p>
    <w:p w14:paraId="73E5C670" w14:textId="77777777" w:rsidR="662E54F4" w:rsidRDefault="662E54F4">
      <w:pPr>
        <w:pStyle w:val="Odstavecseseznamem"/>
        <w:numPr>
          <w:ilvl w:val="0"/>
          <w:numId w:val="20"/>
        </w:numPr>
        <w:rPr>
          <w:rFonts w:cs="Calibri"/>
        </w:rPr>
      </w:pPr>
      <w:r w:rsidRPr="662E54F4">
        <w:rPr>
          <w:rFonts w:cs="Calibri"/>
        </w:rPr>
        <w:t>Modul 2: Národní informační centrum pro genderové otázky</w:t>
      </w:r>
      <w:r w:rsidR="009B66B5">
        <w:rPr>
          <w:rFonts w:cs="Calibri"/>
        </w:rPr>
        <w:t xml:space="preserve"> v </w:t>
      </w:r>
      <w:r w:rsidRPr="662E54F4">
        <w:rPr>
          <w:rFonts w:cs="Calibri"/>
        </w:rPr>
        <w:t xml:space="preserve">evropském výzkumu poskytuje: </w:t>
      </w:r>
    </w:p>
    <w:p w14:paraId="50FAB0AC" w14:textId="77777777" w:rsidR="662E54F4" w:rsidRDefault="662E54F4">
      <w:pPr>
        <w:pStyle w:val="Odstavecseseznamem"/>
        <w:numPr>
          <w:ilvl w:val="1"/>
          <w:numId w:val="20"/>
        </w:numPr>
      </w:pPr>
      <w:r w:rsidRPr="662E54F4">
        <w:rPr>
          <w:rFonts w:cs="Calibri"/>
        </w:rPr>
        <w:t>Expertní podporu výzkumným organizacím ČR</w:t>
      </w:r>
      <w:r w:rsidR="009B66B5">
        <w:rPr>
          <w:rFonts w:cs="Calibri"/>
        </w:rPr>
        <w:t xml:space="preserve"> v </w:t>
      </w:r>
      <w:r w:rsidRPr="662E54F4">
        <w:rPr>
          <w:rFonts w:cs="Calibri"/>
        </w:rPr>
        <w:t>oblast</w:t>
      </w:r>
      <w:r w:rsidR="0041071E">
        <w:rPr>
          <w:rFonts w:cs="Calibri"/>
        </w:rPr>
        <w:t>i genderové rovnosti ve VaVaI, gender</w:t>
      </w:r>
      <w:r w:rsidR="009B66B5">
        <w:rPr>
          <w:rFonts w:cs="Calibri"/>
        </w:rPr>
        <w:t xml:space="preserve"> v </w:t>
      </w:r>
      <w:r w:rsidR="0041071E">
        <w:rPr>
          <w:rFonts w:cs="Calibri"/>
        </w:rPr>
        <w:t>Horizontu Evropa, p</w:t>
      </w:r>
      <w:r w:rsidRPr="662E54F4">
        <w:rPr>
          <w:rFonts w:cs="Calibri"/>
        </w:rPr>
        <w:t>lány genderové rovnosti</w:t>
      </w:r>
    </w:p>
    <w:p w14:paraId="3C58853C" w14:textId="77777777" w:rsidR="662E54F4" w:rsidRDefault="662E54F4">
      <w:pPr>
        <w:pStyle w:val="Odstavecseseznamem"/>
        <w:numPr>
          <w:ilvl w:val="1"/>
          <w:numId w:val="20"/>
        </w:numPr>
        <w:spacing w:line="257" w:lineRule="auto"/>
        <w:rPr>
          <w:rFonts w:ascii="Courier New" w:eastAsia="Courier New" w:hAnsi="Courier New" w:cs="Courier New"/>
        </w:rPr>
      </w:pPr>
      <w:r w:rsidRPr="662E54F4">
        <w:rPr>
          <w:rFonts w:cs="Calibri"/>
        </w:rPr>
        <w:t>Expertní podporu orgánům státní správy ČR</w:t>
      </w:r>
      <w:r w:rsidR="009B66B5">
        <w:rPr>
          <w:rFonts w:cs="Calibri"/>
        </w:rPr>
        <w:t xml:space="preserve"> v </w:t>
      </w:r>
      <w:r w:rsidRPr="662E54F4">
        <w:rPr>
          <w:rFonts w:cs="Calibri"/>
        </w:rPr>
        <w:t>oblasti genderové rovnosti ve VaVaI na státní úrovni</w:t>
      </w:r>
    </w:p>
    <w:p w14:paraId="2AFC24F7" w14:textId="77777777" w:rsidR="662E54F4" w:rsidRDefault="662E54F4">
      <w:pPr>
        <w:pStyle w:val="Odstavecseseznamem"/>
        <w:numPr>
          <w:ilvl w:val="1"/>
          <w:numId w:val="20"/>
        </w:numPr>
        <w:spacing w:line="257" w:lineRule="auto"/>
        <w:rPr>
          <w:rFonts w:ascii="Courier New" w:eastAsia="Courier New" w:hAnsi="Courier New" w:cs="Courier New"/>
        </w:rPr>
      </w:pPr>
      <w:r w:rsidRPr="662E54F4">
        <w:rPr>
          <w:rFonts w:cs="Calibri"/>
        </w:rPr>
        <w:t>Expertní podporu pro plnění závazků ČR</w:t>
      </w:r>
      <w:r w:rsidR="009B66B5">
        <w:rPr>
          <w:rFonts w:cs="Calibri"/>
        </w:rPr>
        <w:t xml:space="preserve"> v </w:t>
      </w:r>
      <w:r w:rsidRPr="662E54F4">
        <w:rPr>
          <w:rFonts w:cs="Calibri"/>
        </w:rPr>
        <w:t>oblasti genderové rovnosti ve VaVaI na mezinárodní úrovni</w:t>
      </w:r>
    </w:p>
    <w:p w14:paraId="2622ED3A" w14:textId="77777777" w:rsidR="662E54F4" w:rsidRDefault="662E54F4">
      <w:pPr>
        <w:pStyle w:val="Odstavecseseznamem"/>
        <w:numPr>
          <w:ilvl w:val="0"/>
          <w:numId w:val="20"/>
        </w:numPr>
        <w:rPr>
          <w:rFonts w:cs="Calibri"/>
        </w:rPr>
      </w:pPr>
      <w:r w:rsidRPr="662E54F4">
        <w:rPr>
          <w:rFonts w:cs="Calibri"/>
        </w:rPr>
        <w:t>Modul 3: EURAXESS ČR se zaměřuje zejména na:</w:t>
      </w:r>
    </w:p>
    <w:p w14:paraId="24F38737" w14:textId="77777777" w:rsidR="662E54F4" w:rsidRDefault="662E54F4">
      <w:pPr>
        <w:pStyle w:val="Odstavecseseznamem"/>
        <w:numPr>
          <w:ilvl w:val="1"/>
          <w:numId w:val="20"/>
        </w:numPr>
      </w:pPr>
      <w:r w:rsidRPr="662E54F4">
        <w:rPr>
          <w:rFonts w:cs="Calibri"/>
        </w:rPr>
        <w:t>Usnadnění mezinárodní mobility vědeckých pracovníků, internacionalizaci výzkumných týmů</w:t>
      </w:r>
    </w:p>
    <w:p w14:paraId="2D9704DA" w14:textId="77777777" w:rsidR="662E54F4" w:rsidRDefault="662E54F4">
      <w:pPr>
        <w:pStyle w:val="Odstavecseseznamem"/>
        <w:numPr>
          <w:ilvl w:val="1"/>
          <w:numId w:val="20"/>
        </w:numPr>
        <w:spacing w:line="257" w:lineRule="auto"/>
        <w:rPr>
          <w:rFonts w:cs="Calibri"/>
        </w:rPr>
      </w:pPr>
      <w:r w:rsidRPr="662E54F4">
        <w:rPr>
          <w:rFonts w:cs="Calibri"/>
        </w:rPr>
        <w:t>Konzultační</w:t>
      </w:r>
      <w:r w:rsidR="009B66B5">
        <w:rPr>
          <w:rFonts w:cs="Calibri"/>
        </w:rPr>
        <w:t xml:space="preserve"> a </w:t>
      </w:r>
      <w:r w:rsidRPr="662E54F4">
        <w:rPr>
          <w:rFonts w:cs="Calibri"/>
        </w:rPr>
        <w:t>metodickou pomoc pro zahraniční vědce</w:t>
      </w:r>
      <w:r w:rsidR="009B66B5">
        <w:rPr>
          <w:rFonts w:cs="Calibri"/>
        </w:rPr>
        <w:t xml:space="preserve"> a </w:t>
      </w:r>
      <w:r w:rsidRPr="662E54F4">
        <w:rPr>
          <w:rFonts w:cs="Calibri"/>
        </w:rPr>
        <w:t xml:space="preserve">jejich tuzemské zaměstnavatele </w:t>
      </w:r>
    </w:p>
    <w:p w14:paraId="15A1D7B2" w14:textId="77777777" w:rsidR="662E54F4" w:rsidRDefault="662E54F4">
      <w:pPr>
        <w:pStyle w:val="Odstavecseseznamem"/>
        <w:numPr>
          <w:ilvl w:val="1"/>
          <w:numId w:val="20"/>
        </w:numPr>
        <w:spacing w:line="257" w:lineRule="auto"/>
      </w:pPr>
      <w:r w:rsidRPr="662E54F4">
        <w:rPr>
          <w:rFonts w:cs="Calibri"/>
        </w:rPr>
        <w:t>Individualizované poradenství</w:t>
      </w:r>
      <w:r w:rsidR="009B66B5">
        <w:rPr>
          <w:rFonts w:cs="Calibri"/>
        </w:rPr>
        <w:t xml:space="preserve"> a </w:t>
      </w:r>
      <w:r w:rsidRPr="662E54F4">
        <w:rPr>
          <w:rFonts w:cs="Calibri"/>
        </w:rPr>
        <w:t>osobní asistenci</w:t>
      </w:r>
      <w:r w:rsidR="009B66B5">
        <w:rPr>
          <w:rFonts w:cs="Calibri"/>
        </w:rPr>
        <w:t xml:space="preserve"> v </w:t>
      </w:r>
      <w:r w:rsidRPr="662E54F4">
        <w:rPr>
          <w:rFonts w:cs="Calibri"/>
        </w:rPr>
        <w:t>různých životních situacích zahraničních vědců</w:t>
      </w:r>
      <w:r w:rsidR="009B66B5">
        <w:rPr>
          <w:rFonts w:cs="Calibri"/>
        </w:rPr>
        <w:t xml:space="preserve"> i </w:t>
      </w:r>
      <w:r w:rsidRPr="662E54F4">
        <w:rPr>
          <w:rFonts w:cs="Calibri"/>
        </w:rPr>
        <w:t>jejich rodinných příslušníků</w:t>
      </w:r>
    </w:p>
    <w:p w14:paraId="7CDC797D" w14:textId="77777777" w:rsidR="662E54F4" w:rsidRDefault="0041071E">
      <w:pPr>
        <w:pStyle w:val="Odstavecseseznamem"/>
        <w:numPr>
          <w:ilvl w:val="1"/>
          <w:numId w:val="20"/>
        </w:numPr>
      </w:pPr>
      <w:r>
        <w:rPr>
          <w:rFonts w:cs="Calibri"/>
        </w:rPr>
        <w:t xml:space="preserve">Víza/pobytová oprávnění </w:t>
      </w:r>
      <w:r w:rsidRPr="662E54F4">
        <w:rPr>
          <w:rFonts w:cs="Calibri"/>
        </w:rPr>
        <w:t>–</w:t>
      </w:r>
      <w:r w:rsidR="662E54F4" w:rsidRPr="662E54F4">
        <w:rPr>
          <w:rFonts w:cs="Calibri"/>
        </w:rPr>
        <w:t xml:space="preserve"> asistence při zprostředkování žádostí</w:t>
      </w:r>
      <w:r w:rsidR="009B66B5">
        <w:rPr>
          <w:rFonts w:cs="Calibri"/>
        </w:rPr>
        <w:t xml:space="preserve"> o </w:t>
      </w:r>
      <w:r w:rsidR="662E54F4" w:rsidRPr="662E54F4">
        <w:rPr>
          <w:rFonts w:cs="Calibri"/>
        </w:rPr>
        <w:t>povolení</w:t>
      </w:r>
      <w:r w:rsidR="009B66B5">
        <w:rPr>
          <w:rFonts w:cs="Calibri"/>
        </w:rPr>
        <w:t xml:space="preserve"> k </w:t>
      </w:r>
      <w:r w:rsidR="662E54F4" w:rsidRPr="662E54F4">
        <w:rPr>
          <w:rFonts w:cs="Calibri"/>
        </w:rPr>
        <w:t>pobytu za účelem vědeckého výzkumu nebo za účelem sloučení rodiny vědeckého pracovníka</w:t>
      </w:r>
    </w:p>
    <w:p w14:paraId="312DA899" w14:textId="77777777" w:rsidR="662E54F4" w:rsidRDefault="662E54F4">
      <w:pPr>
        <w:pStyle w:val="Odstavecseseznamem"/>
        <w:numPr>
          <w:ilvl w:val="1"/>
          <w:numId w:val="20"/>
        </w:numPr>
      </w:pPr>
      <w:r w:rsidRPr="662E54F4">
        <w:rPr>
          <w:rFonts w:cs="Calibri"/>
        </w:rPr>
        <w:t>Sociálně-kulturní aktivity napomáhající integraci</w:t>
      </w:r>
    </w:p>
    <w:p w14:paraId="3FA9B68C" w14:textId="77777777" w:rsidR="662E54F4" w:rsidRDefault="662E54F4" w:rsidP="662E54F4">
      <w:pPr>
        <w:spacing w:line="257" w:lineRule="auto"/>
      </w:pPr>
      <w:r w:rsidRPr="11AA4FDF">
        <w:rPr>
          <w:rFonts w:cs="Calibri"/>
        </w:rPr>
        <w:t>Činnosti</w:t>
      </w:r>
      <w:r w:rsidR="009B66B5">
        <w:rPr>
          <w:rFonts w:cs="Calibri"/>
        </w:rPr>
        <w:t xml:space="preserve"> a </w:t>
      </w:r>
      <w:r w:rsidRPr="11AA4FDF">
        <w:rPr>
          <w:rFonts w:cs="Calibri"/>
        </w:rPr>
        <w:t>výsledky projektu jsou</w:t>
      </w:r>
      <w:r w:rsidR="009463B9">
        <w:rPr>
          <w:rFonts w:cs="Calibri"/>
        </w:rPr>
        <w:t xml:space="preserve"> průběžně </w:t>
      </w:r>
      <w:r w:rsidRPr="11AA4FDF">
        <w:rPr>
          <w:rFonts w:cs="Calibri"/>
        </w:rPr>
        <w:t>sledovány řídicím výborem projektu, jehož jednání</w:t>
      </w:r>
      <w:r w:rsidR="0041071E">
        <w:rPr>
          <w:rFonts w:cs="Calibri"/>
        </w:rPr>
        <w:t xml:space="preserve"> probíhá 3</w:t>
      </w:r>
      <w:r w:rsidRPr="11AA4FDF">
        <w:rPr>
          <w:rFonts w:cs="Calibri"/>
        </w:rPr>
        <w:t>x ročně</w:t>
      </w:r>
      <w:r w:rsidR="009B66B5">
        <w:rPr>
          <w:rFonts w:cs="Calibri"/>
        </w:rPr>
        <w:t xml:space="preserve"> a </w:t>
      </w:r>
      <w:r w:rsidRPr="11AA4FDF">
        <w:rPr>
          <w:rFonts w:cs="Calibri"/>
        </w:rPr>
        <w:t>jsou</w:t>
      </w:r>
      <w:r w:rsidR="009B66B5">
        <w:rPr>
          <w:rFonts w:cs="Calibri"/>
        </w:rPr>
        <w:t xml:space="preserve"> v </w:t>
      </w:r>
      <w:r w:rsidRPr="11AA4FDF">
        <w:rPr>
          <w:rFonts w:cs="Calibri"/>
        </w:rPr>
        <w:t xml:space="preserve">něm </w:t>
      </w:r>
      <w:r w:rsidR="0041071E">
        <w:rPr>
          <w:rFonts w:cs="Calibri"/>
        </w:rPr>
        <w:t>zastoupeni klíčoví stakeholdeři</w:t>
      </w:r>
      <w:r w:rsidRPr="11AA4FDF">
        <w:rPr>
          <w:rFonts w:cs="Calibri"/>
        </w:rPr>
        <w:t xml:space="preserve"> (MŠMT, MPO, RVVI, AV</w:t>
      </w:r>
      <w:r w:rsidR="00C853D7">
        <w:rPr>
          <w:rFonts w:cs="Calibri"/>
        </w:rPr>
        <w:t xml:space="preserve"> </w:t>
      </w:r>
      <w:r w:rsidRPr="11AA4FDF">
        <w:rPr>
          <w:rFonts w:cs="Calibri"/>
        </w:rPr>
        <w:lastRenderedPageBreak/>
        <w:t>ČR, ČKR, TA</w:t>
      </w:r>
      <w:r w:rsidR="00C853D7">
        <w:rPr>
          <w:rFonts w:cs="Calibri"/>
        </w:rPr>
        <w:t xml:space="preserve"> </w:t>
      </w:r>
      <w:r w:rsidRPr="11AA4FDF">
        <w:rPr>
          <w:rFonts w:cs="Calibri"/>
        </w:rPr>
        <w:t>ČR) zastupující hlavní segmenty systému VaVaI. Ti na základě předložených zpráv</w:t>
      </w:r>
      <w:r w:rsidR="009B66B5">
        <w:rPr>
          <w:rFonts w:cs="Calibri"/>
        </w:rPr>
        <w:t xml:space="preserve"> o </w:t>
      </w:r>
      <w:r w:rsidRPr="11AA4FDF">
        <w:rPr>
          <w:rFonts w:cs="Calibri"/>
        </w:rPr>
        <w:t>pokroku</w:t>
      </w:r>
      <w:r w:rsidR="009B66B5">
        <w:rPr>
          <w:rFonts w:cs="Calibri"/>
        </w:rPr>
        <w:t xml:space="preserve"> a </w:t>
      </w:r>
      <w:r w:rsidRPr="11AA4FDF">
        <w:rPr>
          <w:rFonts w:cs="Calibri"/>
        </w:rPr>
        <w:t>prezentovaných průběžných výsledků řešení projektu na jednáních poskytují zpětnou vazbu</w:t>
      </w:r>
      <w:r w:rsidR="009B66B5">
        <w:rPr>
          <w:rFonts w:cs="Calibri"/>
        </w:rPr>
        <w:t xml:space="preserve"> a </w:t>
      </w:r>
      <w:r w:rsidRPr="11AA4FDF">
        <w:rPr>
          <w:rFonts w:cs="Calibri"/>
        </w:rPr>
        <w:t>strategická doporučení. Každoročně je prováděn dotazníkový průzkum spokojenosti klientů</w:t>
      </w:r>
      <w:r w:rsidR="009B66B5">
        <w:rPr>
          <w:rFonts w:cs="Calibri"/>
        </w:rPr>
        <w:t xml:space="preserve"> s </w:t>
      </w:r>
      <w:r w:rsidRPr="11AA4FDF">
        <w:rPr>
          <w:rFonts w:cs="Calibri"/>
        </w:rPr>
        <w:t>poskytnutými konzultačními službami</w:t>
      </w:r>
      <w:r w:rsidR="009B66B5">
        <w:rPr>
          <w:rFonts w:cs="Calibri"/>
        </w:rPr>
        <w:t xml:space="preserve"> v </w:t>
      </w:r>
      <w:r w:rsidRPr="11AA4FDF">
        <w:rPr>
          <w:rFonts w:cs="Calibri"/>
        </w:rPr>
        <w:t>průběhu přípravy</w:t>
      </w:r>
      <w:r w:rsidR="009B66B5">
        <w:rPr>
          <w:rFonts w:cs="Calibri"/>
        </w:rPr>
        <w:t xml:space="preserve"> i </w:t>
      </w:r>
      <w:r w:rsidRPr="11AA4FDF">
        <w:rPr>
          <w:rFonts w:cs="Calibri"/>
        </w:rPr>
        <w:t xml:space="preserve">realizace projektů </w:t>
      </w:r>
      <w:r w:rsidR="0055759B">
        <w:rPr>
          <w:rFonts w:cs="Calibri"/>
        </w:rPr>
        <w:t>RP</w:t>
      </w:r>
      <w:r w:rsidRPr="11AA4FDF">
        <w:rPr>
          <w:rFonts w:cs="Calibri"/>
        </w:rPr>
        <w:t>.</w:t>
      </w:r>
    </w:p>
    <w:p w14:paraId="6CCCDED7" w14:textId="77777777" w:rsidR="662E54F4" w:rsidRDefault="662E54F4" w:rsidP="662E54F4">
      <w:pPr>
        <w:spacing w:line="257" w:lineRule="auto"/>
        <w:rPr>
          <w:highlight w:val="yellow"/>
        </w:rPr>
      </w:pPr>
      <w:r w:rsidRPr="662E54F4">
        <w:rPr>
          <w:rFonts w:cs="Calibri"/>
        </w:rPr>
        <w:t>Projekt CZERA vytváří platformu pro spolupráci, výměnu informací, dobrých praxí</w:t>
      </w:r>
      <w:r w:rsidR="009B66B5">
        <w:rPr>
          <w:rFonts w:cs="Calibri"/>
        </w:rPr>
        <w:t xml:space="preserve"> a </w:t>
      </w:r>
      <w:r w:rsidRPr="662E54F4">
        <w:rPr>
          <w:rFonts w:cs="Calibri"/>
        </w:rPr>
        <w:t>využitelných výsledků</w:t>
      </w:r>
      <w:r w:rsidR="009B66B5">
        <w:rPr>
          <w:rFonts w:cs="Calibri"/>
        </w:rPr>
        <w:t xml:space="preserve"> v </w:t>
      </w:r>
      <w:r w:rsidRPr="662E54F4">
        <w:rPr>
          <w:rFonts w:cs="Calibri"/>
        </w:rPr>
        <w:t>oblasti podpory mezinárodní spolupráce při pravidelných setkáních</w:t>
      </w:r>
      <w:r w:rsidR="00944163">
        <w:rPr>
          <w:rFonts w:cs="Calibri"/>
        </w:rPr>
        <w:t xml:space="preserve"> dvakrát ročně</w:t>
      </w:r>
      <w:r w:rsidR="009B66B5">
        <w:rPr>
          <w:rFonts w:cs="Calibri"/>
        </w:rPr>
        <w:t xml:space="preserve"> s </w:t>
      </w:r>
      <w:r w:rsidRPr="662E54F4">
        <w:rPr>
          <w:rFonts w:cs="Calibri"/>
        </w:rPr>
        <w:t>řešiteli projektů Inter-Excellence Inter-Inform</w:t>
      </w:r>
      <w:r w:rsidR="009B66B5">
        <w:rPr>
          <w:rFonts w:cs="Calibri"/>
        </w:rPr>
        <w:t xml:space="preserve"> a </w:t>
      </w:r>
      <w:r w:rsidRPr="662E54F4">
        <w:rPr>
          <w:rFonts w:cs="Calibri"/>
        </w:rPr>
        <w:t>dalšími zástupci</w:t>
      </w:r>
      <w:r w:rsidR="0041071E">
        <w:rPr>
          <w:rFonts w:cs="Calibri"/>
        </w:rPr>
        <w:t xml:space="preserve"> pracovišť projektové podpory</w:t>
      </w:r>
      <w:r w:rsidR="009B66B5">
        <w:rPr>
          <w:rFonts w:cs="Calibri"/>
        </w:rPr>
        <w:t xml:space="preserve"> v </w:t>
      </w:r>
      <w:r w:rsidRPr="662E54F4">
        <w:rPr>
          <w:rFonts w:cs="Calibri"/>
        </w:rPr>
        <w:t xml:space="preserve">institucích VaVaI – tzv. </w:t>
      </w:r>
      <w:r w:rsidRPr="662E54F4">
        <w:rPr>
          <w:rFonts w:cs="Calibri"/>
          <w:b/>
          <w:bCs/>
        </w:rPr>
        <w:t xml:space="preserve">neformální sítě </w:t>
      </w:r>
      <w:hyperlink r:id="rId46" w:history="1">
        <w:r w:rsidRPr="00C47B13">
          <w:rPr>
            <w:rStyle w:val="Hypertextovodkaz"/>
            <w:rFonts w:cs="Calibri"/>
            <w:b/>
            <w:bCs/>
          </w:rPr>
          <w:t>NINET</w:t>
        </w:r>
      </w:hyperlink>
      <w:r w:rsidRPr="662E54F4">
        <w:rPr>
          <w:rFonts w:cs="Calibri"/>
        </w:rPr>
        <w:t xml:space="preserve">. </w:t>
      </w:r>
      <w:r w:rsidR="006B172F">
        <w:rPr>
          <w:rFonts w:cs="Calibri"/>
        </w:rPr>
        <w:t>Projekt CZERA spolupracuje</w:t>
      </w:r>
      <w:r w:rsidR="009B66B5">
        <w:rPr>
          <w:rFonts w:cs="Calibri"/>
        </w:rPr>
        <w:t xml:space="preserve"> s </w:t>
      </w:r>
      <w:r w:rsidR="0055759B">
        <w:rPr>
          <w:rFonts w:cs="Calibri"/>
        </w:rPr>
        <w:t xml:space="preserve">dalšími </w:t>
      </w:r>
      <w:r w:rsidR="0002762F">
        <w:rPr>
          <w:rFonts w:cs="Calibri"/>
        </w:rPr>
        <w:t xml:space="preserve">projekty sdílených činností, zejména </w:t>
      </w:r>
      <w:r w:rsidR="0075219B">
        <w:rPr>
          <w:rFonts w:cs="Calibri"/>
        </w:rPr>
        <w:t>STRATIN+</w:t>
      </w:r>
      <w:r w:rsidR="009B66B5">
        <w:rPr>
          <w:rFonts w:cs="Calibri"/>
        </w:rPr>
        <w:t xml:space="preserve"> a </w:t>
      </w:r>
      <w:r w:rsidR="0075219B">
        <w:rPr>
          <w:rFonts w:cs="Calibri"/>
        </w:rPr>
        <w:t>CZELO.</w:t>
      </w:r>
    </w:p>
    <w:p w14:paraId="0A8DD0F9" w14:textId="77777777" w:rsidR="662E54F4" w:rsidRDefault="662E54F4" w:rsidP="662E54F4">
      <w:pPr>
        <w:spacing w:line="257" w:lineRule="auto"/>
        <w:rPr>
          <w:highlight w:val="yellow"/>
        </w:rPr>
      </w:pPr>
      <w:r w:rsidRPr="662E54F4">
        <w:rPr>
          <w:rFonts w:cs="Calibri"/>
        </w:rPr>
        <w:t>Dvakrát ročně jsou Technologickým centrem AV ČR</w:t>
      </w:r>
      <w:r w:rsidR="009B66B5">
        <w:rPr>
          <w:rFonts w:cs="Calibri"/>
        </w:rPr>
        <w:t xml:space="preserve"> v </w:t>
      </w:r>
      <w:r w:rsidRPr="662E54F4">
        <w:rPr>
          <w:rFonts w:cs="Calibri"/>
        </w:rPr>
        <w:t xml:space="preserve">rámci projektu CZERA pořádána setkaní </w:t>
      </w:r>
      <w:r w:rsidRPr="662E54F4">
        <w:rPr>
          <w:rFonts w:cs="Calibri"/>
          <w:b/>
          <w:bCs/>
        </w:rPr>
        <w:t xml:space="preserve">pracovní skupiny </w:t>
      </w:r>
      <w:r w:rsidR="008C6A48" w:rsidRPr="11AA4FDF">
        <w:rPr>
          <w:rFonts w:cs="Calibri"/>
          <w:b/>
          <w:bCs/>
        </w:rPr>
        <w:t>projektových manažerek</w:t>
      </w:r>
      <w:r w:rsidR="009B66B5">
        <w:rPr>
          <w:rFonts w:cs="Calibri"/>
          <w:b/>
          <w:bCs/>
        </w:rPr>
        <w:t xml:space="preserve"> a </w:t>
      </w:r>
      <w:r w:rsidR="008C6A48" w:rsidRPr="11AA4FDF">
        <w:rPr>
          <w:rFonts w:cs="Calibri"/>
          <w:b/>
          <w:bCs/>
        </w:rPr>
        <w:t xml:space="preserve">manažerů </w:t>
      </w:r>
      <w:r w:rsidR="0055759B">
        <w:rPr>
          <w:rFonts w:cs="Calibri"/>
          <w:b/>
          <w:bCs/>
        </w:rPr>
        <w:t>RP</w:t>
      </w:r>
      <w:r w:rsidR="009B66B5">
        <w:rPr>
          <w:rFonts w:cs="Calibri"/>
          <w:b/>
          <w:bCs/>
        </w:rPr>
        <w:t xml:space="preserve"> z </w:t>
      </w:r>
      <w:r w:rsidR="008C6A48" w:rsidRPr="11AA4FDF">
        <w:rPr>
          <w:rFonts w:cs="Calibri"/>
          <w:b/>
          <w:bCs/>
        </w:rPr>
        <w:t>vysokých škol</w:t>
      </w:r>
      <w:r w:rsidR="009B66B5">
        <w:rPr>
          <w:rFonts w:cs="Calibri"/>
          <w:b/>
          <w:bCs/>
        </w:rPr>
        <w:t xml:space="preserve"> a </w:t>
      </w:r>
      <w:r w:rsidR="008C6A48" w:rsidRPr="11AA4FDF">
        <w:rPr>
          <w:rFonts w:cs="Calibri"/>
          <w:b/>
          <w:bCs/>
        </w:rPr>
        <w:t>ústavů AV</w:t>
      </w:r>
      <w:r w:rsidR="00C853D7">
        <w:rPr>
          <w:rFonts w:cs="Calibri"/>
          <w:b/>
          <w:bCs/>
        </w:rPr>
        <w:t xml:space="preserve"> </w:t>
      </w:r>
      <w:r w:rsidR="008C6A48" w:rsidRPr="11AA4FDF">
        <w:rPr>
          <w:rFonts w:cs="Calibri"/>
          <w:b/>
          <w:bCs/>
        </w:rPr>
        <w:t>ČR</w:t>
      </w:r>
      <w:r w:rsidR="009B66B5">
        <w:rPr>
          <w:rFonts w:cs="Calibri"/>
          <w:b/>
          <w:bCs/>
        </w:rPr>
        <w:t xml:space="preserve"> s </w:t>
      </w:r>
      <w:r w:rsidRPr="662E54F4">
        <w:rPr>
          <w:rFonts w:cs="Calibri"/>
        </w:rPr>
        <w:t>cílem informovat</w:t>
      </w:r>
      <w:r w:rsidR="009B66B5">
        <w:rPr>
          <w:rFonts w:cs="Calibri"/>
        </w:rPr>
        <w:t xml:space="preserve"> o </w:t>
      </w:r>
      <w:r w:rsidRPr="662E54F4">
        <w:rPr>
          <w:rFonts w:cs="Calibri"/>
        </w:rPr>
        <w:t>aktuálních novinkách</w:t>
      </w:r>
      <w:r w:rsidR="009B66B5">
        <w:rPr>
          <w:rFonts w:cs="Calibri"/>
        </w:rPr>
        <w:t xml:space="preserve"> a </w:t>
      </w:r>
      <w:r w:rsidRPr="662E54F4">
        <w:rPr>
          <w:rFonts w:cs="Calibri"/>
        </w:rPr>
        <w:t>sdílet zkušenosti zejména</w:t>
      </w:r>
      <w:r w:rsidR="009B66B5">
        <w:rPr>
          <w:rFonts w:cs="Calibri"/>
        </w:rPr>
        <w:t xml:space="preserve"> z </w:t>
      </w:r>
      <w:r w:rsidRPr="662E54F4">
        <w:rPr>
          <w:rFonts w:cs="Calibri"/>
        </w:rPr>
        <w:t>administrativní</w:t>
      </w:r>
      <w:r w:rsidR="00FD0469" w:rsidRPr="11AA4FDF">
        <w:rPr>
          <w:rFonts w:cs="Calibri"/>
        </w:rPr>
        <w:t>ch</w:t>
      </w:r>
      <w:r w:rsidRPr="662E54F4">
        <w:rPr>
          <w:rFonts w:cs="Calibri"/>
        </w:rPr>
        <w:t>, finanční</w:t>
      </w:r>
      <w:r w:rsidR="00FD0469" w:rsidRPr="11AA4FDF">
        <w:rPr>
          <w:rFonts w:cs="Calibri"/>
        </w:rPr>
        <w:t>ch</w:t>
      </w:r>
      <w:r w:rsidR="00AE22E2" w:rsidRPr="11AA4FDF">
        <w:rPr>
          <w:rFonts w:cs="Calibri"/>
        </w:rPr>
        <w:t>, právních</w:t>
      </w:r>
      <w:r w:rsidR="009B66B5">
        <w:rPr>
          <w:rFonts w:cs="Calibri"/>
        </w:rPr>
        <w:t xml:space="preserve"> a </w:t>
      </w:r>
      <w:r w:rsidRPr="662E54F4">
        <w:rPr>
          <w:rFonts w:cs="Calibri"/>
        </w:rPr>
        <w:t>dalších průřezových oblastí (otevřený přístup</w:t>
      </w:r>
      <w:r w:rsidR="009B66B5">
        <w:rPr>
          <w:rFonts w:cs="Calibri"/>
        </w:rPr>
        <w:t xml:space="preserve"> k </w:t>
      </w:r>
      <w:r w:rsidRPr="662E54F4">
        <w:rPr>
          <w:rFonts w:cs="Calibri"/>
        </w:rPr>
        <w:t>vědeckým informacím, genderové aspekty aj.) důležitých pro proces přípravy</w:t>
      </w:r>
      <w:r w:rsidR="009B66B5">
        <w:rPr>
          <w:rFonts w:cs="Calibri"/>
        </w:rPr>
        <w:t xml:space="preserve"> a </w:t>
      </w:r>
      <w:r w:rsidRPr="662E54F4">
        <w:rPr>
          <w:rFonts w:cs="Calibri"/>
        </w:rPr>
        <w:t>implementace projektů rámcového programu.</w:t>
      </w:r>
      <w:r w:rsidR="00BB3B43">
        <w:rPr>
          <w:rFonts w:cs="Calibri"/>
        </w:rPr>
        <w:t xml:space="preserve"> </w:t>
      </w:r>
      <w:r w:rsidR="00631AAF" w:rsidRPr="11AA4FDF">
        <w:rPr>
          <w:rFonts w:cs="Calibri"/>
        </w:rPr>
        <w:t xml:space="preserve">Letos proběhlo již </w:t>
      </w:r>
      <w:hyperlink r:id="rId47" w:history="1">
        <w:r w:rsidR="00631AAF" w:rsidRPr="11AA4FDF">
          <w:rPr>
            <w:rStyle w:val="Hypertextovodkaz"/>
            <w:rFonts w:cs="Calibri"/>
          </w:rPr>
          <w:t xml:space="preserve">30. setkání </w:t>
        </w:r>
        <w:r w:rsidR="00787AC9" w:rsidRPr="11AA4FDF">
          <w:rPr>
            <w:rStyle w:val="Hypertextovodkaz"/>
            <w:rFonts w:cs="Calibri"/>
          </w:rPr>
          <w:t>této skupiny</w:t>
        </w:r>
      </w:hyperlink>
      <w:r w:rsidR="00787AC9" w:rsidRPr="11AA4FDF">
        <w:rPr>
          <w:rFonts w:cs="Calibri"/>
        </w:rPr>
        <w:t>.</w:t>
      </w:r>
      <w:r w:rsidR="002217CD" w:rsidRPr="11AA4FDF">
        <w:rPr>
          <w:rFonts w:cs="Calibri"/>
        </w:rPr>
        <w:t xml:space="preserve"> V budoucnu</w:t>
      </w:r>
      <w:r w:rsidR="00787AC9" w:rsidRPr="11AA4FDF">
        <w:rPr>
          <w:rFonts w:cs="Calibri"/>
        </w:rPr>
        <w:t xml:space="preserve"> </w:t>
      </w:r>
      <w:r w:rsidR="00D622B8" w:rsidRPr="11AA4FDF">
        <w:rPr>
          <w:rFonts w:cs="Calibri"/>
        </w:rPr>
        <w:t xml:space="preserve">bude skupina </w:t>
      </w:r>
      <w:r w:rsidR="002217CD" w:rsidRPr="11AA4FDF">
        <w:rPr>
          <w:rFonts w:cs="Calibri"/>
        </w:rPr>
        <w:t>spolupracovat</w:t>
      </w:r>
      <w:r w:rsidR="009B66B5">
        <w:rPr>
          <w:rFonts w:cs="Calibri"/>
        </w:rPr>
        <w:t xml:space="preserve"> i s </w:t>
      </w:r>
      <w:r w:rsidR="002217CD" w:rsidRPr="11AA4FDF">
        <w:rPr>
          <w:rFonts w:cs="Calibri"/>
        </w:rPr>
        <w:t xml:space="preserve">nově </w:t>
      </w:r>
      <w:r w:rsidR="00D56736">
        <w:rPr>
          <w:rFonts w:cs="Calibri"/>
        </w:rPr>
        <w:t xml:space="preserve">vzniklým </w:t>
      </w:r>
      <w:r w:rsidR="000E7C37" w:rsidRPr="11AA4FDF">
        <w:rPr>
          <w:rFonts w:cs="Calibri"/>
        </w:rPr>
        <w:t>profesním sdružením CZARMA</w:t>
      </w:r>
      <w:r w:rsidR="00D56736">
        <w:rPr>
          <w:rFonts w:cs="Calibri"/>
        </w:rPr>
        <w:t xml:space="preserve"> (viz výše kap. 6.1.2), které se </w:t>
      </w:r>
      <w:r w:rsidR="00410DBA" w:rsidRPr="11AA4FDF">
        <w:rPr>
          <w:rFonts w:cs="Calibri"/>
        </w:rPr>
        <w:t>má stát</w:t>
      </w:r>
      <w:r w:rsidR="005777AA" w:rsidRPr="11AA4FDF">
        <w:rPr>
          <w:rFonts w:cs="Calibri"/>
        </w:rPr>
        <w:t xml:space="preserve"> </w:t>
      </w:r>
      <w:r w:rsidR="00687594" w:rsidRPr="11AA4FDF">
        <w:rPr>
          <w:rFonts w:cs="Calibri"/>
        </w:rPr>
        <w:t>širší platformou pro výměru zkušeností</w:t>
      </w:r>
      <w:r w:rsidR="009B66B5">
        <w:rPr>
          <w:rFonts w:cs="Calibri"/>
        </w:rPr>
        <w:t xml:space="preserve"> a </w:t>
      </w:r>
      <w:r w:rsidR="00687594" w:rsidRPr="11AA4FDF">
        <w:rPr>
          <w:rFonts w:cs="Calibri"/>
        </w:rPr>
        <w:t xml:space="preserve">spolupráce </w:t>
      </w:r>
      <w:r w:rsidR="002100EF" w:rsidRPr="11AA4FDF">
        <w:rPr>
          <w:rFonts w:cs="Calibri"/>
        </w:rPr>
        <w:t xml:space="preserve">českých </w:t>
      </w:r>
      <w:r w:rsidR="00C135DB" w:rsidRPr="11AA4FDF">
        <w:rPr>
          <w:rFonts w:cs="Calibri"/>
        </w:rPr>
        <w:t xml:space="preserve">projektových </w:t>
      </w:r>
      <w:r w:rsidR="001E629E" w:rsidRPr="11AA4FDF">
        <w:rPr>
          <w:rFonts w:cs="Calibri"/>
        </w:rPr>
        <w:t>administrátorů</w:t>
      </w:r>
      <w:r w:rsidR="009B66B5">
        <w:rPr>
          <w:rFonts w:cs="Calibri"/>
        </w:rPr>
        <w:t xml:space="preserve"> a </w:t>
      </w:r>
      <w:r w:rsidR="001E629E" w:rsidRPr="11AA4FDF">
        <w:rPr>
          <w:rFonts w:cs="Calibri"/>
        </w:rPr>
        <w:t>manažerů</w:t>
      </w:r>
      <w:r w:rsidR="005A43DE" w:rsidRPr="11AA4FDF">
        <w:rPr>
          <w:rFonts w:cs="Calibri"/>
        </w:rPr>
        <w:t xml:space="preserve"> ve výzkumu obecně (tj. šířeji než pouze</w:t>
      </w:r>
      <w:r w:rsidR="009B66B5">
        <w:rPr>
          <w:rFonts w:cs="Calibri"/>
        </w:rPr>
        <w:t xml:space="preserve"> v </w:t>
      </w:r>
      <w:r w:rsidR="005A43DE" w:rsidRPr="11AA4FDF">
        <w:rPr>
          <w:rFonts w:cs="Calibri"/>
        </w:rPr>
        <w:t xml:space="preserve">rámcových programech </w:t>
      </w:r>
      <w:r w:rsidR="003F7850" w:rsidRPr="11AA4FDF">
        <w:rPr>
          <w:rFonts w:cs="Calibri"/>
        </w:rPr>
        <w:t>EU).</w:t>
      </w:r>
    </w:p>
    <w:p w14:paraId="7D96A576" w14:textId="77777777" w:rsidR="662E54F4" w:rsidRDefault="662E54F4" w:rsidP="662E54F4">
      <w:pPr>
        <w:rPr>
          <w:rFonts w:cs="Calibri"/>
          <w:b/>
          <w:bCs/>
        </w:rPr>
      </w:pPr>
      <w:r w:rsidRPr="662E54F4">
        <w:rPr>
          <w:rFonts w:cs="Calibri"/>
        </w:rPr>
        <w:t>Budování</w:t>
      </w:r>
      <w:r w:rsidR="009B66B5">
        <w:rPr>
          <w:rFonts w:cs="Calibri"/>
        </w:rPr>
        <w:t xml:space="preserve"> a </w:t>
      </w:r>
      <w:r w:rsidRPr="662E54F4">
        <w:rPr>
          <w:rFonts w:cs="Calibri"/>
        </w:rPr>
        <w:t>posílení kapacit pro podporu mezinárodní spolupráce ve výzkumu</w:t>
      </w:r>
      <w:r w:rsidR="009B66B5">
        <w:rPr>
          <w:rFonts w:cs="Calibri"/>
        </w:rPr>
        <w:t xml:space="preserve"> a </w:t>
      </w:r>
      <w:r w:rsidRPr="662E54F4">
        <w:rPr>
          <w:rFonts w:cs="Calibri"/>
        </w:rPr>
        <w:t>inovacích je zohledněno také</w:t>
      </w:r>
      <w:r w:rsidR="009B66B5">
        <w:rPr>
          <w:rFonts w:cs="Calibri"/>
        </w:rPr>
        <w:t xml:space="preserve"> v </w:t>
      </w:r>
      <w:r w:rsidR="0055759B">
        <w:rPr>
          <w:rFonts w:cs="Calibri"/>
          <w:b/>
          <w:bCs/>
        </w:rPr>
        <w:t>O</w:t>
      </w:r>
      <w:r w:rsidRPr="662E54F4">
        <w:rPr>
          <w:rFonts w:cs="Calibri"/>
          <w:b/>
          <w:bCs/>
        </w:rPr>
        <w:t>peračním programu Jan Amos Komenský</w:t>
      </w:r>
      <w:r w:rsidRPr="662E54F4">
        <w:rPr>
          <w:rFonts w:cs="Calibri"/>
        </w:rPr>
        <w:t>, kde SC 1.1 je zaměřen na podporu rozvoje zázemí</w:t>
      </w:r>
      <w:r w:rsidR="009B66B5">
        <w:rPr>
          <w:rFonts w:cs="Calibri"/>
        </w:rPr>
        <w:t xml:space="preserve"> a </w:t>
      </w:r>
      <w:r w:rsidRPr="662E54F4">
        <w:rPr>
          <w:rFonts w:cs="Calibri"/>
        </w:rPr>
        <w:t>kapacit výzkumného prostředí</w:t>
      </w:r>
      <w:r w:rsidR="009B66B5">
        <w:rPr>
          <w:rFonts w:cs="Calibri"/>
        </w:rPr>
        <w:t xml:space="preserve"> v </w:t>
      </w:r>
      <w:r w:rsidRPr="662E54F4">
        <w:rPr>
          <w:rFonts w:cs="Calibri"/>
        </w:rPr>
        <w:t>ČR</w:t>
      </w:r>
      <w:r w:rsidR="00D56736">
        <w:rPr>
          <w:rFonts w:cs="Calibri"/>
        </w:rPr>
        <w:t>, tak</w:t>
      </w:r>
      <w:r w:rsidRPr="662E54F4">
        <w:rPr>
          <w:rFonts w:cs="Calibri"/>
        </w:rPr>
        <w:t xml:space="preserve"> aby byly vytvořeny dostatečně kvalitní podmínky pro rozvoj špičkového výzkumu, jehož výsledky budou reagovat na aktuální potřeby</w:t>
      </w:r>
      <w:r w:rsidR="009B66B5">
        <w:rPr>
          <w:rFonts w:cs="Calibri"/>
        </w:rPr>
        <w:t xml:space="preserve"> a </w:t>
      </w:r>
      <w:r w:rsidRPr="662E54F4">
        <w:rPr>
          <w:rFonts w:cs="Calibri"/>
        </w:rPr>
        <w:t>trendy. Klíčovými oblastmi jsou podpora rozvoje</w:t>
      </w:r>
      <w:r w:rsidR="009B66B5">
        <w:rPr>
          <w:rFonts w:cs="Calibri"/>
        </w:rPr>
        <w:t xml:space="preserve"> a </w:t>
      </w:r>
      <w:r w:rsidRPr="662E54F4">
        <w:rPr>
          <w:rFonts w:cs="Calibri"/>
        </w:rPr>
        <w:t xml:space="preserve">nastavení institucionálního prostředí </w:t>
      </w:r>
      <w:r w:rsidR="0055759B">
        <w:rPr>
          <w:rFonts w:cs="Calibri"/>
        </w:rPr>
        <w:t>výzkumných organizací</w:t>
      </w:r>
      <w:r w:rsidR="0055759B" w:rsidRPr="662E54F4">
        <w:rPr>
          <w:rFonts w:cs="Calibri"/>
        </w:rPr>
        <w:t xml:space="preserve"> </w:t>
      </w:r>
      <w:r w:rsidRPr="662E54F4">
        <w:rPr>
          <w:rFonts w:cs="Calibri"/>
        </w:rPr>
        <w:t>tak, aby byly implementovány moderní principy řízení lidských zdrojů pro potřeby naplňování NRIS3 včetně opatření pro dosahování rovnosti žen</w:t>
      </w:r>
      <w:r w:rsidR="009B66B5">
        <w:rPr>
          <w:rFonts w:cs="Calibri"/>
        </w:rPr>
        <w:t xml:space="preserve"> a </w:t>
      </w:r>
      <w:r w:rsidRPr="662E54F4">
        <w:rPr>
          <w:rFonts w:cs="Calibri"/>
        </w:rPr>
        <w:t>mužů, vytvoření atraktivního prostředí pro oslovení</w:t>
      </w:r>
      <w:r w:rsidR="009B66B5">
        <w:rPr>
          <w:rFonts w:cs="Calibri"/>
        </w:rPr>
        <w:t xml:space="preserve"> a </w:t>
      </w:r>
      <w:r w:rsidRPr="662E54F4">
        <w:rPr>
          <w:rFonts w:cs="Calibri"/>
        </w:rPr>
        <w:t>udržení zahraničních pracovníků</w:t>
      </w:r>
      <w:r w:rsidR="009B66B5">
        <w:rPr>
          <w:rFonts w:cs="Calibri"/>
        </w:rPr>
        <w:t xml:space="preserve"> i </w:t>
      </w:r>
      <w:r w:rsidRPr="662E54F4">
        <w:rPr>
          <w:rFonts w:cs="Calibri"/>
        </w:rPr>
        <w:t>efektivní spolupráci</w:t>
      </w:r>
      <w:r w:rsidR="009B66B5">
        <w:rPr>
          <w:rFonts w:cs="Calibri"/>
        </w:rPr>
        <w:t xml:space="preserve"> s </w:t>
      </w:r>
      <w:r w:rsidRPr="662E54F4">
        <w:rPr>
          <w:rFonts w:cs="Calibri"/>
        </w:rPr>
        <w:t>aplikační sférou. Intervence budou reflektovat také podpůrné prostředí ve VaVaI zahrnující mimo jiné</w:t>
      </w:r>
      <w:r w:rsidR="009B66B5">
        <w:rPr>
          <w:rFonts w:cs="Calibri"/>
        </w:rPr>
        <w:t xml:space="preserve"> i </w:t>
      </w:r>
      <w:r w:rsidRPr="662E54F4">
        <w:rPr>
          <w:rFonts w:cs="Calibri"/>
        </w:rPr>
        <w:t xml:space="preserve">technické pracovníky. </w:t>
      </w:r>
      <w:r w:rsidRPr="662E54F4">
        <w:rPr>
          <w:rFonts w:cs="Calibri"/>
          <w:b/>
          <w:bCs/>
        </w:rPr>
        <w:t>Intervence budou zaměřeny též na posílení internacionalizace výzkumného prostředí,</w:t>
      </w:r>
      <w:r w:rsidR="009B66B5">
        <w:rPr>
          <w:rFonts w:cs="Calibri"/>
          <w:b/>
          <w:bCs/>
        </w:rPr>
        <w:t xml:space="preserve"> a </w:t>
      </w:r>
      <w:r w:rsidRPr="662E54F4">
        <w:rPr>
          <w:rFonts w:cs="Calibri"/>
          <w:b/>
          <w:bCs/>
        </w:rPr>
        <w:t xml:space="preserve">to jak na úrovni budování dlouhodobých vztahů se zahraničními </w:t>
      </w:r>
      <w:r w:rsidR="0055759B">
        <w:rPr>
          <w:rFonts w:cs="Calibri"/>
          <w:b/>
          <w:bCs/>
        </w:rPr>
        <w:t>partnery</w:t>
      </w:r>
      <w:r w:rsidRPr="662E54F4">
        <w:rPr>
          <w:rFonts w:cs="Calibri"/>
          <w:b/>
          <w:bCs/>
        </w:rPr>
        <w:t>, tak</w:t>
      </w:r>
      <w:r w:rsidR="00D56736">
        <w:rPr>
          <w:rFonts w:cs="Calibri"/>
          <w:b/>
          <w:bCs/>
        </w:rPr>
        <w:t xml:space="preserve"> na </w:t>
      </w:r>
      <w:r w:rsidRPr="662E54F4">
        <w:rPr>
          <w:rFonts w:cs="Calibri"/>
          <w:b/>
          <w:bCs/>
        </w:rPr>
        <w:t>budování výzkumných týmů se zastoupením pracovníků ze zahraničí, či na projektové úrovni prostřednictvím podpory zapojení se do mezinárodních programů VaV</w:t>
      </w:r>
      <w:r w:rsidR="0055759B">
        <w:rPr>
          <w:rFonts w:cs="Calibri"/>
          <w:b/>
          <w:bCs/>
        </w:rPr>
        <w:t>aI</w:t>
      </w:r>
      <w:r w:rsidRPr="662E54F4">
        <w:rPr>
          <w:rFonts w:cs="Calibri"/>
          <w:b/>
          <w:bCs/>
        </w:rPr>
        <w:t>.</w:t>
      </w:r>
    </w:p>
    <w:p w14:paraId="1756AB3D" w14:textId="77777777" w:rsidR="00B60CDD" w:rsidRDefault="00B60CDD" w:rsidP="005515AB">
      <w:pPr>
        <w:pStyle w:val="Nadpis2"/>
      </w:pPr>
      <w:bookmarkStart w:id="78" w:name="_Toc114572355"/>
      <w:r>
        <w:t>Podpora účasti podniků</w:t>
      </w:r>
      <w:r w:rsidR="009B66B5">
        <w:t xml:space="preserve"> v </w:t>
      </w:r>
      <w:r>
        <w:t>evropských programech</w:t>
      </w:r>
      <w:bookmarkEnd w:id="78"/>
    </w:p>
    <w:p w14:paraId="72F3F0F0" w14:textId="77777777" w:rsidR="00B60CDD" w:rsidRDefault="00B60CDD" w:rsidP="00B60CDD">
      <w:pPr>
        <w:spacing w:line="257" w:lineRule="auto"/>
      </w:pPr>
      <w:r w:rsidRPr="1F841A3E">
        <w:rPr>
          <w:rFonts w:cs="Calibri"/>
        </w:rPr>
        <w:t xml:space="preserve">V </w:t>
      </w:r>
      <w:r w:rsidR="00C23224">
        <w:rPr>
          <w:rFonts w:cs="Calibri"/>
        </w:rPr>
        <w:t>RP</w:t>
      </w:r>
      <w:r w:rsidR="00B34861">
        <w:rPr>
          <w:rFonts w:cs="Calibri"/>
        </w:rPr>
        <w:t xml:space="preserve"> </w:t>
      </w:r>
      <w:r w:rsidRPr="1F841A3E">
        <w:rPr>
          <w:rFonts w:cs="Calibri"/>
        </w:rPr>
        <w:t>se klade důraz na účast podniků</w:t>
      </w:r>
      <w:r w:rsidR="001968FB">
        <w:rPr>
          <w:rFonts w:cs="Calibri"/>
        </w:rPr>
        <w:t xml:space="preserve"> ja</w:t>
      </w:r>
      <w:r w:rsidR="00986ECF">
        <w:rPr>
          <w:rFonts w:cs="Calibri"/>
        </w:rPr>
        <w:t>k</w:t>
      </w:r>
      <w:r w:rsidR="001968FB">
        <w:rPr>
          <w:rFonts w:cs="Calibri"/>
        </w:rPr>
        <w:t>o důležitých aktérů</w:t>
      </w:r>
      <w:r w:rsidR="00986ECF">
        <w:rPr>
          <w:rFonts w:cs="Calibri"/>
        </w:rPr>
        <w:t xml:space="preserve"> </w:t>
      </w:r>
      <w:r w:rsidR="000E49C6">
        <w:rPr>
          <w:rFonts w:cs="Calibri"/>
        </w:rPr>
        <w:t>především</w:t>
      </w:r>
      <w:r w:rsidR="00187C93">
        <w:rPr>
          <w:rFonts w:cs="Calibri"/>
        </w:rPr>
        <w:t xml:space="preserve"> </w:t>
      </w:r>
      <w:r w:rsidR="005301FE">
        <w:rPr>
          <w:rFonts w:cs="Calibri"/>
        </w:rPr>
        <w:t xml:space="preserve">při ověřování výsledků </w:t>
      </w:r>
      <w:r w:rsidR="00BF22E5">
        <w:rPr>
          <w:rFonts w:cs="Calibri"/>
        </w:rPr>
        <w:t>výzkumu</w:t>
      </w:r>
      <w:r w:rsidR="009B66B5">
        <w:rPr>
          <w:rFonts w:cs="Calibri"/>
        </w:rPr>
        <w:t xml:space="preserve"> a </w:t>
      </w:r>
      <w:r w:rsidR="00BF22E5">
        <w:rPr>
          <w:rFonts w:cs="Calibri"/>
        </w:rPr>
        <w:t>jejich uplatnění</w:t>
      </w:r>
      <w:r w:rsidR="009B66B5">
        <w:rPr>
          <w:rFonts w:cs="Calibri"/>
        </w:rPr>
        <w:t xml:space="preserve"> v </w:t>
      </w:r>
      <w:r w:rsidR="00BF22E5">
        <w:rPr>
          <w:rFonts w:cs="Calibri"/>
        </w:rPr>
        <w:t xml:space="preserve">inovativních </w:t>
      </w:r>
      <w:r w:rsidR="00A7256C">
        <w:rPr>
          <w:rFonts w:cs="Calibri"/>
        </w:rPr>
        <w:t>řešeních pro praxi.</w:t>
      </w:r>
      <w:r w:rsidRPr="1F841A3E">
        <w:rPr>
          <w:rFonts w:cs="Calibri"/>
        </w:rPr>
        <w:t xml:space="preserve"> Zejména na </w:t>
      </w:r>
      <w:r w:rsidR="00D2695C">
        <w:rPr>
          <w:rFonts w:cs="Calibri"/>
        </w:rPr>
        <w:t>malé</w:t>
      </w:r>
      <w:r w:rsidR="009B66B5">
        <w:rPr>
          <w:rFonts w:cs="Calibri"/>
        </w:rPr>
        <w:t xml:space="preserve"> a </w:t>
      </w:r>
      <w:r w:rsidR="00D2695C">
        <w:rPr>
          <w:rFonts w:cs="Calibri"/>
        </w:rPr>
        <w:t>střední podniky (MSP)</w:t>
      </w:r>
      <w:r w:rsidRPr="1F841A3E">
        <w:rPr>
          <w:rFonts w:cs="Calibri"/>
        </w:rPr>
        <w:t xml:space="preserve"> je pohlíženo jako na organizace</w:t>
      </w:r>
      <w:r w:rsidR="009B66B5">
        <w:rPr>
          <w:rFonts w:cs="Calibri"/>
        </w:rPr>
        <w:t xml:space="preserve"> s </w:t>
      </w:r>
      <w:r w:rsidRPr="1F841A3E">
        <w:rPr>
          <w:rFonts w:cs="Calibri"/>
        </w:rPr>
        <w:t>velkým inovačním potenciálem.</w:t>
      </w:r>
    </w:p>
    <w:p w14:paraId="136F26B8" w14:textId="77777777" w:rsidR="00B60CDD" w:rsidRPr="00244420" w:rsidRDefault="00B60CDD" w:rsidP="00B60CDD">
      <w:pPr>
        <w:spacing w:line="257" w:lineRule="auto"/>
      </w:pPr>
      <w:r w:rsidRPr="1F841A3E">
        <w:rPr>
          <w:rFonts w:cs="Calibri"/>
        </w:rPr>
        <w:t>Podle Výroční zprávy</w:t>
      </w:r>
      <w:r w:rsidR="009B66B5">
        <w:rPr>
          <w:rFonts w:cs="Calibri"/>
        </w:rPr>
        <w:t xml:space="preserve"> o </w:t>
      </w:r>
      <w:r w:rsidRPr="1F841A3E">
        <w:rPr>
          <w:rFonts w:cs="Calibri"/>
        </w:rPr>
        <w:t xml:space="preserve">činnostech </w:t>
      </w:r>
      <w:r w:rsidR="00D10338">
        <w:rPr>
          <w:rFonts w:cs="Calibri"/>
        </w:rPr>
        <w:t>EU</w:t>
      </w:r>
      <w:r w:rsidR="009B66B5">
        <w:rPr>
          <w:rFonts w:cs="Calibri"/>
        </w:rPr>
        <w:t xml:space="preserve"> v </w:t>
      </w:r>
      <w:r w:rsidRPr="1F841A3E">
        <w:rPr>
          <w:rFonts w:cs="Calibri"/>
        </w:rPr>
        <w:t>oblasti výzkumu</w:t>
      </w:r>
      <w:r w:rsidR="009B66B5">
        <w:rPr>
          <w:rFonts w:cs="Calibri"/>
        </w:rPr>
        <w:t xml:space="preserve"> a </w:t>
      </w:r>
      <w:r w:rsidRPr="1F841A3E">
        <w:rPr>
          <w:rFonts w:cs="Calibri"/>
        </w:rPr>
        <w:t>technologického rozvoje</w:t>
      </w:r>
      <w:r w:rsidR="009B66B5">
        <w:rPr>
          <w:rFonts w:cs="Calibri"/>
        </w:rPr>
        <w:t xml:space="preserve"> a </w:t>
      </w:r>
      <w:r w:rsidRPr="1F841A3E">
        <w:rPr>
          <w:rFonts w:cs="Calibri"/>
        </w:rPr>
        <w:t>sledování Horizont</w:t>
      </w:r>
      <w:r w:rsidR="00D10338">
        <w:rPr>
          <w:rFonts w:cs="Calibri"/>
        </w:rPr>
        <w:t>u</w:t>
      </w:r>
      <w:r w:rsidRPr="1F841A3E">
        <w:rPr>
          <w:rFonts w:cs="Calibri"/>
        </w:rPr>
        <w:t xml:space="preserve"> Evropa</w:t>
      </w:r>
      <w:r w:rsidR="009B66B5">
        <w:rPr>
          <w:rFonts w:cs="Calibri"/>
        </w:rPr>
        <w:t xml:space="preserve"> a </w:t>
      </w:r>
      <w:r w:rsidRPr="1F841A3E">
        <w:rPr>
          <w:rFonts w:cs="Calibri"/>
        </w:rPr>
        <w:t>Horizont</w:t>
      </w:r>
      <w:r w:rsidR="00D10338">
        <w:rPr>
          <w:rFonts w:cs="Calibri"/>
        </w:rPr>
        <w:t>u</w:t>
      </w:r>
      <w:r w:rsidRPr="1F841A3E">
        <w:rPr>
          <w:rFonts w:cs="Calibri"/>
        </w:rPr>
        <w:t xml:space="preserve"> 2020</w:t>
      </w:r>
      <w:r w:rsidR="009B66B5">
        <w:rPr>
          <w:rFonts w:cs="Calibri"/>
        </w:rPr>
        <w:t xml:space="preserve"> v </w:t>
      </w:r>
      <w:r w:rsidRPr="1F841A3E">
        <w:rPr>
          <w:rFonts w:cs="Calibri"/>
        </w:rPr>
        <w:t xml:space="preserve">roce 2020 </w:t>
      </w:r>
      <w:hyperlink r:id="rId48" w:history="1">
        <w:r w:rsidR="00956F00" w:rsidRPr="00956F00">
          <w:rPr>
            <w:rStyle w:val="Hypertextovodkaz"/>
            <w:rFonts w:cs="Calibri"/>
          </w:rPr>
          <w:t>(</w:t>
        </w:r>
        <w:r w:rsidR="00956F00" w:rsidRPr="00956F00">
          <w:rPr>
            <w:rStyle w:val="Hypertextovodkaz"/>
          </w:rPr>
          <w:t>COM/2022/389 final</w:t>
        </w:r>
      </w:hyperlink>
      <w:r w:rsidR="009B66B5">
        <w:rPr>
          <w:rFonts w:cs="Calibri"/>
        </w:rPr>
        <w:t xml:space="preserve"> z </w:t>
      </w:r>
      <w:r w:rsidRPr="1F841A3E">
        <w:rPr>
          <w:rFonts w:cs="Calibri"/>
        </w:rPr>
        <w:t>5.</w:t>
      </w:r>
      <w:r w:rsidR="00956F00">
        <w:rPr>
          <w:rFonts w:cs="Calibri"/>
        </w:rPr>
        <w:t xml:space="preserve"> </w:t>
      </w:r>
      <w:r w:rsidRPr="1F841A3E">
        <w:rPr>
          <w:rFonts w:cs="Calibri"/>
        </w:rPr>
        <w:t>8.</w:t>
      </w:r>
      <w:r w:rsidR="00956F00">
        <w:rPr>
          <w:rFonts w:cs="Calibri"/>
        </w:rPr>
        <w:t xml:space="preserve"> 2022)</w:t>
      </w:r>
      <w:r w:rsidR="009B66B5">
        <w:rPr>
          <w:rFonts w:cs="Calibri"/>
        </w:rPr>
        <w:t xml:space="preserve"> </w:t>
      </w:r>
      <w:r w:rsidR="009B66B5">
        <w:rPr>
          <w:rFonts w:cs="Calibri"/>
        </w:rPr>
        <w:lastRenderedPageBreak/>
        <w:t>v </w:t>
      </w:r>
      <w:r w:rsidR="00956F00">
        <w:rPr>
          <w:rFonts w:cs="Calibri"/>
        </w:rPr>
        <w:t>H</w:t>
      </w:r>
      <w:r w:rsidR="00D10338">
        <w:rPr>
          <w:rFonts w:cs="Calibri"/>
        </w:rPr>
        <w:t xml:space="preserve">orizontu </w:t>
      </w:r>
      <w:r w:rsidR="00E43CA1">
        <w:rPr>
          <w:rFonts w:cs="Calibri"/>
        </w:rPr>
        <w:t>2020</w:t>
      </w:r>
      <w:r w:rsidR="009B66B5">
        <w:rPr>
          <w:rFonts w:cs="Calibri"/>
        </w:rPr>
        <w:t xml:space="preserve"> v </w:t>
      </w:r>
      <w:r w:rsidR="00E43CA1">
        <w:rPr>
          <w:rFonts w:cs="Calibri"/>
        </w:rPr>
        <w:t>letech 2014–</w:t>
      </w:r>
      <w:r w:rsidRPr="1F841A3E">
        <w:rPr>
          <w:rFonts w:cs="Calibri"/>
        </w:rPr>
        <w:t>2020 získal soukromý sektor</w:t>
      </w:r>
      <w:r w:rsidR="00661E99">
        <w:rPr>
          <w:rFonts w:cs="Calibri"/>
        </w:rPr>
        <w:t xml:space="preserve"> </w:t>
      </w:r>
      <w:r w:rsidRPr="1F841A3E">
        <w:rPr>
          <w:rFonts w:cs="Calibri"/>
        </w:rPr>
        <w:t xml:space="preserve">28,2 % finančních prostředků </w:t>
      </w:r>
      <w:r w:rsidR="00D10338">
        <w:rPr>
          <w:rFonts w:cs="Calibri"/>
        </w:rPr>
        <w:t>RP</w:t>
      </w:r>
      <w:r w:rsidR="009B66B5">
        <w:rPr>
          <w:rFonts w:cs="Calibri"/>
        </w:rPr>
        <w:t xml:space="preserve"> a </w:t>
      </w:r>
      <w:r w:rsidRPr="1F841A3E">
        <w:rPr>
          <w:rFonts w:cs="Calibri"/>
        </w:rPr>
        <w:t>16,5</w:t>
      </w:r>
      <w:r w:rsidR="00956F00">
        <w:rPr>
          <w:rFonts w:cs="Calibri"/>
        </w:rPr>
        <w:t xml:space="preserve"> </w:t>
      </w:r>
      <w:r w:rsidRPr="1F841A3E">
        <w:rPr>
          <w:rFonts w:cs="Calibri"/>
        </w:rPr>
        <w:t xml:space="preserve">% </w:t>
      </w:r>
      <w:r w:rsidRPr="00244420">
        <w:rPr>
          <w:rFonts w:cs="Calibri"/>
        </w:rPr>
        <w:t xml:space="preserve">připadlo na </w:t>
      </w:r>
      <w:r w:rsidR="00D10338">
        <w:rPr>
          <w:rFonts w:cs="Calibri"/>
        </w:rPr>
        <w:t>MSP</w:t>
      </w:r>
      <w:r w:rsidRPr="00244420">
        <w:rPr>
          <w:rFonts w:cs="Calibri"/>
        </w:rPr>
        <w:t xml:space="preserve">. </w:t>
      </w:r>
    </w:p>
    <w:p w14:paraId="2A2D1A51" w14:textId="77777777" w:rsidR="00B60CDD" w:rsidRDefault="00B416A1" w:rsidP="00B60CDD">
      <w:pPr>
        <w:spacing w:line="257" w:lineRule="auto"/>
      </w:pPr>
      <w:r w:rsidRPr="00244420">
        <w:rPr>
          <w:rFonts w:cs="Calibri"/>
        </w:rPr>
        <w:t xml:space="preserve">Účast </w:t>
      </w:r>
      <w:r w:rsidR="00D331DC" w:rsidRPr="00244420">
        <w:rPr>
          <w:rFonts w:cs="Calibri"/>
        </w:rPr>
        <w:t xml:space="preserve">inovativních </w:t>
      </w:r>
      <w:r w:rsidRPr="00244420">
        <w:rPr>
          <w:rFonts w:cs="Calibri"/>
        </w:rPr>
        <w:t>MSP</w:t>
      </w:r>
      <w:r w:rsidR="009B66B5">
        <w:rPr>
          <w:rFonts w:cs="Calibri"/>
        </w:rPr>
        <w:t xml:space="preserve"> v </w:t>
      </w:r>
      <w:r w:rsidR="00D10338">
        <w:rPr>
          <w:rFonts w:cs="Calibri"/>
        </w:rPr>
        <w:t>RP</w:t>
      </w:r>
      <w:r w:rsidRPr="00244420">
        <w:rPr>
          <w:rFonts w:cs="Calibri"/>
        </w:rPr>
        <w:t xml:space="preserve"> je</w:t>
      </w:r>
      <w:r w:rsidR="00D331DC" w:rsidRPr="00244420">
        <w:rPr>
          <w:rFonts w:cs="Calibri"/>
        </w:rPr>
        <w:t xml:space="preserve"> </w:t>
      </w:r>
      <w:r w:rsidR="00902AB3" w:rsidRPr="00244420">
        <w:rPr>
          <w:rFonts w:cs="Calibri"/>
        </w:rPr>
        <w:t xml:space="preserve">mj. </w:t>
      </w:r>
      <w:r w:rsidR="00D331DC" w:rsidRPr="00244420">
        <w:rPr>
          <w:rFonts w:cs="Calibri"/>
        </w:rPr>
        <w:t xml:space="preserve">podporována prostřednictvím specifických nástrojů </w:t>
      </w:r>
      <w:r w:rsidR="00647D6F" w:rsidRPr="00244420">
        <w:rPr>
          <w:rFonts w:cs="Calibri"/>
        </w:rPr>
        <w:t xml:space="preserve">Evropské rady pro inovace </w:t>
      </w:r>
      <w:r w:rsidR="00244420" w:rsidRPr="00244420">
        <w:rPr>
          <w:rFonts w:cs="Calibri"/>
        </w:rPr>
        <w:t>(EIC</w:t>
      </w:r>
      <w:r w:rsidR="00647D6F" w:rsidRPr="00244420">
        <w:rPr>
          <w:rFonts w:cs="Calibri"/>
        </w:rPr>
        <w:t>)</w:t>
      </w:r>
      <w:r w:rsidR="00323910" w:rsidRPr="00244420">
        <w:rPr>
          <w:rFonts w:cs="Calibri"/>
        </w:rPr>
        <w:t xml:space="preserve"> začleněných </w:t>
      </w:r>
      <w:r w:rsidR="00FB27CC" w:rsidRPr="00244420">
        <w:rPr>
          <w:rFonts w:cs="Calibri"/>
        </w:rPr>
        <w:t xml:space="preserve">nyní </w:t>
      </w:r>
      <w:r w:rsidR="00323910" w:rsidRPr="00244420">
        <w:rPr>
          <w:rFonts w:cs="Calibri"/>
        </w:rPr>
        <w:t>do 3. pilíře Horizont</w:t>
      </w:r>
      <w:r w:rsidR="00D10338">
        <w:rPr>
          <w:rFonts w:cs="Calibri"/>
        </w:rPr>
        <w:t>u</w:t>
      </w:r>
      <w:r w:rsidR="00323910" w:rsidRPr="00244420">
        <w:rPr>
          <w:rFonts w:cs="Calibri"/>
        </w:rPr>
        <w:t xml:space="preserve"> Evropa</w:t>
      </w:r>
      <w:r w:rsidR="00B11632" w:rsidRPr="00244420">
        <w:rPr>
          <w:rFonts w:cs="Calibri"/>
        </w:rPr>
        <w:t xml:space="preserve">. </w:t>
      </w:r>
      <w:r w:rsidR="00B60CDD" w:rsidRPr="00244420">
        <w:rPr>
          <w:rFonts w:cs="Calibri"/>
        </w:rPr>
        <w:t>Dřív</w:t>
      </w:r>
      <w:r w:rsidR="00B11632" w:rsidRPr="00244420">
        <w:rPr>
          <w:rFonts w:cs="Calibri"/>
        </w:rPr>
        <w:t>ější</w:t>
      </w:r>
      <w:r w:rsidR="00B60CDD" w:rsidRPr="00244420">
        <w:rPr>
          <w:rFonts w:cs="Calibri"/>
        </w:rPr>
        <w:t xml:space="preserve"> širší portfolio </w:t>
      </w:r>
      <w:r w:rsidR="002440CA" w:rsidRPr="00244420">
        <w:rPr>
          <w:rFonts w:cs="Calibri"/>
        </w:rPr>
        <w:t>nástrojů</w:t>
      </w:r>
      <w:r w:rsidR="009E156D" w:rsidRPr="00244420">
        <w:rPr>
          <w:rFonts w:cs="Calibri"/>
        </w:rPr>
        <w:t xml:space="preserve"> </w:t>
      </w:r>
      <w:r w:rsidR="00244420" w:rsidRPr="00244420">
        <w:rPr>
          <w:rFonts w:cs="Calibri"/>
        </w:rPr>
        <w:t>E</w:t>
      </w:r>
      <w:r w:rsidR="006A2F3E" w:rsidRPr="00244420">
        <w:rPr>
          <w:rFonts w:cs="Calibri"/>
        </w:rPr>
        <w:t>I</w:t>
      </w:r>
      <w:r w:rsidR="00244420" w:rsidRPr="00244420">
        <w:rPr>
          <w:rFonts w:cs="Calibri"/>
        </w:rPr>
        <w:t>C</w:t>
      </w:r>
      <w:r w:rsidR="00B60CDD" w:rsidRPr="00244420">
        <w:rPr>
          <w:rFonts w:cs="Calibri"/>
        </w:rPr>
        <w:t>, podporovaných</w:t>
      </w:r>
      <w:r w:rsidR="009B66B5">
        <w:rPr>
          <w:rFonts w:cs="Calibri"/>
        </w:rPr>
        <w:t xml:space="preserve"> i </w:t>
      </w:r>
      <w:r w:rsidR="00B60CDD" w:rsidRPr="00244420">
        <w:rPr>
          <w:rFonts w:cs="Calibri"/>
        </w:rPr>
        <w:t>ve fázi analýzy komerčního potenciálu záměru (např. SME Instrument fáze 1) se p</w:t>
      </w:r>
      <w:r w:rsidR="00C36999" w:rsidRPr="00244420">
        <w:rPr>
          <w:rFonts w:cs="Calibri"/>
        </w:rPr>
        <w:t>osunulo</w:t>
      </w:r>
      <w:r w:rsidR="009B66B5">
        <w:rPr>
          <w:rFonts w:cs="Calibri"/>
        </w:rPr>
        <w:t xml:space="preserve"> k </w:t>
      </w:r>
      <w:r w:rsidR="00B60CDD" w:rsidRPr="00244420">
        <w:rPr>
          <w:rFonts w:cs="Calibri"/>
        </w:rPr>
        <w:t>vyhledávání unikátních projektů</w:t>
      </w:r>
      <w:r w:rsidR="009B66B5">
        <w:rPr>
          <w:rFonts w:cs="Calibri"/>
        </w:rPr>
        <w:t xml:space="preserve"> s </w:t>
      </w:r>
      <w:r w:rsidR="00B60CDD" w:rsidRPr="00244420">
        <w:rPr>
          <w:rFonts w:cs="Calibri"/>
        </w:rPr>
        <w:t>vysokým komerčním potenciálem</w:t>
      </w:r>
      <w:r w:rsidR="009B66B5">
        <w:rPr>
          <w:rFonts w:cs="Calibri"/>
        </w:rPr>
        <w:t xml:space="preserve"> a </w:t>
      </w:r>
      <w:r w:rsidR="00B60CDD" w:rsidRPr="00244420">
        <w:rPr>
          <w:rFonts w:cs="Calibri"/>
        </w:rPr>
        <w:t>charakteristikou vysoký risk</w:t>
      </w:r>
      <w:r w:rsidR="00956F00" w:rsidRPr="00244420">
        <w:rPr>
          <w:rFonts w:cs="Calibri"/>
        </w:rPr>
        <w:t xml:space="preserve"> </w:t>
      </w:r>
      <w:r w:rsidR="00B60CDD" w:rsidRPr="00244420">
        <w:rPr>
          <w:rFonts w:cs="Calibri"/>
        </w:rPr>
        <w:t>/</w:t>
      </w:r>
      <w:r w:rsidR="00956F00" w:rsidRPr="00244420">
        <w:rPr>
          <w:rFonts w:cs="Calibri"/>
        </w:rPr>
        <w:t xml:space="preserve"> </w:t>
      </w:r>
      <w:r w:rsidR="00B60CDD" w:rsidRPr="00244420">
        <w:rPr>
          <w:rFonts w:cs="Calibri"/>
        </w:rPr>
        <w:t>vysoký zisk</w:t>
      </w:r>
      <w:r w:rsidR="009B66B5">
        <w:rPr>
          <w:rFonts w:cs="Calibri"/>
        </w:rPr>
        <w:t xml:space="preserve"> v </w:t>
      </w:r>
      <w:r w:rsidR="00B60CDD" w:rsidRPr="00244420">
        <w:rPr>
          <w:rFonts w:cs="Calibri"/>
        </w:rPr>
        <w:t xml:space="preserve">nástroji </w:t>
      </w:r>
      <w:r w:rsidR="00244420" w:rsidRPr="00244420">
        <w:rPr>
          <w:rFonts w:cs="Calibri"/>
        </w:rPr>
        <w:t>EIC</w:t>
      </w:r>
      <w:r w:rsidR="00B60CDD" w:rsidRPr="00244420">
        <w:rPr>
          <w:rFonts w:cs="Calibri"/>
        </w:rPr>
        <w:t xml:space="preserve"> Accelerator. Tento nástroj financuje </w:t>
      </w:r>
      <w:r w:rsidR="00761376" w:rsidRPr="00244420">
        <w:rPr>
          <w:rFonts w:cs="Calibri"/>
        </w:rPr>
        <w:t>start-upy</w:t>
      </w:r>
      <w:r w:rsidR="009B66B5">
        <w:rPr>
          <w:rFonts w:cs="Calibri"/>
        </w:rPr>
        <w:t xml:space="preserve"> a </w:t>
      </w:r>
      <w:r w:rsidR="00D10338">
        <w:rPr>
          <w:rFonts w:cs="Calibri"/>
        </w:rPr>
        <w:t>SMEs</w:t>
      </w:r>
      <w:r w:rsidR="00B60CDD" w:rsidRPr="00244420">
        <w:rPr>
          <w:rFonts w:cs="Calibri"/>
        </w:rPr>
        <w:t>, aby mohly vyvíjet</w:t>
      </w:r>
      <w:r w:rsidR="009B66B5">
        <w:rPr>
          <w:rFonts w:cs="Calibri"/>
        </w:rPr>
        <w:t xml:space="preserve"> a </w:t>
      </w:r>
      <w:r w:rsidR="00B60CDD" w:rsidRPr="00244420">
        <w:rPr>
          <w:rFonts w:cs="Calibri"/>
        </w:rPr>
        <w:t>rozšiřovat inovace</w:t>
      </w:r>
      <w:r w:rsidR="009B66B5">
        <w:rPr>
          <w:rFonts w:cs="Calibri"/>
        </w:rPr>
        <w:t xml:space="preserve"> s </w:t>
      </w:r>
      <w:r w:rsidR="00B60CDD" w:rsidRPr="1F841A3E">
        <w:rPr>
          <w:rFonts w:cs="Calibri"/>
        </w:rPr>
        <w:t xml:space="preserve">velkým dopadem, </w:t>
      </w:r>
      <w:r w:rsidR="00F67651">
        <w:rPr>
          <w:rFonts w:cs="Calibri"/>
        </w:rPr>
        <w:t>mající</w:t>
      </w:r>
      <w:r w:rsidR="00B60CDD" w:rsidRPr="1F841A3E">
        <w:rPr>
          <w:rFonts w:cs="Calibri"/>
        </w:rPr>
        <w:t xml:space="preserve"> potenciál vytvořit nové trhy nebo </w:t>
      </w:r>
      <w:r w:rsidR="0055234A">
        <w:rPr>
          <w:rFonts w:cs="Calibri"/>
        </w:rPr>
        <w:t>transformovat</w:t>
      </w:r>
      <w:r w:rsidR="00956F00">
        <w:rPr>
          <w:rFonts w:cs="Calibri"/>
        </w:rPr>
        <w:t xml:space="preserve"> stávající. U</w:t>
      </w:r>
      <w:r w:rsidR="00B60CDD" w:rsidRPr="1F841A3E">
        <w:rPr>
          <w:rFonts w:cs="Calibri"/>
        </w:rPr>
        <w:t xml:space="preserve"> nástroje </w:t>
      </w:r>
      <w:r w:rsidR="00B568F9">
        <w:rPr>
          <w:rFonts w:cs="Calibri"/>
        </w:rPr>
        <w:t xml:space="preserve">Accelerator </w:t>
      </w:r>
      <w:r w:rsidR="00B60CDD" w:rsidRPr="1F841A3E">
        <w:rPr>
          <w:rFonts w:cs="Calibri"/>
        </w:rPr>
        <w:t>poprvé došlo</w:t>
      </w:r>
      <w:r w:rsidR="009B66B5">
        <w:rPr>
          <w:rFonts w:cs="Calibri"/>
        </w:rPr>
        <w:t xml:space="preserve"> k </w:t>
      </w:r>
      <w:r w:rsidR="00B60CDD" w:rsidRPr="1F841A3E">
        <w:rPr>
          <w:rFonts w:cs="Calibri"/>
        </w:rPr>
        <w:t>rozšíření podpory vybraných projektů</w:t>
      </w:r>
      <w:r w:rsidR="009B66B5">
        <w:rPr>
          <w:rFonts w:cs="Calibri"/>
        </w:rPr>
        <w:t xml:space="preserve"> z </w:t>
      </w:r>
      <w:r w:rsidR="00B60CDD" w:rsidRPr="1F841A3E">
        <w:rPr>
          <w:rFonts w:cs="Calibri"/>
        </w:rPr>
        <w:t>grantové složky</w:t>
      </w:r>
      <w:r w:rsidR="009B66B5">
        <w:rPr>
          <w:rFonts w:cs="Calibri"/>
        </w:rPr>
        <w:t xml:space="preserve"> i </w:t>
      </w:r>
      <w:r w:rsidR="00B60CDD" w:rsidRPr="1F841A3E">
        <w:rPr>
          <w:rFonts w:cs="Calibri"/>
        </w:rPr>
        <w:t xml:space="preserve">na složku investiční. </w:t>
      </w:r>
    </w:p>
    <w:p w14:paraId="1F57551E" w14:textId="77777777" w:rsidR="00B60CDD" w:rsidRDefault="00B60CDD" w:rsidP="00B60CDD">
      <w:pPr>
        <w:spacing w:line="257" w:lineRule="auto"/>
        <w:rPr>
          <w:rFonts w:asciiTheme="minorHAnsi" w:eastAsiaTheme="minorEastAsia" w:hAnsiTheme="minorHAnsi" w:cstheme="minorBidi"/>
        </w:rPr>
      </w:pPr>
      <w:r w:rsidRPr="1F841A3E">
        <w:rPr>
          <w:rFonts w:cs="Calibri"/>
        </w:rPr>
        <w:t>Zájemci</w:t>
      </w:r>
      <w:r w:rsidR="009B66B5">
        <w:rPr>
          <w:rFonts w:cs="Calibri"/>
        </w:rPr>
        <w:t xml:space="preserve"> o </w:t>
      </w:r>
      <w:r w:rsidRPr="1F841A3E">
        <w:rPr>
          <w:rFonts w:cs="Calibri"/>
        </w:rPr>
        <w:t>účast</w:t>
      </w:r>
      <w:r w:rsidR="009B66B5">
        <w:rPr>
          <w:rFonts w:cs="Calibri"/>
        </w:rPr>
        <w:t xml:space="preserve"> v </w:t>
      </w:r>
      <w:r w:rsidRPr="1F841A3E">
        <w:rPr>
          <w:rFonts w:cs="Calibri"/>
        </w:rPr>
        <w:t xml:space="preserve">evropských projektech mohou využívat řadu </w:t>
      </w:r>
      <w:r w:rsidR="004C5E78">
        <w:rPr>
          <w:rFonts w:cs="Calibri"/>
        </w:rPr>
        <w:t xml:space="preserve">specializovaných </w:t>
      </w:r>
      <w:r w:rsidR="00577E26">
        <w:rPr>
          <w:rFonts w:cs="Calibri"/>
        </w:rPr>
        <w:t>informačních</w:t>
      </w:r>
      <w:r w:rsidR="009B66B5">
        <w:rPr>
          <w:rFonts w:cs="Calibri"/>
        </w:rPr>
        <w:t xml:space="preserve"> a </w:t>
      </w:r>
      <w:r w:rsidRPr="1F841A3E">
        <w:rPr>
          <w:rFonts w:cs="Calibri"/>
        </w:rPr>
        <w:t>poradenských aktivit</w:t>
      </w:r>
      <w:r w:rsidR="009B66B5">
        <w:rPr>
          <w:rFonts w:cs="Calibri"/>
        </w:rPr>
        <w:t xml:space="preserve"> a </w:t>
      </w:r>
      <w:r w:rsidRPr="1F841A3E">
        <w:rPr>
          <w:rFonts w:cs="Calibri"/>
        </w:rPr>
        <w:t>služeb</w:t>
      </w:r>
      <w:r w:rsidR="00577E26">
        <w:rPr>
          <w:rFonts w:cs="Calibri"/>
        </w:rPr>
        <w:t xml:space="preserve"> zacílených na firemní sektor</w:t>
      </w:r>
      <w:r w:rsidRPr="1F841A3E">
        <w:rPr>
          <w:rFonts w:cs="Calibri"/>
        </w:rPr>
        <w:t>, které poskytuje</w:t>
      </w:r>
      <w:r w:rsidR="002D7AEF" w:rsidRPr="002D7AEF">
        <w:rPr>
          <w:rFonts w:asciiTheme="minorHAnsi" w:eastAsia="Cambria" w:hAnsiTheme="minorHAnsi" w:cstheme="minorHAnsi"/>
          <w:bCs/>
          <w:color w:val="000000" w:themeColor="text1"/>
        </w:rPr>
        <w:t xml:space="preserve"> Technologické</w:t>
      </w:r>
      <w:r w:rsidR="002D7AEF">
        <w:rPr>
          <w:rFonts w:asciiTheme="minorHAnsi" w:eastAsia="Cambria" w:hAnsiTheme="minorHAnsi" w:cstheme="minorHAnsi"/>
          <w:bCs/>
          <w:color w:val="000000" w:themeColor="text1"/>
        </w:rPr>
        <w:t xml:space="preserve"> centrum</w:t>
      </w:r>
      <w:r w:rsidR="002D7AEF">
        <w:rPr>
          <w:rFonts w:asciiTheme="minorHAnsi" w:eastAsia="Cambria" w:hAnsiTheme="minorHAnsi" w:cstheme="minorHAnsi"/>
          <w:b/>
          <w:bCs/>
          <w:color w:val="000000" w:themeColor="text1"/>
        </w:rPr>
        <w:t xml:space="preserve"> </w:t>
      </w:r>
      <w:r w:rsidRPr="1F841A3E">
        <w:rPr>
          <w:rFonts w:cs="Calibri"/>
        </w:rPr>
        <w:t>AV ČR</w:t>
      </w:r>
      <w:r w:rsidR="00DC6C51">
        <w:rPr>
          <w:rFonts w:cs="Calibri"/>
        </w:rPr>
        <w:t xml:space="preserve"> jak samostatně, tak ve spolupráci</w:t>
      </w:r>
      <w:r w:rsidR="009B66B5">
        <w:rPr>
          <w:rFonts w:cs="Calibri"/>
        </w:rPr>
        <w:t xml:space="preserve"> s </w:t>
      </w:r>
      <w:r w:rsidR="00DC6C51">
        <w:rPr>
          <w:rFonts w:cs="Calibri"/>
        </w:rPr>
        <w:t>dalšími organizacemi</w:t>
      </w:r>
      <w:r w:rsidRPr="1F841A3E">
        <w:rPr>
          <w:rFonts w:cs="Calibri"/>
        </w:rPr>
        <w:t xml:space="preserve">. </w:t>
      </w:r>
      <w:r w:rsidR="00D465CE">
        <w:rPr>
          <w:rFonts w:asciiTheme="minorHAnsi" w:eastAsiaTheme="minorEastAsia" w:hAnsiTheme="minorHAnsi" w:cstheme="minorBidi"/>
        </w:rPr>
        <w:t xml:space="preserve">V tomto směru jsou </w:t>
      </w:r>
      <w:r w:rsidR="0029746D">
        <w:rPr>
          <w:rFonts w:asciiTheme="minorHAnsi" w:eastAsiaTheme="minorEastAsia" w:hAnsiTheme="minorHAnsi" w:cstheme="minorBidi"/>
        </w:rPr>
        <w:t xml:space="preserve">velmi </w:t>
      </w:r>
      <w:r w:rsidR="00F44FAF">
        <w:rPr>
          <w:rFonts w:asciiTheme="minorHAnsi" w:eastAsiaTheme="minorEastAsia" w:hAnsiTheme="minorHAnsi" w:cstheme="minorBidi"/>
        </w:rPr>
        <w:t>důležité též aktivity</w:t>
      </w:r>
      <w:r w:rsidR="009B66B5">
        <w:rPr>
          <w:rFonts w:asciiTheme="minorHAnsi" w:eastAsiaTheme="minorEastAsia" w:hAnsiTheme="minorHAnsi" w:cstheme="minorBidi"/>
        </w:rPr>
        <w:t xml:space="preserve"> a </w:t>
      </w:r>
      <w:r w:rsidR="0029746D">
        <w:rPr>
          <w:rFonts w:asciiTheme="minorHAnsi" w:eastAsiaTheme="minorEastAsia" w:hAnsiTheme="minorHAnsi" w:cstheme="minorBidi"/>
        </w:rPr>
        <w:t xml:space="preserve">služby </w:t>
      </w:r>
      <w:r w:rsidRPr="09F46A13">
        <w:rPr>
          <w:rFonts w:asciiTheme="minorHAnsi" w:eastAsiaTheme="minorEastAsia" w:hAnsiTheme="minorHAnsi" w:cstheme="minorBidi"/>
        </w:rPr>
        <w:t>evropské sítě pro rozvoj</w:t>
      </w:r>
      <w:r w:rsidR="009B66B5">
        <w:rPr>
          <w:rFonts w:asciiTheme="minorHAnsi" w:eastAsiaTheme="minorEastAsia" w:hAnsiTheme="minorHAnsi" w:cstheme="minorBidi"/>
        </w:rPr>
        <w:t xml:space="preserve"> a </w:t>
      </w:r>
      <w:r w:rsidRPr="09F46A13">
        <w:rPr>
          <w:rFonts w:asciiTheme="minorHAnsi" w:eastAsiaTheme="minorEastAsia" w:hAnsiTheme="minorHAnsi" w:cstheme="minorBidi"/>
        </w:rPr>
        <w:t>podporu podniků</w:t>
      </w:r>
      <w:r w:rsidR="00956F00">
        <w:rPr>
          <w:rFonts w:asciiTheme="minorHAnsi" w:eastAsiaTheme="minorEastAsia" w:hAnsiTheme="minorHAnsi" w:cstheme="minorBidi"/>
        </w:rPr>
        <w:t xml:space="preserve"> </w:t>
      </w:r>
      <w:r w:rsidR="00956F00" w:rsidRPr="662E54F4">
        <w:rPr>
          <w:rFonts w:cs="Calibri"/>
        </w:rPr>
        <w:t>–</w:t>
      </w:r>
      <w:r w:rsidR="00956F00">
        <w:rPr>
          <w:rFonts w:cs="Calibri"/>
        </w:rPr>
        <w:t xml:space="preserve"> </w:t>
      </w:r>
      <w:r w:rsidRPr="09F46A13">
        <w:rPr>
          <w:rFonts w:asciiTheme="minorHAnsi" w:eastAsiaTheme="minorEastAsia" w:hAnsiTheme="minorHAnsi" w:cstheme="minorBidi"/>
        </w:rPr>
        <w:t>Enterprise Europe Network</w:t>
      </w:r>
      <w:r w:rsidR="003B4994">
        <w:rPr>
          <w:rFonts w:asciiTheme="minorHAnsi" w:eastAsiaTheme="minorEastAsia" w:hAnsiTheme="minorHAnsi" w:cstheme="minorBidi"/>
        </w:rPr>
        <w:t xml:space="preserve"> (EEN), která</w:t>
      </w:r>
      <w:r w:rsidRPr="09F46A13">
        <w:rPr>
          <w:rFonts w:asciiTheme="minorHAnsi" w:eastAsiaTheme="minorEastAsia" w:hAnsiTheme="minorHAnsi" w:cstheme="minorBidi"/>
        </w:rPr>
        <w:t xml:space="preserve"> poskytuje expertní podporu firmám při jejich expanzi, včetně metodické podpory při vyhledávání zdrojů financí</w:t>
      </w:r>
      <w:r w:rsidR="009B66B5">
        <w:rPr>
          <w:rFonts w:asciiTheme="minorHAnsi" w:eastAsiaTheme="minorEastAsia" w:hAnsiTheme="minorHAnsi" w:cstheme="minorBidi"/>
        </w:rPr>
        <w:t xml:space="preserve"> i </w:t>
      </w:r>
      <w:r w:rsidRPr="09F46A13">
        <w:rPr>
          <w:rFonts w:asciiTheme="minorHAnsi" w:eastAsiaTheme="minorEastAsia" w:hAnsiTheme="minorHAnsi" w:cstheme="minorBidi"/>
        </w:rPr>
        <w:t xml:space="preserve">programů vhodných pro technický rozvoj firmy. Aktivity </w:t>
      </w:r>
      <w:r w:rsidR="003B4994">
        <w:rPr>
          <w:rFonts w:asciiTheme="minorHAnsi" w:eastAsiaTheme="minorEastAsia" w:hAnsiTheme="minorHAnsi" w:cstheme="minorBidi"/>
        </w:rPr>
        <w:t>EEN</w:t>
      </w:r>
      <w:r w:rsidR="009B66B5">
        <w:rPr>
          <w:rFonts w:asciiTheme="minorHAnsi" w:eastAsiaTheme="minorEastAsia" w:hAnsiTheme="minorHAnsi" w:cstheme="minorBidi"/>
        </w:rPr>
        <w:t xml:space="preserve"> v </w:t>
      </w:r>
      <w:r w:rsidRPr="09F46A13">
        <w:rPr>
          <w:rFonts w:asciiTheme="minorHAnsi" w:eastAsiaTheme="minorEastAsia" w:hAnsiTheme="minorHAnsi" w:cstheme="minorBidi"/>
        </w:rPr>
        <w:t xml:space="preserve">ČR jsou financovány </w:t>
      </w:r>
      <w:r w:rsidR="00D10338">
        <w:rPr>
          <w:rFonts w:asciiTheme="minorHAnsi" w:eastAsiaTheme="minorEastAsia" w:hAnsiTheme="minorHAnsi" w:cstheme="minorBidi"/>
        </w:rPr>
        <w:t>EU</w:t>
      </w:r>
      <w:r w:rsidR="009B66B5">
        <w:rPr>
          <w:rFonts w:asciiTheme="minorHAnsi" w:eastAsiaTheme="minorEastAsia" w:hAnsiTheme="minorHAnsi" w:cstheme="minorBidi"/>
        </w:rPr>
        <w:t xml:space="preserve"> z </w:t>
      </w:r>
      <w:r w:rsidRPr="09F46A13">
        <w:rPr>
          <w:rFonts w:asciiTheme="minorHAnsi" w:eastAsiaTheme="minorEastAsia" w:hAnsiTheme="minorHAnsi" w:cstheme="minorBidi"/>
        </w:rPr>
        <w:t>nového programu Single Market Program</w:t>
      </w:r>
      <w:r w:rsidR="009B66B5">
        <w:rPr>
          <w:rFonts w:asciiTheme="minorHAnsi" w:eastAsiaTheme="minorEastAsia" w:hAnsiTheme="minorHAnsi" w:cstheme="minorBidi"/>
        </w:rPr>
        <w:t xml:space="preserve"> a </w:t>
      </w:r>
      <w:r w:rsidRPr="09F46A13">
        <w:rPr>
          <w:rFonts w:asciiTheme="minorHAnsi" w:eastAsiaTheme="minorEastAsia" w:hAnsiTheme="minorHAnsi" w:cstheme="minorBidi"/>
        </w:rPr>
        <w:t>kofinancovány Ministerstvem průmyslu</w:t>
      </w:r>
      <w:r w:rsidR="009B66B5">
        <w:rPr>
          <w:rFonts w:asciiTheme="minorHAnsi" w:eastAsiaTheme="minorEastAsia" w:hAnsiTheme="minorHAnsi" w:cstheme="minorBidi"/>
        </w:rPr>
        <w:t xml:space="preserve"> a </w:t>
      </w:r>
      <w:r w:rsidRPr="09F46A13">
        <w:rPr>
          <w:rFonts w:asciiTheme="minorHAnsi" w:eastAsiaTheme="minorEastAsia" w:hAnsiTheme="minorHAnsi" w:cstheme="minorBidi"/>
        </w:rPr>
        <w:t xml:space="preserve">obchodu ČR. </w:t>
      </w:r>
      <w:r w:rsidR="00484AFB">
        <w:rPr>
          <w:rFonts w:asciiTheme="minorHAnsi" w:eastAsiaTheme="minorEastAsia" w:hAnsiTheme="minorHAnsi" w:cstheme="minorBidi"/>
        </w:rPr>
        <w:t>EEN</w:t>
      </w:r>
      <w:r w:rsidR="009B66B5">
        <w:rPr>
          <w:rFonts w:asciiTheme="minorHAnsi" w:eastAsiaTheme="minorEastAsia" w:hAnsiTheme="minorHAnsi" w:cstheme="minorBidi"/>
        </w:rPr>
        <w:t xml:space="preserve"> v </w:t>
      </w:r>
      <w:r w:rsidR="00484AFB">
        <w:rPr>
          <w:rFonts w:asciiTheme="minorHAnsi" w:eastAsiaTheme="minorEastAsia" w:hAnsiTheme="minorHAnsi" w:cstheme="minorBidi"/>
        </w:rPr>
        <w:t>ČR</w:t>
      </w:r>
      <w:r w:rsidRPr="09F46A13">
        <w:rPr>
          <w:rFonts w:asciiTheme="minorHAnsi" w:eastAsiaTheme="minorEastAsia" w:hAnsiTheme="minorHAnsi" w:cstheme="minorBidi"/>
        </w:rPr>
        <w:t xml:space="preserve"> je koordinován</w:t>
      </w:r>
      <w:r w:rsidR="003659E1">
        <w:rPr>
          <w:rFonts w:asciiTheme="minorHAnsi" w:eastAsiaTheme="minorEastAsia" w:hAnsiTheme="minorHAnsi" w:cstheme="minorBidi"/>
        </w:rPr>
        <w:t>a</w:t>
      </w:r>
      <w:r w:rsidRPr="09F46A13">
        <w:rPr>
          <w:rFonts w:asciiTheme="minorHAnsi" w:eastAsiaTheme="minorEastAsia" w:hAnsiTheme="minorHAnsi" w:cstheme="minorBidi"/>
        </w:rPr>
        <w:t xml:space="preserve"> </w:t>
      </w:r>
      <w:r w:rsidR="002D7AEF" w:rsidRPr="002D7AEF">
        <w:rPr>
          <w:rFonts w:asciiTheme="minorHAnsi" w:eastAsia="Cambria" w:hAnsiTheme="minorHAnsi" w:cstheme="minorHAnsi"/>
          <w:bCs/>
          <w:color w:val="000000" w:themeColor="text1"/>
        </w:rPr>
        <w:t>T</w:t>
      </w:r>
      <w:r w:rsidR="002D7AEF">
        <w:rPr>
          <w:rFonts w:asciiTheme="minorHAnsi" w:eastAsia="Cambria" w:hAnsiTheme="minorHAnsi" w:cstheme="minorHAnsi"/>
          <w:bCs/>
          <w:color w:val="000000" w:themeColor="text1"/>
        </w:rPr>
        <w:t>echnologickým centrem</w:t>
      </w:r>
      <w:r w:rsidRPr="09F46A13">
        <w:rPr>
          <w:rFonts w:asciiTheme="minorHAnsi" w:eastAsiaTheme="minorEastAsia" w:hAnsiTheme="minorHAnsi" w:cstheme="minorBidi"/>
        </w:rPr>
        <w:t xml:space="preserve"> AV ČR</w:t>
      </w:r>
      <w:r w:rsidR="00042947">
        <w:rPr>
          <w:rFonts w:asciiTheme="minorHAnsi" w:eastAsiaTheme="minorEastAsia" w:hAnsiTheme="minorHAnsi" w:cstheme="minorBidi"/>
        </w:rPr>
        <w:t>, partnery</w:t>
      </w:r>
      <w:r w:rsidR="003659E1">
        <w:rPr>
          <w:rFonts w:asciiTheme="minorHAnsi" w:eastAsiaTheme="minorEastAsia" w:hAnsiTheme="minorHAnsi" w:cstheme="minorBidi"/>
        </w:rPr>
        <w:t xml:space="preserve"> </w:t>
      </w:r>
      <w:r w:rsidRPr="09F46A13">
        <w:rPr>
          <w:rFonts w:asciiTheme="minorHAnsi" w:eastAsiaTheme="minorEastAsia" w:hAnsiTheme="minorHAnsi" w:cstheme="minorBidi"/>
        </w:rPr>
        <w:t xml:space="preserve">jsou BIC Plzeň, JIC Brno, Centrum pro regionální rozvoj ČR, Jihomoravské inovační centrum, Krajská hospodářská komora MSK, Regionální hospodářská komora Brno. Členové sítě získávají ze strany </w:t>
      </w:r>
      <w:r w:rsidR="002D7AEF" w:rsidRPr="002D7AEF">
        <w:rPr>
          <w:rFonts w:asciiTheme="minorHAnsi" w:eastAsia="Cambria" w:hAnsiTheme="minorHAnsi" w:cstheme="minorHAnsi"/>
          <w:bCs/>
          <w:color w:val="000000" w:themeColor="text1"/>
        </w:rPr>
        <w:t>Technologického centra</w:t>
      </w:r>
      <w:r w:rsidRPr="09F46A13">
        <w:rPr>
          <w:rFonts w:asciiTheme="minorHAnsi" w:eastAsiaTheme="minorEastAsia" w:hAnsiTheme="minorHAnsi" w:cstheme="minorBidi"/>
        </w:rPr>
        <w:t xml:space="preserve"> </w:t>
      </w:r>
      <w:r w:rsidR="00D10338">
        <w:rPr>
          <w:rFonts w:asciiTheme="minorHAnsi" w:eastAsiaTheme="minorEastAsia" w:hAnsiTheme="minorHAnsi" w:cstheme="minorBidi"/>
        </w:rPr>
        <w:t xml:space="preserve">AV ČR </w:t>
      </w:r>
      <w:r w:rsidRPr="09F46A13">
        <w:rPr>
          <w:rFonts w:asciiTheme="minorHAnsi" w:eastAsiaTheme="minorEastAsia" w:hAnsiTheme="minorHAnsi" w:cstheme="minorBidi"/>
        </w:rPr>
        <w:t xml:space="preserve">expertní podporu.   </w:t>
      </w:r>
    </w:p>
    <w:p w14:paraId="74692282" w14:textId="77777777" w:rsidR="00B60CDD" w:rsidRDefault="00B60CDD" w:rsidP="00B60CDD">
      <w:pPr>
        <w:spacing w:line="257" w:lineRule="auto"/>
      </w:pPr>
      <w:r w:rsidRPr="1F841A3E">
        <w:rPr>
          <w:rFonts w:cs="Calibri"/>
        </w:rPr>
        <w:t xml:space="preserve">Další formou podpory </w:t>
      </w:r>
      <w:r w:rsidR="00144ABE">
        <w:rPr>
          <w:rFonts w:cs="Calibri"/>
        </w:rPr>
        <w:t>inova</w:t>
      </w:r>
      <w:r w:rsidR="00855DA6">
        <w:rPr>
          <w:rFonts w:cs="Calibri"/>
        </w:rPr>
        <w:t xml:space="preserve">tivních firem </w:t>
      </w:r>
      <w:r w:rsidRPr="1F841A3E">
        <w:rPr>
          <w:rFonts w:cs="Calibri"/>
        </w:rPr>
        <w:t xml:space="preserve">jsou </w:t>
      </w:r>
      <w:r w:rsidR="003E047C">
        <w:rPr>
          <w:rFonts w:cs="Calibri"/>
        </w:rPr>
        <w:t>např.</w:t>
      </w:r>
      <w:r w:rsidRPr="1F841A3E">
        <w:rPr>
          <w:rFonts w:cs="Calibri"/>
        </w:rPr>
        <w:t xml:space="preserve"> inkubátory</w:t>
      </w:r>
      <w:r w:rsidR="009B66B5">
        <w:rPr>
          <w:rFonts w:cs="Calibri"/>
        </w:rPr>
        <w:t xml:space="preserve"> a </w:t>
      </w:r>
      <w:r w:rsidRPr="1F841A3E">
        <w:rPr>
          <w:rFonts w:cs="Calibri"/>
        </w:rPr>
        <w:t>akcelerační programy</w:t>
      </w:r>
      <w:r w:rsidR="00B75B1B">
        <w:rPr>
          <w:rFonts w:cs="Calibri"/>
        </w:rPr>
        <w:t>, např.</w:t>
      </w:r>
      <w:r w:rsidRPr="1F841A3E">
        <w:rPr>
          <w:rFonts w:cs="Calibri"/>
        </w:rPr>
        <w:t xml:space="preserve"> Business Runway</w:t>
      </w:r>
      <w:r w:rsidR="009B66B5">
        <w:rPr>
          <w:rFonts w:cs="Calibri"/>
        </w:rPr>
        <w:t xml:space="preserve"> v </w:t>
      </w:r>
      <w:r w:rsidR="002D7AEF" w:rsidRPr="002D7AEF">
        <w:rPr>
          <w:rFonts w:asciiTheme="minorHAnsi" w:eastAsia="Cambria" w:hAnsiTheme="minorHAnsi" w:cstheme="minorHAnsi"/>
          <w:bCs/>
          <w:color w:val="000000" w:themeColor="text1"/>
        </w:rPr>
        <w:t>Technologické</w:t>
      </w:r>
      <w:r w:rsidR="002D7AEF">
        <w:rPr>
          <w:rFonts w:asciiTheme="minorHAnsi" w:eastAsia="Cambria" w:hAnsiTheme="minorHAnsi" w:cstheme="minorHAnsi"/>
          <w:bCs/>
          <w:color w:val="000000" w:themeColor="text1"/>
        </w:rPr>
        <w:t>m centru</w:t>
      </w:r>
      <w:r w:rsidRPr="1F841A3E">
        <w:rPr>
          <w:rFonts w:cs="Calibri"/>
        </w:rPr>
        <w:t xml:space="preserve"> AV ČR. Inkubované začínající firmy získávají mimo prostory</w:t>
      </w:r>
      <w:r w:rsidR="009B66B5">
        <w:rPr>
          <w:rFonts w:cs="Calibri"/>
        </w:rPr>
        <w:t xml:space="preserve"> k </w:t>
      </w:r>
      <w:r w:rsidRPr="1F841A3E">
        <w:rPr>
          <w:rFonts w:cs="Calibri"/>
        </w:rPr>
        <w:t>podnikání</w:t>
      </w:r>
      <w:r w:rsidR="009B66B5">
        <w:rPr>
          <w:rFonts w:cs="Calibri"/>
        </w:rPr>
        <w:t xml:space="preserve"> i </w:t>
      </w:r>
      <w:r w:rsidRPr="1F841A3E">
        <w:rPr>
          <w:rFonts w:cs="Calibri"/>
        </w:rPr>
        <w:t>manažerský servis, který zahrnuje jak podnikatelské aktivity, tak</w:t>
      </w:r>
      <w:r w:rsidR="009B66B5">
        <w:rPr>
          <w:rFonts w:cs="Calibri"/>
        </w:rPr>
        <w:t xml:space="preserve"> i </w:t>
      </w:r>
      <w:r w:rsidRPr="1F841A3E">
        <w:rPr>
          <w:rFonts w:cs="Calibri"/>
        </w:rPr>
        <w:t>komplexní informace</w:t>
      </w:r>
      <w:r w:rsidR="009B66B5">
        <w:rPr>
          <w:rFonts w:cs="Calibri"/>
        </w:rPr>
        <w:t xml:space="preserve"> o </w:t>
      </w:r>
      <w:r w:rsidRPr="1F841A3E">
        <w:rPr>
          <w:rFonts w:cs="Calibri"/>
        </w:rPr>
        <w:t>možnostech zapojení do národních programů</w:t>
      </w:r>
      <w:r w:rsidR="009B66B5">
        <w:rPr>
          <w:rFonts w:cs="Calibri"/>
        </w:rPr>
        <w:t xml:space="preserve"> i </w:t>
      </w:r>
      <w:r w:rsidRPr="1F841A3E">
        <w:rPr>
          <w:rFonts w:cs="Calibri"/>
        </w:rPr>
        <w:t>Evropského výzkumného prostoru.</w:t>
      </w:r>
    </w:p>
    <w:p w14:paraId="005DC16D" w14:textId="77777777" w:rsidR="00B60CDD" w:rsidRDefault="00B60CDD" w:rsidP="00B60CDD">
      <w:pPr>
        <w:spacing w:line="257" w:lineRule="auto"/>
      </w:pPr>
      <w:r w:rsidRPr="1F841A3E">
        <w:rPr>
          <w:rFonts w:cs="Calibri"/>
        </w:rPr>
        <w:t xml:space="preserve">Podporu </w:t>
      </w:r>
      <w:r w:rsidR="00F20F94">
        <w:rPr>
          <w:rFonts w:cs="Calibri"/>
        </w:rPr>
        <w:t>firemnímu sektoru pro účast</w:t>
      </w:r>
      <w:r w:rsidR="009B66B5">
        <w:rPr>
          <w:rFonts w:cs="Calibri"/>
        </w:rPr>
        <w:t xml:space="preserve"> v </w:t>
      </w:r>
      <w:r w:rsidRPr="1F841A3E">
        <w:rPr>
          <w:rFonts w:cs="Calibri"/>
        </w:rPr>
        <w:t xml:space="preserve">rámcových programech poskytují </w:t>
      </w:r>
      <w:r w:rsidR="001C487B">
        <w:rPr>
          <w:rFonts w:cs="Calibri"/>
        </w:rPr>
        <w:t xml:space="preserve">kromě </w:t>
      </w:r>
      <w:r w:rsidR="002E384F">
        <w:rPr>
          <w:rFonts w:cs="Calibri"/>
        </w:rPr>
        <w:t xml:space="preserve">národních kontaktních bodů pro </w:t>
      </w:r>
      <w:r w:rsidR="00C032C8">
        <w:rPr>
          <w:rFonts w:cs="Calibri"/>
        </w:rPr>
        <w:t xml:space="preserve">RP Horizont Evropa, </w:t>
      </w:r>
      <w:r w:rsidR="009B66B5">
        <w:rPr>
          <w:rFonts w:cs="Calibri"/>
        </w:rPr>
        <w:t> </w:t>
      </w:r>
      <w:r w:rsidR="002E384F">
        <w:rPr>
          <w:rFonts w:cs="Calibri"/>
        </w:rPr>
        <w:t>sítě EEN</w:t>
      </w:r>
      <w:r w:rsidR="009B66B5">
        <w:rPr>
          <w:rFonts w:cs="Calibri"/>
        </w:rPr>
        <w:t xml:space="preserve"> i </w:t>
      </w:r>
      <w:r w:rsidR="00B75B1B">
        <w:rPr>
          <w:rFonts w:cs="Calibri"/>
        </w:rPr>
        <w:t>další</w:t>
      </w:r>
      <w:r w:rsidRPr="1F841A3E">
        <w:rPr>
          <w:rFonts w:cs="Calibri"/>
        </w:rPr>
        <w:t xml:space="preserve"> inovační centra jako BIC Brno, BIC Ostrava</w:t>
      </w:r>
      <w:r w:rsidR="009B66B5">
        <w:rPr>
          <w:rFonts w:cs="Calibri"/>
        </w:rPr>
        <w:t xml:space="preserve"> a </w:t>
      </w:r>
      <w:r w:rsidRPr="1F841A3E">
        <w:rPr>
          <w:rFonts w:cs="Calibri"/>
        </w:rPr>
        <w:t>další organizace.</w:t>
      </w:r>
    </w:p>
    <w:p w14:paraId="27D2312A" w14:textId="77777777" w:rsidR="00B020F6" w:rsidRDefault="005562C8" w:rsidP="005515AB">
      <w:pPr>
        <w:pStyle w:val="Nadpis2"/>
      </w:pPr>
      <w:bookmarkStart w:id="79" w:name="_Toc112936119"/>
      <w:bookmarkStart w:id="80" w:name="_Toc114572356"/>
      <w:bookmarkEnd w:id="79"/>
      <w:r>
        <w:t>Závěr</w:t>
      </w:r>
      <w:bookmarkEnd w:id="80"/>
    </w:p>
    <w:p w14:paraId="45B4E56F" w14:textId="77777777" w:rsidR="008E69E2" w:rsidRDefault="00FD21D7" w:rsidP="005562C8">
      <w:pPr>
        <w:rPr>
          <w:lang w:eastAsia="cs-CZ"/>
        </w:rPr>
      </w:pPr>
      <w:r>
        <w:rPr>
          <w:lang w:eastAsia="cs-CZ"/>
        </w:rPr>
        <w:t>Informační</w:t>
      </w:r>
      <w:r w:rsidR="009B66B5">
        <w:rPr>
          <w:lang w:eastAsia="cs-CZ"/>
        </w:rPr>
        <w:t xml:space="preserve"> a </w:t>
      </w:r>
      <w:r>
        <w:rPr>
          <w:lang w:eastAsia="cs-CZ"/>
        </w:rPr>
        <w:t>konzul</w:t>
      </w:r>
      <w:r w:rsidR="00AF29F3">
        <w:rPr>
          <w:lang w:eastAsia="cs-CZ"/>
        </w:rPr>
        <w:t>t</w:t>
      </w:r>
      <w:r>
        <w:rPr>
          <w:lang w:eastAsia="cs-CZ"/>
        </w:rPr>
        <w:t xml:space="preserve">ační </w:t>
      </w:r>
      <w:r w:rsidR="00AF29F3">
        <w:rPr>
          <w:lang w:eastAsia="cs-CZ"/>
        </w:rPr>
        <w:t xml:space="preserve">podpora </w:t>
      </w:r>
      <w:r w:rsidR="00E2795F">
        <w:rPr>
          <w:lang w:eastAsia="cs-CZ"/>
        </w:rPr>
        <w:t xml:space="preserve">pro zapojení do </w:t>
      </w:r>
      <w:r w:rsidR="00D10338">
        <w:rPr>
          <w:lang w:eastAsia="cs-CZ"/>
        </w:rPr>
        <w:t>RP</w:t>
      </w:r>
      <w:r w:rsidR="00E428A4">
        <w:rPr>
          <w:lang w:eastAsia="cs-CZ"/>
        </w:rPr>
        <w:t xml:space="preserve"> </w:t>
      </w:r>
      <w:r w:rsidR="00AF29F3">
        <w:rPr>
          <w:lang w:eastAsia="cs-CZ"/>
        </w:rPr>
        <w:t>je</w:t>
      </w:r>
      <w:r w:rsidR="009B66B5">
        <w:rPr>
          <w:lang w:eastAsia="cs-CZ"/>
        </w:rPr>
        <w:t xml:space="preserve"> v </w:t>
      </w:r>
      <w:r w:rsidR="00AF29F3">
        <w:rPr>
          <w:lang w:eastAsia="cs-CZ"/>
        </w:rPr>
        <w:t>současné době poskytována</w:t>
      </w:r>
      <w:r w:rsidR="00E2795F">
        <w:rPr>
          <w:lang w:eastAsia="cs-CZ"/>
        </w:rPr>
        <w:t xml:space="preserve"> před</w:t>
      </w:r>
      <w:r w:rsidR="00E428A4">
        <w:rPr>
          <w:lang w:eastAsia="cs-CZ"/>
        </w:rPr>
        <w:t>evším prostřednictvím projektu sdílených činností CZERA</w:t>
      </w:r>
      <w:r w:rsidR="00336FBC">
        <w:rPr>
          <w:lang w:eastAsia="cs-CZ"/>
        </w:rPr>
        <w:t xml:space="preserve"> koordinovaným </w:t>
      </w:r>
      <w:r w:rsidR="002D7AEF" w:rsidRPr="002D7AEF">
        <w:rPr>
          <w:rFonts w:asciiTheme="minorHAnsi" w:eastAsia="Cambria" w:hAnsiTheme="minorHAnsi" w:cstheme="minorHAnsi"/>
          <w:bCs/>
          <w:color w:val="000000" w:themeColor="text1"/>
        </w:rPr>
        <w:t>T</w:t>
      </w:r>
      <w:r w:rsidR="002D7AEF">
        <w:rPr>
          <w:rFonts w:asciiTheme="minorHAnsi" w:eastAsia="Cambria" w:hAnsiTheme="minorHAnsi" w:cstheme="minorHAnsi"/>
          <w:bCs/>
          <w:color w:val="000000" w:themeColor="text1"/>
        </w:rPr>
        <w:t>echnologickým centrem</w:t>
      </w:r>
      <w:r w:rsidR="00336FBC">
        <w:rPr>
          <w:lang w:eastAsia="cs-CZ"/>
        </w:rPr>
        <w:t xml:space="preserve"> AV ČR</w:t>
      </w:r>
      <w:r w:rsidR="008D6374">
        <w:rPr>
          <w:lang w:eastAsia="cs-CZ"/>
        </w:rPr>
        <w:t>, který</w:t>
      </w:r>
      <w:r w:rsidR="00336FBC">
        <w:rPr>
          <w:lang w:eastAsia="cs-CZ"/>
        </w:rPr>
        <w:t xml:space="preserve"> </w:t>
      </w:r>
      <w:r w:rsidR="00F32992">
        <w:rPr>
          <w:lang w:eastAsia="cs-CZ"/>
        </w:rPr>
        <w:t xml:space="preserve">zajišťuje fungování </w:t>
      </w:r>
      <w:r w:rsidR="00827E49">
        <w:rPr>
          <w:lang w:eastAsia="cs-CZ"/>
        </w:rPr>
        <w:t xml:space="preserve">specializovaných </w:t>
      </w:r>
      <w:r w:rsidR="00A877E0">
        <w:rPr>
          <w:lang w:eastAsia="cs-CZ"/>
        </w:rPr>
        <w:t xml:space="preserve">služeb </w:t>
      </w:r>
      <w:r w:rsidR="00D10338">
        <w:rPr>
          <w:lang w:eastAsia="cs-CZ"/>
        </w:rPr>
        <w:t>NCP</w:t>
      </w:r>
      <w:r w:rsidR="00827E49">
        <w:rPr>
          <w:lang w:eastAsia="cs-CZ"/>
        </w:rPr>
        <w:t xml:space="preserve"> pro </w:t>
      </w:r>
      <w:r w:rsidR="00C032C8">
        <w:rPr>
          <w:rFonts w:cs="Calibri"/>
        </w:rPr>
        <w:t>RP Horizont Evropa</w:t>
      </w:r>
      <w:r w:rsidR="00334391">
        <w:rPr>
          <w:lang w:eastAsia="cs-CZ"/>
        </w:rPr>
        <w:t>, provádí monitoring</w:t>
      </w:r>
      <w:r w:rsidR="009B66B5">
        <w:rPr>
          <w:lang w:eastAsia="cs-CZ"/>
        </w:rPr>
        <w:t xml:space="preserve"> a </w:t>
      </w:r>
      <w:r w:rsidR="00334391">
        <w:rPr>
          <w:lang w:eastAsia="cs-CZ"/>
        </w:rPr>
        <w:t xml:space="preserve">analýzy zapojení ČR do </w:t>
      </w:r>
      <w:r w:rsidR="00D10338">
        <w:rPr>
          <w:lang w:eastAsia="cs-CZ"/>
        </w:rPr>
        <w:t>RP</w:t>
      </w:r>
      <w:r w:rsidR="009B66B5">
        <w:rPr>
          <w:lang w:eastAsia="cs-CZ"/>
        </w:rPr>
        <w:t xml:space="preserve"> a</w:t>
      </w:r>
      <w:r w:rsidR="00ED5B4A">
        <w:rPr>
          <w:lang w:eastAsia="cs-CZ"/>
        </w:rPr>
        <w:t> </w:t>
      </w:r>
      <w:r w:rsidR="009B66B5">
        <w:rPr>
          <w:lang w:eastAsia="cs-CZ"/>
        </w:rPr>
        <w:t>v </w:t>
      </w:r>
      <w:r w:rsidR="00A5744E">
        <w:rPr>
          <w:lang w:eastAsia="cs-CZ"/>
        </w:rPr>
        <w:t xml:space="preserve">rámci </w:t>
      </w:r>
      <w:r w:rsidR="00BC01E0">
        <w:rPr>
          <w:lang w:eastAsia="cs-CZ"/>
        </w:rPr>
        <w:t>modulů</w:t>
      </w:r>
      <w:r w:rsidR="007556F1">
        <w:rPr>
          <w:lang w:eastAsia="cs-CZ"/>
        </w:rPr>
        <w:t xml:space="preserve"> NKC </w:t>
      </w:r>
      <w:r w:rsidR="00D10338">
        <w:rPr>
          <w:lang w:eastAsia="cs-CZ"/>
        </w:rPr>
        <w:t>G</w:t>
      </w:r>
      <w:r w:rsidR="007556F1">
        <w:rPr>
          <w:lang w:eastAsia="cs-CZ"/>
        </w:rPr>
        <w:t>ender</w:t>
      </w:r>
      <w:r w:rsidR="009B66B5">
        <w:rPr>
          <w:lang w:eastAsia="cs-CZ"/>
        </w:rPr>
        <w:t xml:space="preserve"> a </w:t>
      </w:r>
      <w:r w:rsidR="007556F1">
        <w:rPr>
          <w:lang w:eastAsia="cs-CZ"/>
        </w:rPr>
        <w:t>věda</w:t>
      </w:r>
      <w:r w:rsidR="009B66B5">
        <w:rPr>
          <w:lang w:eastAsia="cs-CZ"/>
        </w:rPr>
        <w:t xml:space="preserve"> a </w:t>
      </w:r>
      <w:r w:rsidR="007556F1">
        <w:rPr>
          <w:lang w:eastAsia="cs-CZ"/>
        </w:rPr>
        <w:t>E</w:t>
      </w:r>
      <w:r w:rsidR="00A5744E">
        <w:rPr>
          <w:lang w:eastAsia="cs-CZ"/>
        </w:rPr>
        <w:t>URAXESS</w:t>
      </w:r>
      <w:r w:rsidR="003C09CA">
        <w:rPr>
          <w:lang w:eastAsia="cs-CZ"/>
        </w:rPr>
        <w:t>,</w:t>
      </w:r>
      <w:r w:rsidR="007556F1">
        <w:rPr>
          <w:lang w:eastAsia="cs-CZ"/>
        </w:rPr>
        <w:t xml:space="preserve"> </w:t>
      </w:r>
      <w:r w:rsidR="009C381F">
        <w:rPr>
          <w:lang w:eastAsia="cs-CZ"/>
        </w:rPr>
        <w:t>odborně zajištěných partnerskými organizacemi projektu</w:t>
      </w:r>
      <w:r w:rsidR="003C09CA">
        <w:rPr>
          <w:lang w:eastAsia="cs-CZ"/>
        </w:rPr>
        <w:t>,</w:t>
      </w:r>
      <w:r w:rsidR="009C381F">
        <w:rPr>
          <w:lang w:eastAsia="cs-CZ"/>
        </w:rPr>
        <w:t xml:space="preserve"> </w:t>
      </w:r>
      <w:r w:rsidR="00A00DBE">
        <w:rPr>
          <w:lang w:eastAsia="cs-CZ"/>
        </w:rPr>
        <w:t xml:space="preserve">poskytuje </w:t>
      </w:r>
      <w:r w:rsidR="00BC01E0">
        <w:rPr>
          <w:lang w:eastAsia="cs-CZ"/>
        </w:rPr>
        <w:t>také další klíčové expertní služby</w:t>
      </w:r>
      <w:r w:rsidR="008E69E2">
        <w:rPr>
          <w:lang w:eastAsia="cs-CZ"/>
        </w:rPr>
        <w:t xml:space="preserve"> </w:t>
      </w:r>
      <w:r w:rsidR="00A00DBE">
        <w:rPr>
          <w:lang w:eastAsia="cs-CZ"/>
        </w:rPr>
        <w:t>potřebné</w:t>
      </w:r>
      <w:r w:rsidR="00BC01E0">
        <w:rPr>
          <w:lang w:eastAsia="cs-CZ"/>
        </w:rPr>
        <w:t xml:space="preserve"> </w:t>
      </w:r>
      <w:r w:rsidR="00A0597B">
        <w:rPr>
          <w:lang w:eastAsia="cs-CZ"/>
        </w:rPr>
        <w:t xml:space="preserve">pro </w:t>
      </w:r>
      <w:r w:rsidR="00443A30">
        <w:rPr>
          <w:lang w:eastAsia="cs-CZ"/>
        </w:rPr>
        <w:t xml:space="preserve">zlepšení </w:t>
      </w:r>
      <w:r w:rsidR="006D52E7">
        <w:rPr>
          <w:lang w:eastAsia="cs-CZ"/>
        </w:rPr>
        <w:t>ekosystému výzkum</w:t>
      </w:r>
      <w:r w:rsidR="00651BC2">
        <w:rPr>
          <w:lang w:eastAsia="cs-CZ"/>
        </w:rPr>
        <w:t>u</w:t>
      </w:r>
      <w:r w:rsidR="009B66B5">
        <w:rPr>
          <w:lang w:eastAsia="cs-CZ"/>
        </w:rPr>
        <w:t xml:space="preserve"> a </w:t>
      </w:r>
      <w:r w:rsidR="006D52E7">
        <w:rPr>
          <w:lang w:eastAsia="cs-CZ"/>
        </w:rPr>
        <w:t>inovac</w:t>
      </w:r>
      <w:r w:rsidR="00651BC2">
        <w:rPr>
          <w:lang w:eastAsia="cs-CZ"/>
        </w:rPr>
        <w:t>í</w:t>
      </w:r>
      <w:r w:rsidR="009B66B5">
        <w:rPr>
          <w:lang w:eastAsia="cs-CZ"/>
        </w:rPr>
        <w:t xml:space="preserve"> a </w:t>
      </w:r>
      <w:r w:rsidR="00D83BF9">
        <w:rPr>
          <w:lang w:eastAsia="cs-CZ"/>
        </w:rPr>
        <w:t>lepší integraci ČR do ERA.</w:t>
      </w:r>
      <w:r w:rsidR="00336FBC">
        <w:rPr>
          <w:lang w:eastAsia="cs-CZ"/>
        </w:rPr>
        <w:t xml:space="preserve"> </w:t>
      </w:r>
    </w:p>
    <w:p w14:paraId="47D2BEFF" w14:textId="77777777" w:rsidR="005562C8" w:rsidRDefault="008E69E2" w:rsidP="005562C8">
      <w:pPr>
        <w:rPr>
          <w:lang w:eastAsia="cs-CZ"/>
        </w:rPr>
      </w:pPr>
      <w:r>
        <w:rPr>
          <w:lang w:eastAsia="cs-CZ"/>
        </w:rPr>
        <w:lastRenderedPageBreak/>
        <w:t>Projekt CZERA spolupracuje</w:t>
      </w:r>
      <w:r w:rsidR="009B66B5">
        <w:rPr>
          <w:lang w:eastAsia="cs-CZ"/>
        </w:rPr>
        <w:t xml:space="preserve"> s </w:t>
      </w:r>
      <w:r w:rsidR="006453FD">
        <w:rPr>
          <w:lang w:eastAsia="cs-CZ"/>
        </w:rPr>
        <w:t>Českou styčnou kanceláří pro vzdělávání</w:t>
      </w:r>
      <w:r w:rsidR="009B66B5">
        <w:rPr>
          <w:lang w:eastAsia="cs-CZ"/>
        </w:rPr>
        <w:t xml:space="preserve"> a </w:t>
      </w:r>
      <w:r w:rsidR="006453FD">
        <w:rPr>
          <w:lang w:eastAsia="cs-CZ"/>
        </w:rPr>
        <w:t xml:space="preserve">výzkum </w:t>
      </w:r>
      <w:r w:rsidR="000A7CE0">
        <w:rPr>
          <w:lang w:eastAsia="cs-CZ"/>
        </w:rPr>
        <w:t>(CZELO)</w:t>
      </w:r>
      <w:r w:rsidR="009B66B5">
        <w:rPr>
          <w:lang w:eastAsia="cs-CZ"/>
        </w:rPr>
        <w:t xml:space="preserve"> v </w:t>
      </w:r>
      <w:r w:rsidR="000A7CE0">
        <w:rPr>
          <w:lang w:eastAsia="cs-CZ"/>
        </w:rPr>
        <w:t>Bruselu,</w:t>
      </w:r>
      <w:r w:rsidR="009B66B5">
        <w:rPr>
          <w:lang w:eastAsia="cs-CZ"/>
        </w:rPr>
        <w:t xml:space="preserve"> s </w:t>
      </w:r>
      <w:r w:rsidR="000A7CE0">
        <w:rPr>
          <w:lang w:eastAsia="cs-CZ"/>
        </w:rPr>
        <w:t xml:space="preserve">řešiteli projektů </w:t>
      </w:r>
      <w:r w:rsidR="00D10338">
        <w:rPr>
          <w:lang w:eastAsia="cs-CZ"/>
        </w:rPr>
        <w:t xml:space="preserve">programu </w:t>
      </w:r>
      <w:r w:rsidR="000A7CE0">
        <w:rPr>
          <w:lang w:eastAsia="cs-CZ"/>
        </w:rPr>
        <w:t>Inter-Excellence</w:t>
      </w:r>
      <w:r w:rsidR="00A5744E">
        <w:rPr>
          <w:lang w:eastAsia="cs-CZ"/>
        </w:rPr>
        <w:t xml:space="preserve"> podprogramu</w:t>
      </w:r>
      <w:r w:rsidR="000A7CE0">
        <w:rPr>
          <w:lang w:eastAsia="cs-CZ"/>
        </w:rPr>
        <w:t xml:space="preserve"> Inter-Inform</w:t>
      </w:r>
      <w:r w:rsidR="009B66B5">
        <w:rPr>
          <w:lang w:eastAsia="cs-CZ"/>
        </w:rPr>
        <w:t xml:space="preserve"> a s </w:t>
      </w:r>
      <w:r w:rsidR="007F72CC">
        <w:rPr>
          <w:lang w:eastAsia="cs-CZ"/>
        </w:rPr>
        <w:t>projektovými manažery</w:t>
      </w:r>
      <w:r w:rsidR="000C3CC8">
        <w:rPr>
          <w:lang w:eastAsia="cs-CZ"/>
        </w:rPr>
        <w:t>, administrátory</w:t>
      </w:r>
      <w:r w:rsidR="009B66B5">
        <w:rPr>
          <w:lang w:eastAsia="cs-CZ"/>
        </w:rPr>
        <w:t xml:space="preserve"> a </w:t>
      </w:r>
      <w:r w:rsidR="00AC06CB">
        <w:rPr>
          <w:lang w:eastAsia="cs-CZ"/>
        </w:rPr>
        <w:t xml:space="preserve">pracovníky projektové podpory na </w:t>
      </w:r>
      <w:r w:rsidR="00D10338">
        <w:rPr>
          <w:lang w:eastAsia="cs-CZ"/>
        </w:rPr>
        <w:t>výzkumných organizacích</w:t>
      </w:r>
      <w:r w:rsidR="00AC06CB">
        <w:rPr>
          <w:lang w:eastAsia="cs-CZ"/>
        </w:rPr>
        <w:t>.</w:t>
      </w:r>
      <w:r w:rsidR="008C4C4D">
        <w:rPr>
          <w:lang w:eastAsia="cs-CZ"/>
        </w:rPr>
        <w:t xml:space="preserve"> </w:t>
      </w:r>
      <w:r w:rsidR="003864DD">
        <w:rPr>
          <w:lang w:eastAsia="cs-CZ"/>
        </w:rPr>
        <w:t>V oblasti podpory zapojení firemního sektoru do mezinárodních projektů je účinná spolupráce se sítí EEN, kterou</w:t>
      </w:r>
      <w:r w:rsidR="009B66B5">
        <w:rPr>
          <w:lang w:eastAsia="cs-CZ"/>
        </w:rPr>
        <w:t xml:space="preserve"> v </w:t>
      </w:r>
      <w:r w:rsidR="003864DD">
        <w:rPr>
          <w:lang w:eastAsia="cs-CZ"/>
        </w:rPr>
        <w:t>ČR koo</w:t>
      </w:r>
      <w:r w:rsidR="000C3CC8">
        <w:rPr>
          <w:lang w:eastAsia="cs-CZ"/>
        </w:rPr>
        <w:t xml:space="preserve">rdinuje </w:t>
      </w:r>
      <w:r w:rsidR="002D7AEF" w:rsidRPr="002D7AEF">
        <w:rPr>
          <w:rFonts w:asciiTheme="minorHAnsi" w:eastAsia="Cambria" w:hAnsiTheme="minorHAnsi" w:cstheme="minorHAnsi"/>
          <w:bCs/>
          <w:color w:val="000000" w:themeColor="text1"/>
        </w:rPr>
        <w:t>Technologické</w:t>
      </w:r>
      <w:r w:rsidR="002D7AEF">
        <w:rPr>
          <w:rFonts w:asciiTheme="minorHAnsi" w:eastAsia="Cambria" w:hAnsiTheme="minorHAnsi" w:cstheme="minorHAnsi"/>
          <w:bCs/>
          <w:color w:val="000000" w:themeColor="text1"/>
        </w:rPr>
        <w:t xml:space="preserve"> centrum</w:t>
      </w:r>
      <w:r w:rsidR="000C3CC8">
        <w:rPr>
          <w:lang w:eastAsia="cs-CZ"/>
        </w:rPr>
        <w:t xml:space="preserve"> AV ČR.</w:t>
      </w:r>
      <w:r w:rsidR="00F32992">
        <w:rPr>
          <w:lang w:eastAsia="cs-CZ"/>
        </w:rPr>
        <w:t xml:space="preserve"> </w:t>
      </w:r>
      <w:r w:rsidR="00E35283">
        <w:rPr>
          <w:lang w:eastAsia="cs-CZ"/>
        </w:rPr>
        <w:t>Spolupráce probíhá též</w:t>
      </w:r>
      <w:r w:rsidR="009B66B5">
        <w:rPr>
          <w:lang w:eastAsia="cs-CZ"/>
        </w:rPr>
        <w:t xml:space="preserve"> s </w:t>
      </w:r>
      <w:r w:rsidR="00D020D2">
        <w:rPr>
          <w:lang w:eastAsia="cs-CZ"/>
        </w:rPr>
        <w:t>poskytovateli</w:t>
      </w:r>
      <w:r w:rsidR="009B66B5">
        <w:rPr>
          <w:lang w:eastAsia="cs-CZ"/>
        </w:rPr>
        <w:t xml:space="preserve"> a </w:t>
      </w:r>
      <w:r w:rsidR="00E35283">
        <w:rPr>
          <w:lang w:eastAsia="cs-CZ"/>
        </w:rPr>
        <w:t>resorty,</w:t>
      </w:r>
      <w:r w:rsidR="009B66B5">
        <w:rPr>
          <w:lang w:eastAsia="cs-CZ"/>
        </w:rPr>
        <w:t xml:space="preserve"> v </w:t>
      </w:r>
      <w:r w:rsidR="00E35283">
        <w:rPr>
          <w:lang w:eastAsia="cs-CZ"/>
        </w:rPr>
        <w:t xml:space="preserve">jejichž portfoliu </w:t>
      </w:r>
      <w:r w:rsidR="00D020D2">
        <w:rPr>
          <w:lang w:eastAsia="cs-CZ"/>
        </w:rPr>
        <w:t>je výzkum</w:t>
      </w:r>
      <w:r w:rsidR="009B66B5">
        <w:rPr>
          <w:lang w:eastAsia="cs-CZ"/>
        </w:rPr>
        <w:t xml:space="preserve"> a </w:t>
      </w:r>
      <w:r w:rsidR="00D020D2">
        <w:rPr>
          <w:lang w:eastAsia="cs-CZ"/>
        </w:rPr>
        <w:t>inovace</w:t>
      </w:r>
      <w:r w:rsidR="00A5744E">
        <w:rPr>
          <w:lang w:eastAsia="cs-CZ"/>
        </w:rPr>
        <w:t>,</w:t>
      </w:r>
      <w:r w:rsidR="009B66B5">
        <w:rPr>
          <w:lang w:eastAsia="cs-CZ"/>
        </w:rPr>
        <w:t xml:space="preserve"> a </w:t>
      </w:r>
      <w:r w:rsidR="00506BCF">
        <w:rPr>
          <w:lang w:eastAsia="cs-CZ"/>
        </w:rPr>
        <w:t xml:space="preserve">se zástupci ČR nominovanými do </w:t>
      </w:r>
      <w:r w:rsidR="00683EEF">
        <w:rPr>
          <w:lang w:eastAsia="cs-CZ"/>
        </w:rPr>
        <w:t xml:space="preserve">programových výborů </w:t>
      </w:r>
      <w:r w:rsidR="00D10338">
        <w:rPr>
          <w:lang w:eastAsia="cs-CZ"/>
        </w:rPr>
        <w:t>RP</w:t>
      </w:r>
      <w:r w:rsidR="009B66B5">
        <w:rPr>
          <w:lang w:eastAsia="cs-CZ"/>
        </w:rPr>
        <w:t xml:space="preserve"> a </w:t>
      </w:r>
      <w:r w:rsidR="00FA74BF">
        <w:rPr>
          <w:lang w:eastAsia="cs-CZ"/>
        </w:rPr>
        <w:t xml:space="preserve">do </w:t>
      </w:r>
      <w:r w:rsidR="00722BDF">
        <w:rPr>
          <w:lang w:eastAsia="cs-CZ"/>
        </w:rPr>
        <w:t xml:space="preserve">dalších </w:t>
      </w:r>
      <w:r w:rsidR="00DD5E49">
        <w:rPr>
          <w:lang w:eastAsia="cs-CZ"/>
        </w:rPr>
        <w:t xml:space="preserve">relevantních struktur, jakými jsou např. </w:t>
      </w:r>
      <w:r w:rsidR="00FA74BF">
        <w:rPr>
          <w:lang w:eastAsia="cs-CZ"/>
        </w:rPr>
        <w:t xml:space="preserve">výbory </w:t>
      </w:r>
      <w:r w:rsidR="00FE5731">
        <w:rPr>
          <w:lang w:eastAsia="cs-CZ"/>
        </w:rPr>
        <w:t xml:space="preserve">sdružující </w:t>
      </w:r>
      <w:r w:rsidR="00DD5E49">
        <w:rPr>
          <w:lang w:eastAsia="cs-CZ"/>
        </w:rPr>
        <w:t>národní zástupc</w:t>
      </w:r>
      <w:r w:rsidR="00FE5731">
        <w:rPr>
          <w:lang w:eastAsia="cs-CZ"/>
        </w:rPr>
        <w:t>e</w:t>
      </w:r>
      <w:r w:rsidR="009B66B5">
        <w:rPr>
          <w:lang w:eastAsia="cs-CZ"/>
        </w:rPr>
        <w:t xml:space="preserve"> v </w:t>
      </w:r>
      <w:r w:rsidR="00DD5E49">
        <w:rPr>
          <w:lang w:eastAsia="cs-CZ"/>
        </w:rPr>
        <w:t>evropských partnerstvích</w:t>
      </w:r>
      <w:r w:rsidR="00A5744E">
        <w:rPr>
          <w:lang w:eastAsia="cs-CZ"/>
        </w:rPr>
        <w:t>.</w:t>
      </w:r>
    </w:p>
    <w:p w14:paraId="7AF61726" w14:textId="77777777" w:rsidR="00C32C23" w:rsidRDefault="00C32C23" w:rsidP="00B25F87"/>
    <w:p w14:paraId="4DE2F6D4" w14:textId="77777777" w:rsidR="00B020F6" w:rsidRDefault="00B020F6" w:rsidP="005515AB">
      <w:pPr>
        <w:pStyle w:val="Nadpis1"/>
      </w:pPr>
      <w:bookmarkStart w:id="81" w:name="_Toc114572357"/>
      <w:r>
        <w:lastRenderedPageBreak/>
        <w:t>Propagace, vzdělávání, rozvoj manažerských dovedností</w:t>
      </w:r>
      <w:bookmarkEnd w:id="81"/>
    </w:p>
    <w:p w14:paraId="1723FDC2" w14:textId="77777777" w:rsidR="00BF22EE" w:rsidRPr="00FB2EEC" w:rsidRDefault="00CD56F1" w:rsidP="00FB2EEC">
      <w:r>
        <w:t>Propagace, komunikace</w:t>
      </w:r>
      <w:r w:rsidR="009B66B5">
        <w:t xml:space="preserve"> a </w:t>
      </w:r>
      <w:r>
        <w:t xml:space="preserve">šíření </w:t>
      </w:r>
      <w:r w:rsidR="00A16E0B">
        <w:t xml:space="preserve">úspěšných příkladů zapojení </w:t>
      </w:r>
      <w:r w:rsidR="00B17FE5">
        <w:t>českých subjektů</w:t>
      </w:r>
      <w:r w:rsidR="009B66B5">
        <w:t xml:space="preserve"> i </w:t>
      </w:r>
      <w:r w:rsidR="00B17FE5">
        <w:t xml:space="preserve">individuálních </w:t>
      </w:r>
      <w:r w:rsidR="00B249FB">
        <w:t xml:space="preserve">výzkumníků </w:t>
      </w:r>
      <w:r w:rsidR="00A16E0B">
        <w:t xml:space="preserve">do </w:t>
      </w:r>
      <w:r w:rsidR="0093387F">
        <w:t>mezinárodní spolupráce</w:t>
      </w:r>
      <w:r w:rsidR="009B66B5">
        <w:t xml:space="preserve"> a v </w:t>
      </w:r>
      <w:r w:rsidR="00470BA6">
        <w:t xml:space="preserve">ní </w:t>
      </w:r>
      <w:r w:rsidR="00412DE3">
        <w:t xml:space="preserve">dosažených výsledků </w:t>
      </w:r>
      <w:r w:rsidR="00845B49">
        <w:t xml:space="preserve">je </w:t>
      </w:r>
      <w:r w:rsidR="00EE3C38">
        <w:t>důležitým motivačním faktorem</w:t>
      </w:r>
      <w:r w:rsidR="007B6EF6">
        <w:t xml:space="preserve"> pro </w:t>
      </w:r>
      <w:r w:rsidR="00D00A89">
        <w:t>výzkumné organizace</w:t>
      </w:r>
      <w:r w:rsidR="009B66B5">
        <w:t xml:space="preserve"> i </w:t>
      </w:r>
      <w:r w:rsidR="006F00D4">
        <w:t>inovační firmy</w:t>
      </w:r>
      <w:r w:rsidR="00470BA6">
        <w:t xml:space="preserve">, zejména takové, které mají </w:t>
      </w:r>
      <w:r w:rsidR="003878CF">
        <w:t>potřebný, ale zatím nevyužitý potenciál</w:t>
      </w:r>
      <w:r w:rsidR="00D1722A">
        <w:t xml:space="preserve">. </w:t>
      </w:r>
      <w:r w:rsidR="001D624E">
        <w:t xml:space="preserve">Za tímto účelem je </w:t>
      </w:r>
      <w:r w:rsidR="00FD0171">
        <w:t>vybudována</w:t>
      </w:r>
      <w:r w:rsidR="009B66B5">
        <w:t xml:space="preserve"> a </w:t>
      </w:r>
      <w:r w:rsidR="00FD0171">
        <w:t>využívána</w:t>
      </w:r>
      <w:r w:rsidR="001D624E">
        <w:t xml:space="preserve"> řada komunikačních nástrojů</w:t>
      </w:r>
      <w:r w:rsidR="008F59C0">
        <w:t>, platforem</w:t>
      </w:r>
      <w:r w:rsidR="009B66B5">
        <w:t xml:space="preserve"> a </w:t>
      </w:r>
      <w:r w:rsidR="00440AC9">
        <w:t xml:space="preserve">služeb. </w:t>
      </w:r>
      <w:r w:rsidR="00B14A9D">
        <w:t xml:space="preserve">Pro </w:t>
      </w:r>
      <w:r w:rsidR="00755553">
        <w:t>z</w:t>
      </w:r>
      <w:r w:rsidR="00B14A9D">
        <w:t>vyšování kompetencí</w:t>
      </w:r>
      <w:r w:rsidR="009B66B5">
        <w:t xml:space="preserve"> a </w:t>
      </w:r>
      <w:r w:rsidR="00502309">
        <w:t xml:space="preserve">znalostí </w:t>
      </w:r>
      <w:r w:rsidR="00755553">
        <w:t>projektových manažerů</w:t>
      </w:r>
      <w:r w:rsidR="009B66B5">
        <w:t xml:space="preserve"> i </w:t>
      </w:r>
      <w:r w:rsidR="00502309">
        <w:t>výzkumných pracovníků důležitých pro úspěšnou přípravu</w:t>
      </w:r>
      <w:r w:rsidR="009B66B5">
        <w:t xml:space="preserve"> a </w:t>
      </w:r>
      <w:r w:rsidR="00502309">
        <w:t xml:space="preserve">realizaci projektů </w:t>
      </w:r>
      <w:r w:rsidR="0031500A">
        <w:t>jsou pořádána</w:t>
      </w:r>
      <w:r w:rsidR="00502309">
        <w:t xml:space="preserve"> </w:t>
      </w:r>
      <w:r w:rsidR="00DC54C7">
        <w:t xml:space="preserve">interaktivní školení, workshopy, cvičné pohovory </w:t>
      </w:r>
      <w:r w:rsidR="007659D1">
        <w:t xml:space="preserve">organizované </w:t>
      </w:r>
      <w:r w:rsidR="006A2320">
        <w:t>ve spolupráci</w:t>
      </w:r>
      <w:r w:rsidR="009B66B5">
        <w:t xml:space="preserve"> s </w:t>
      </w:r>
      <w:r w:rsidR="00616C8D">
        <w:t xml:space="preserve">dalšími experty, </w:t>
      </w:r>
      <w:r w:rsidR="006A2320">
        <w:t>úspěšnými řešiteli</w:t>
      </w:r>
      <w:r w:rsidR="009B66B5">
        <w:t xml:space="preserve"> i </w:t>
      </w:r>
      <w:r w:rsidR="006A2320">
        <w:t>hodnotiteli evropských projektů.</w:t>
      </w:r>
      <w:r w:rsidR="00C63201">
        <w:t xml:space="preserve"> V široké míře jsou využívány</w:t>
      </w:r>
      <w:r w:rsidR="009B66B5">
        <w:t xml:space="preserve"> i </w:t>
      </w:r>
      <w:r w:rsidR="00C63201">
        <w:t xml:space="preserve">příležitosti </w:t>
      </w:r>
      <w:r w:rsidR="0039756F">
        <w:t>ke školení</w:t>
      </w:r>
      <w:r w:rsidR="009B66B5">
        <w:t xml:space="preserve"> a </w:t>
      </w:r>
      <w:r w:rsidR="0039756F">
        <w:t>zvyšování odborných kompetencí</w:t>
      </w:r>
      <w:r w:rsidR="009B66B5">
        <w:t xml:space="preserve"> a </w:t>
      </w:r>
      <w:r w:rsidR="00616C8D">
        <w:t xml:space="preserve">přenosu dobrých praxí </w:t>
      </w:r>
      <w:r w:rsidR="0039756F">
        <w:t>národních kontaktních bodů</w:t>
      </w:r>
      <w:r w:rsidR="009B66B5">
        <w:t xml:space="preserve"> a </w:t>
      </w:r>
      <w:r w:rsidR="0039756F">
        <w:t>dalších specialistů</w:t>
      </w:r>
      <w:r w:rsidR="00E96256">
        <w:t>, kteří poskytují služby výzkumné komunitě.</w:t>
      </w:r>
    </w:p>
    <w:p w14:paraId="5ACAADAD" w14:textId="77777777" w:rsidR="00B020F6" w:rsidRDefault="00B020F6" w:rsidP="005515AB">
      <w:pPr>
        <w:pStyle w:val="Nadpis2"/>
      </w:pPr>
      <w:bookmarkStart w:id="82" w:name="_Toc114572358"/>
      <w:r>
        <w:t>Metody</w:t>
      </w:r>
      <w:r w:rsidR="009B66B5">
        <w:t xml:space="preserve"> a </w:t>
      </w:r>
      <w:r>
        <w:t>prostředky informování</w:t>
      </w:r>
      <w:r w:rsidR="009B66B5">
        <w:t xml:space="preserve"> a </w:t>
      </w:r>
      <w:r>
        <w:t>propagace RP, školicí aktivity, cílové skupiny</w:t>
      </w:r>
      <w:bookmarkEnd w:id="82"/>
    </w:p>
    <w:p w14:paraId="2C75BA83" w14:textId="77777777" w:rsidR="662E54F4" w:rsidRDefault="662E54F4" w:rsidP="662E54F4">
      <w:pPr>
        <w:rPr>
          <w:highlight w:val="yellow"/>
        </w:rPr>
      </w:pPr>
      <w:r w:rsidRPr="662E54F4">
        <w:t>K propagaci</w:t>
      </w:r>
      <w:r w:rsidR="009B66B5">
        <w:t xml:space="preserve"> a </w:t>
      </w:r>
      <w:r w:rsidRPr="662E54F4">
        <w:t>informování</w:t>
      </w:r>
      <w:r w:rsidR="009B66B5">
        <w:t xml:space="preserve"> o </w:t>
      </w:r>
      <w:r w:rsidRPr="662E54F4">
        <w:t>Horizont</w:t>
      </w:r>
      <w:r w:rsidR="00D00A89">
        <w:t>u</w:t>
      </w:r>
      <w:r w:rsidRPr="662E54F4">
        <w:t xml:space="preserve"> Evropa</w:t>
      </w:r>
      <w:r w:rsidR="009B66B5">
        <w:t xml:space="preserve"> a </w:t>
      </w:r>
      <w:r w:rsidRPr="662E54F4">
        <w:t>příležitostech pro mezinárodní spolupráci ve výzkumu</w:t>
      </w:r>
      <w:r w:rsidR="009B66B5">
        <w:t xml:space="preserve"> a </w:t>
      </w:r>
      <w:r w:rsidRPr="662E54F4">
        <w:t xml:space="preserve">inovacích je využívána </w:t>
      </w:r>
      <w:r w:rsidR="00476DEA">
        <w:t>Technologickým centrem AV ČR</w:t>
      </w:r>
      <w:r w:rsidR="009B66B5">
        <w:t xml:space="preserve"> v </w:t>
      </w:r>
      <w:r w:rsidR="005C0BCA">
        <w:t xml:space="preserve">rámci aktivit CZERA </w:t>
      </w:r>
      <w:r w:rsidR="00476DEA">
        <w:t xml:space="preserve">oddělením NICER </w:t>
      </w:r>
      <w:r w:rsidRPr="662E54F4">
        <w:t>řada komunikačních nástrojů.</w:t>
      </w:r>
    </w:p>
    <w:p w14:paraId="3B810650" w14:textId="77777777" w:rsidR="662E54F4" w:rsidRDefault="662E54F4">
      <w:pPr>
        <w:pStyle w:val="Odstavecseseznamem"/>
        <w:numPr>
          <w:ilvl w:val="0"/>
          <w:numId w:val="19"/>
        </w:numPr>
        <w:rPr>
          <w:rFonts w:cs="Calibri"/>
        </w:rPr>
      </w:pPr>
      <w:r w:rsidRPr="662E54F4">
        <w:rPr>
          <w:b/>
          <w:bCs/>
        </w:rPr>
        <w:t>Národní portál Horizont Evropa</w:t>
      </w:r>
      <w:r w:rsidRPr="662E54F4">
        <w:t xml:space="preserve"> (</w:t>
      </w:r>
      <w:hyperlink r:id="rId49">
        <w:r w:rsidRPr="662E54F4">
          <w:rPr>
            <w:rStyle w:val="Hypertextovodkaz"/>
          </w:rPr>
          <w:t>www.horizontevropa.cz</w:t>
        </w:r>
      </w:hyperlink>
      <w:r w:rsidRPr="662E54F4">
        <w:t>) přináší aktuální informace</w:t>
      </w:r>
      <w:r w:rsidR="009B66B5">
        <w:t xml:space="preserve"> o </w:t>
      </w:r>
      <w:r w:rsidRPr="662E54F4">
        <w:t>novinkách</w:t>
      </w:r>
      <w:r w:rsidR="009B66B5">
        <w:t xml:space="preserve"> v </w:t>
      </w:r>
      <w:r w:rsidRPr="662E54F4">
        <w:t>programu, informačních</w:t>
      </w:r>
      <w:r w:rsidR="009B66B5">
        <w:t xml:space="preserve"> a </w:t>
      </w:r>
      <w:r w:rsidRPr="662E54F4">
        <w:t>školicích akcích pořádaných na národní úrovni</w:t>
      </w:r>
      <w:r w:rsidR="009B66B5">
        <w:t xml:space="preserve"> i </w:t>
      </w:r>
      <w:r w:rsidRPr="662E54F4">
        <w:t>relevantních mezinárodních akcích, informace</w:t>
      </w:r>
      <w:r w:rsidR="009B66B5">
        <w:t xml:space="preserve"> o </w:t>
      </w:r>
      <w:r w:rsidRPr="662E54F4">
        <w:t>připravovaných</w:t>
      </w:r>
      <w:r w:rsidR="009B66B5">
        <w:t xml:space="preserve"> a </w:t>
      </w:r>
      <w:r w:rsidRPr="662E54F4">
        <w:t>otevřených výzvách Horizontu Evropa</w:t>
      </w:r>
      <w:r w:rsidR="009B66B5">
        <w:t xml:space="preserve"> i </w:t>
      </w:r>
      <w:r w:rsidRPr="662E54F4">
        <w:t>souvisejících programech</w:t>
      </w:r>
      <w:r w:rsidR="009B66B5">
        <w:t xml:space="preserve"> a </w:t>
      </w:r>
      <w:r w:rsidRPr="662E54F4">
        <w:t>iniciativách (evropská partnerství</w:t>
      </w:r>
      <w:r w:rsidR="009B66B5">
        <w:t xml:space="preserve"> a </w:t>
      </w:r>
      <w:r w:rsidRPr="662E54F4">
        <w:t>mise). V</w:t>
      </w:r>
      <w:r w:rsidR="00ED5B4A">
        <w:t> </w:t>
      </w:r>
      <w:r w:rsidRPr="662E54F4">
        <w:t>sekci portálu Success stories jsou publikovány informace</w:t>
      </w:r>
      <w:r w:rsidR="009B66B5">
        <w:t xml:space="preserve"> o </w:t>
      </w:r>
      <w:r w:rsidRPr="662E54F4">
        <w:t>úspěšných projektech</w:t>
      </w:r>
      <w:r w:rsidR="009B66B5">
        <w:t xml:space="preserve"> s </w:t>
      </w:r>
      <w:r w:rsidRPr="662E54F4">
        <w:t>českou účastí</w:t>
      </w:r>
      <w:r w:rsidR="009B66B5">
        <w:t xml:space="preserve"> i o </w:t>
      </w:r>
      <w:r w:rsidRPr="662E54F4">
        <w:t xml:space="preserve">dosažených výsledcích. Speciální pozornost je věnována průřezovým aspektům </w:t>
      </w:r>
      <w:r w:rsidR="00D00A89">
        <w:t>–</w:t>
      </w:r>
      <w:r w:rsidRPr="662E54F4">
        <w:t xml:space="preserve"> financování, administrativnímu řízení, smluvním vztahům, otevřenému přístupu</w:t>
      </w:r>
      <w:r w:rsidR="009B66B5">
        <w:t xml:space="preserve"> a </w:t>
      </w:r>
      <w:r w:rsidRPr="662E54F4">
        <w:t>IPR. Sekce Hodnocení rámcových programů přináší vypracované komentované přehledy</w:t>
      </w:r>
      <w:r w:rsidR="009B66B5">
        <w:t xml:space="preserve"> a </w:t>
      </w:r>
      <w:r w:rsidRPr="662E54F4">
        <w:t>statistiky účasti ČR</w:t>
      </w:r>
      <w:r w:rsidR="009B66B5">
        <w:t xml:space="preserve"> v </w:t>
      </w:r>
      <w:r w:rsidR="00D00A89">
        <w:t>RP</w:t>
      </w:r>
      <w:r w:rsidRPr="662E54F4">
        <w:t xml:space="preserve"> včetně vybraných trendů. Na portálu se může zájemce zaregistrovat</w:t>
      </w:r>
      <w:r w:rsidR="009B66B5">
        <w:t xml:space="preserve"> k </w:t>
      </w:r>
      <w:r w:rsidRPr="662E54F4">
        <w:t>odběru novinek ze zvolených sekcí portálu</w:t>
      </w:r>
      <w:r w:rsidR="009B66B5">
        <w:t xml:space="preserve"> a </w:t>
      </w:r>
      <w:r w:rsidRPr="662E54F4">
        <w:t>určit frekvenci zasílání. Z hlavní stránky portálu Horizont Evropa je přímo odkazováno též n</w:t>
      </w:r>
      <w:r w:rsidR="00832A94">
        <w:t xml:space="preserve">a weby partnerů projektu CZERA </w:t>
      </w:r>
      <w:r w:rsidR="00832A94" w:rsidRPr="662E54F4">
        <w:rPr>
          <w:rFonts w:cs="Calibri"/>
        </w:rPr>
        <w:t>–</w:t>
      </w:r>
      <w:r w:rsidRPr="662E54F4">
        <w:t xml:space="preserve"> NKC </w:t>
      </w:r>
      <w:r w:rsidR="00D00A89">
        <w:t>G</w:t>
      </w:r>
      <w:r w:rsidRPr="662E54F4">
        <w:t>ender</w:t>
      </w:r>
      <w:r w:rsidR="009B66B5">
        <w:t xml:space="preserve"> a </w:t>
      </w:r>
      <w:r w:rsidRPr="662E54F4">
        <w:t>věda</w:t>
      </w:r>
      <w:r w:rsidR="009B66B5">
        <w:t xml:space="preserve"> a </w:t>
      </w:r>
      <w:r w:rsidR="00832A94">
        <w:rPr>
          <w:lang w:eastAsia="cs-CZ"/>
        </w:rPr>
        <w:t>EURAXESS</w:t>
      </w:r>
      <w:r w:rsidR="003E2D3E">
        <w:t>.</w:t>
      </w:r>
    </w:p>
    <w:p w14:paraId="5FDBF2EB" w14:textId="77777777" w:rsidR="662E54F4" w:rsidRDefault="662E54F4">
      <w:pPr>
        <w:pStyle w:val="Odstavecseseznamem"/>
        <w:numPr>
          <w:ilvl w:val="0"/>
          <w:numId w:val="19"/>
        </w:numPr>
      </w:pPr>
      <w:r w:rsidRPr="662E54F4">
        <w:rPr>
          <w:b/>
          <w:bCs/>
        </w:rPr>
        <w:t xml:space="preserve">Elektronický </w:t>
      </w:r>
      <w:r w:rsidR="004A573C">
        <w:rPr>
          <w:b/>
          <w:bCs/>
        </w:rPr>
        <w:t>Zpravodaj</w:t>
      </w:r>
      <w:r w:rsidR="004A573C" w:rsidRPr="662E54F4">
        <w:rPr>
          <w:b/>
          <w:bCs/>
        </w:rPr>
        <w:t xml:space="preserve"> </w:t>
      </w:r>
      <w:r w:rsidRPr="662E54F4">
        <w:rPr>
          <w:b/>
          <w:bCs/>
        </w:rPr>
        <w:t>Horizont Evropa</w:t>
      </w:r>
      <w:r w:rsidRPr="662E54F4">
        <w:t xml:space="preserve"> je roz</w:t>
      </w:r>
      <w:r w:rsidR="00832A94">
        <w:t>esílán registrovaným zájemcům 1</w:t>
      </w:r>
      <w:r w:rsidRPr="662E54F4">
        <w:t>x měsíčně</w:t>
      </w:r>
      <w:r w:rsidR="009B66B5">
        <w:t xml:space="preserve"> a </w:t>
      </w:r>
      <w:r w:rsidRPr="662E54F4">
        <w:t>obsahuje vybrané důležité informace uveřejněné na portálu</w:t>
      </w:r>
      <w:r w:rsidR="00832A94">
        <w:t xml:space="preserve"> Horizont</w:t>
      </w:r>
      <w:r w:rsidR="00D00A89">
        <w:t>u</w:t>
      </w:r>
      <w:r w:rsidR="00832A94">
        <w:t xml:space="preserve"> Evropa</w:t>
      </w:r>
      <w:r w:rsidR="003E2D3E">
        <w:t>.</w:t>
      </w:r>
    </w:p>
    <w:p w14:paraId="140302A2" w14:textId="77777777" w:rsidR="662E54F4" w:rsidRDefault="662E54F4">
      <w:pPr>
        <w:pStyle w:val="Odstavecseseznamem"/>
        <w:numPr>
          <w:ilvl w:val="0"/>
          <w:numId w:val="19"/>
        </w:numPr>
        <w:rPr>
          <w:rFonts w:cs="Calibri"/>
          <w:b/>
          <w:bCs/>
        </w:rPr>
      </w:pPr>
      <w:r w:rsidRPr="662E54F4">
        <w:rPr>
          <w:b/>
          <w:bCs/>
        </w:rPr>
        <w:t xml:space="preserve">Časopis Echo </w:t>
      </w:r>
      <w:r w:rsidRPr="662E54F4">
        <w:t>přináší informace</w:t>
      </w:r>
      <w:r w:rsidR="009B66B5">
        <w:t xml:space="preserve"> o </w:t>
      </w:r>
      <w:r w:rsidRPr="662E54F4">
        <w:t>evropském výzkumu, možnostech evropské výzkumné spolupráce, úspěších</w:t>
      </w:r>
      <w:r w:rsidR="009B66B5">
        <w:t xml:space="preserve"> a </w:t>
      </w:r>
      <w:r w:rsidRPr="662E54F4">
        <w:t>dosažených výsledcích. Časopis</w:t>
      </w:r>
      <w:r w:rsidR="009B66B5">
        <w:t xml:space="preserve"> s </w:t>
      </w:r>
      <w:r w:rsidRPr="662E54F4">
        <w:t>rozsahem 12–24 stran byl</w:t>
      </w:r>
      <w:r w:rsidR="009B66B5">
        <w:t xml:space="preserve"> v </w:t>
      </w:r>
      <w:r w:rsidRPr="662E54F4">
        <w:t>roce 2022 modernizován, je bezplatně rozšiřován</w:t>
      </w:r>
      <w:r w:rsidR="009B66B5">
        <w:t xml:space="preserve"> v </w:t>
      </w:r>
      <w:r w:rsidRPr="662E54F4">
        <w:t>nákladu 500 kusů všem klíčovým institucím</w:t>
      </w:r>
      <w:r w:rsidR="009B66B5">
        <w:t xml:space="preserve"> v </w:t>
      </w:r>
      <w:r w:rsidRPr="662E54F4">
        <w:t>oblasti VaVaI včetně státní správy</w:t>
      </w:r>
      <w:r w:rsidR="009B66B5">
        <w:t xml:space="preserve"> a </w:t>
      </w:r>
      <w:r w:rsidRPr="662E54F4">
        <w:t>významných knihoven. Echo je dostupné též elektronicky.</w:t>
      </w:r>
    </w:p>
    <w:p w14:paraId="5288AB7C" w14:textId="77777777" w:rsidR="662E54F4" w:rsidRDefault="662E54F4">
      <w:pPr>
        <w:pStyle w:val="Odstavecseseznamem"/>
        <w:numPr>
          <w:ilvl w:val="0"/>
          <w:numId w:val="19"/>
        </w:numPr>
        <w:rPr>
          <w:b/>
          <w:bCs/>
        </w:rPr>
      </w:pPr>
      <w:r w:rsidRPr="662E54F4">
        <w:t>Informační</w:t>
      </w:r>
      <w:r w:rsidR="009B66B5">
        <w:t xml:space="preserve"> a </w:t>
      </w:r>
      <w:r w:rsidRPr="662E54F4">
        <w:t xml:space="preserve">metodické brožury </w:t>
      </w:r>
      <w:r w:rsidRPr="662E54F4">
        <w:rPr>
          <w:b/>
          <w:bCs/>
        </w:rPr>
        <w:t xml:space="preserve">edice Vademecum Horizont Evropa </w:t>
      </w:r>
      <w:r w:rsidRPr="662E54F4">
        <w:t>jsou vydávány elektronicky</w:t>
      </w:r>
      <w:r w:rsidR="009B66B5">
        <w:rPr>
          <w:b/>
          <w:bCs/>
        </w:rPr>
        <w:t xml:space="preserve"> s </w:t>
      </w:r>
      <w:r w:rsidRPr="662E54F4">
        <w:t>cílem přiblížit zájemcům specifické aspekty přípravy</w:t>
      </w:r>
      <w:r w:rsidR="009B66B5">
        <w:t xml:space="preserve"> a </w:t>
      </w:r>
      <w:r w:rsidRPr="662E54F4">
        <w:t xml:space="preserve">implementace </w:t>
      </w:r>
      <w:r w:rsidRPr="662E54F4">
        <w:lastRenderedPageBreak/>
        <w:t>projektů</w:t>
      </w:r>
      <w:r w:rsidR="009B66B5">
        <w:t xml:space="preserve"> a </w:t>
      </w:r>
      <w:r w:rsidRPr="662E54F4">
        <w:t xml:space="preserve">detailně představit nástroje </w:t>
      </w:r>
      <w:r w:rsidR="00D00A89">
        <w:t>RP</w:t>
      </w:r>
      <w:r w:rsidRPr="662E54F4">
        <w:t>, jsou doplněné konkrétními příklady</w:t>
      </w:r>
      <w:r w:rsidR="009B66B5">
        <w:t xml:space="preserve"> a </w:t>
      </w:r>
      <w:r w:rsidRPr="662E54F4">
        <w:t>doporučeními</w:t>
      </w:r>
      <w:r w:rsidR="003E2D3E">
        <w:t>.</w:t>
      </w:r>
    </w:p>
    <w:p w14:paraId="60279B72" w14:textId="77777777" w:rsidR="662E54F4" w:rsidRDefault="662E54F4">
      <w:pPr>
        <w:pStyle w:val="Odstavecseseznamem"/>
        <w:numPr>
          <w:ilvl w:val="0"/>
          <w:numId w:val="19"/>
        </w:numPr>
        <w:rPr>
          <w:b/>
          <w:bCs/>
        </w:rPr>
      </w:pPr>
      <w:r w:rsidRPr="662E54F4">
        <w:rPr>
          <w:b/>
          <w:bCs/>
        </w:rPr>
        <w:t xml:space="preserve">E-learningová videa </w:t>
      </w:r>
      <w:r w:rsidRPr="662E54F4">
        <w:t>jsou vytvářena</w:t>
      </w:r>
      <w:r w:rsidR="009B66B5">
        <w:t xml:space="preserve"> s </w:t>
      </w:r>
      <w:r w:rsidRPr="662E54F4">
        <w:t>cílem moderní</w:t>
      </w:r>
      <w:r w:rsidR="009B66B5">
        <w:t xml:space="preserve"> a </w:t>
      </w:r>
      <w:r w:rsidRPr="662E54F4">
        <w:t>přístupnou formou zorientovat zájemce zejména</w:t>
      </w:r>
      <w:r w:rsidR="009B66B5">
        <w:t xml:space="preserve"> v </w:t>
      </w:r>
      <w:r w:rsidRPr="662E54F4">
        <w:t>administrativních, finančních</w:t>
      </w:r>
      <w:r w:rsidR="009B66B5">
        <w:t xml:space="preserve"> a </w:t>
      </w:r>
      <w:r w:rsidRPr="662E54F4">
        <w:t xml:space="preserve">dalších průřezových aspektech </w:t>
      </w:r>
      <w:r w:rsidR="00D00A89">
        <w:t>RP</w:t>
      </w:r>
      <w:r w:rsidR="009B66B5">
        <w:t xml:space="preserve"> a </w:t>
      </w:r>
      <w:r w:rsidRPr="662E54F4">
        <w:t xml:space="preserve">zodpovědět tak často kladené dotazy. Videa jsou publikována na platformě </w:t>
      </w:r>
      <w:r w:rsidRPr="662E54F4">
        <w:rPr>
          <w:b/>
          <w:bCs/>
        </w:rPr>
        <w:t>YouTube</w:t>
      </w:r>
      <w:r w:rsidR="003E2D3E">
        <w:t>.</w:t>
      </w:r>
    </w:p>
    <w:p w14:paraId="6A8357BA" w14:textId="77777777" w:rsidR="662E54F4" w:rsidRDefault="662E54F4">
      <w:pPr>
        <w:pStyle w:val="Odstavecseseznamem"/>
        <w:numPr>
          <w:ilvl w:val="0"/>
          <w:numId w:val="19"/>
        </w:numPr>
        <w:rPr>
          <w:rFonts w:cs="Calibri"/>
          <w:b/>
          <w:bCs/>
        </w:rPr>
      </w:pPr>
      <w:r w:rsidRPr="662E54F4">
        <w:rPr>
          <w:b/>
          <w:bCs/>
        </w:rPr>
        <w:t xml:space="preserve">Twitterový účet </w:t>
      </w:r>
      <w:r w:rsidRPr="662E54F4">
        <w:t>@HorizonEU_Czech slouží</w:t>
      </w:r>
      <w:r w:rsidR="009B66B5">
        <w:t xml:space="preserve"> k </w:t>
      </w:r>
      <w:r w:rsidRPr="662E54F4">
        <w:t>rychlému informování</w:t>
      </w:r>
      <w:r w:rsidR="009B66B5">
        <w:t xml:space="preserve"> o </w:t>
      </w:r>
      <w:r w:rsidRPr="662E54F4">
        <w:t>aktuálním dění</w:t>
      </w:r>
      <w:r w:rsidR="009B66B5">
        <w:t xml:space="preserve"> v </w:t>
      </w:r>
      <w:r w:rsidR="00D00A89">
        <w:t>RP</w:t>
      </w:r>
      <w:r w:rsidRPr="662E54F4">
        <w:t>, resp.</w:t>
      </w:r>
      <w:r w:rsidR="009B66B5">
        <w:t xml:space="preserve"> v </w:t>
      </w:r>
      <w:r w:rsidRPr="662E54F4">
        <w:t>ERA, upozorňuje na novinky</w:t>
      </w:r>
      <w:r w:rsidR="009B66B5">
        <w:t xml:space="preserve"> a </w:t>
      </w:r>
      <w:r w:rsidRPr="662E54F4">
        <w:t>akce organizované NCP</w:t>
      </w:r>
      <w:r w:rsidR="009B66B5">
        <w:t xml:space="preserve"> i </w:t>
      </w:r>
      <w:r w:rsidRPr="662E54F4">
        <w:t xml:space="preserve">dalšími subjekty. Pro informování je využíván také </w:t>
      </w:r>
      <w:r w:rsidRPr="662E54F4">
        <w:rPr>
          <w:b/>
          <w:bCs/>
        </w:rPr>
        <w:t xml:space="preserve">LinkedIn </w:t>
      </w:r>
      <w:r w:rsidRPr="662E54F4">
        <w:t xml:space="preserve">účet </w:t>
      </w:r>
      <w:r w:rsidR="00ED3992" w:rsidRPr="002D7AEF">
        <w:rPr>
          <w:rFonts w:asciiTheme="minorHAnsi" w:eastAsia="Cambria" w:hAnsiTheme="minorHAnsi" w:cstheme="minorHAnsi"/>
          <w:bCs/>
          <w:color w:val="000000" w:themeColor="text1"/>
        </w:rPr>
        <w:t>Technologického centra</w:t>
      </w:r>
      <w:r w:rsidRPr="662E54F4">
        <w:t xml:space="preserve"> AV ČR.</w:t>
      </w:r>
    </w:p>
    <w:p w14:paraId="4BC96950" w14:textId="77777777" w:rsidR="662E54F4" w:rsidRPr="00463852" w:rsidRDefault="662E54F4">
      <w:pPr>
        <w:pStyle w:val="Odstavecseseznamem"/>
        <w:numPr>
          <w:ilvl w:val="0"/>
          <w:numId w:val="19"/>
        </w:numPr>
        <w:rPr>
          <w:b/>
          <w:bCs/>
        </w:rPr>
      </w:pPr>
      <w:r w:rsidRPr="662E54F4">
        <w:rPr>
          <w:b/>
          <w:bCs/>
        </w:rPr>
        <w:t>Databáze kontaktů</w:t>
      </w:r>
      <w:r w:rsidRPr="662E54F4">
        <w:t xml:space="preserve"> slouží</w:t>
      </w:r>
      <w:r w:rsidR="009B66B5">
        <w:t xml:space="preserve"> k </w:t>
      </w:r>
      <w:r w:rsidRPr="662E54F4">
        <w:t>přímému rozesílání důležitých informací</w:t>
      </w:r>
      <w:r w:rsidR="009B66B5">
        <w:t xml:space="preserve"> a </w:t>
      </w:r>
      <w:r w:rsidRPr="662E54F4">
        <w:t>pozvánek na akce</w:t>
      </w:r>
      <w:r w:rsidR="00832A94">
        <w:t>.</w:t>
      </w:r>
    </w:p>
    <w:p w14:paraId="08DA0DBD" w14:textId="77777777" w:rsidR="00296239" w:rsidRPr="00C056BD" w:rsidRDefault="00296239">
      <w:pPr>
        <w:pStyle w:val="Odstavecseseznamem"/>
        <w:numPr>
          <w:ilvl w:val="0"/>
          <w:numId w:val="19"/>
        </w:numPr>
        <w:rPr>
          <w:b/>
          <w:bCs/>
        </w:rPr>
      </w:pPr>
      <w:r w:rsidRPr="11AA4FDF">
        <w:rPr>
          <w:b/>
          <w:bCs/>
        </w:rPr>
        <w:t>České dny pro evropský výzkum</w:t>
      </w:r>
      <w:r w:rsidR="008A79A5" w:rsidRPr="11AA4FDF">
        <w:rPr>
          <w:b/>
          <w:bCs/>
        </w:rPr>
        <w:t xml:space="preserve"> (CZEDER</w:t>
      </w:r>
      <w:r w:rsidR="008A79A5">
        <w:t>)</w:t>
      </w:r>
      <w:r w:rsidR="00A40A6A">
        <w:t xml:space="preserve">, </w:t>
      </w:r>
      <w:r w:rsidR="000B0352">
        <w:t>konference</w:t>
      </w:r>
      <w:r w:rsidR="00A40A6A">
        <w:t xml:space="preserve"> každoročně organizovaná </w:t>
      </w:r>
      <w:r w:rsidR="00207EB8">
        <w:t>Technologickým</w:t>
      </w:r>
      <w:r w:rsidR="007B485E">
        <w:t xml:space="preserve"> centrem AV ČR</w:t>
      </w:r>
      <w:r w:rsidR="009B66B5">
        <w:t xml:space="preserve"> s </w:t>
      </w:r>
      <w:r w:rsidR="00832A94">
        <w:t>hlavním cílem</w:t>
      </w:r>
      <w:r w:rsidR="00207EB8">
        <w:t xml:space="preserve"> </w:t>
      </w:r>
      <w:r w:rsidR="00832A94">
        <w:t>prezentovat</w:t>
      </w:r>
      <w:r w:rsidR="006962EE">
        <w:t xml:space="preserve"> </w:t>
      </w:r>
      <w:r w:rsidR="00832A94">
        <w:t>evropský výzkum</w:t>
      </w:r>
      <w:r w:rsidR="00267DEA">
        <w:t xml:space="preserve"> (nově od </w:t>
      </w:r>
      <w:r w:rsidR="0064524C">
        <w:t>20. setkání také</w:t>
      </w:r>
      <w:r w:rsidR="009B66B5">
        <w:t xml:space="preserve"> s </w:t>
      </w:r>
      <w:r w:rsidR="0064524C">
        <w:t xml:space="preserve">možností </w:t>
      </w:r>
      <w:r w:rsidR="00403017">
        <w:t xml:space="preserve">stánků prezentujících konkrétní výstupy projektu </w:t>
      </w:r>
      <w:r w:rsidR="00D00A89">
        <w:t>RP</w:t>
      </w:r>
      <w:r w:rsidR="00403017">
        <w:t>)</w:t>
      </w:r>
      <w:r w:rsidR="009B66B5">
        <w:t xml:space="preserve"> a </w:t>
      </w:r>
      <w:r w:rsidR="00403017">
        <w:t>propojení</w:t>
      </w:r>
      <w:r w:rsidR="00832A94">
        <w:t xml:space="preserve"> </w:t>
      </w:r>
      <w:r w:rsidR="00403017">
        <w:t xml:space="preserve">české </w:t>
      </w:r>
      <w:r w:rsidR="00463852">
        <w:t>výzkumné komunity aktivní</w:t>
      </w:r>
      <w:r w:rsidR="009B66B5">
        <w:t xml:space="preserve"> v </w:t>
      </w:r>
      <w:r w:rsidR="00463852">
        <w:t xml:space="preserve">projektech </w:t>
      </w:r>
      <w:r w:rsidR="00D00A89">
        <w:t>RP.</w:t>
      </w:r>
    </w:p>
    <w:p w14:paraId="304DBFD0" w14:textId="77777777" w:rsidR="006D1B73" w:rsidRPr="00C056BD" w:rsidRDefault="007441E0">
      <w:pPr>
        <w:pStyle w:val="Odstavecseseznamem"/>
        <w:numPr>
          <w:ilvl w:val="0"/>
          <w:numId w:val="19"/>
        </w:numPr>
      </w:pPr>
      <w:r>
        <w:t>Od z</w:t>
      </w:r>
      <w:r w:rsidR="00B756B8">
        <w:t>á</w:t>
      </w:r>
      <w:r>
        <w:t xml:space="preserve">ří 2022 </w:t>
      </w:r>
      <w:r w:rsidR="00832A94">
        <w:t xml:space="preserve">byly </w:t>
      </w:r>
      <w:r w:rsidR="0064689A">
        <w:t>spuštěny</w:t>
      </w:r>
      <w:r w:rsidR="00FF4E0E">
        <w:t xml:space="preserve"> </w:t>
      </w:r>
      <w:r w:rsidR="00FF4E0E" w:rsidRPr="11AA4FDF">
        <w:rPr>
          <w:b/>
          <w:bCs/>
        </w:rPr>
        <w:t>podcasty</w:t>
      </w:r>
      <w:r w:rsidR="009E790B">
        <w:t xml:space="preserve">, které by měly </w:t>
      </w:r>
      <w:r w:rsidR="00C056BD">
        <w:t>pravidelně zhruba jednou měsíčně přinášet</w:t>
      </w:r>
      <w:r w:rsidR="009E790B">
        <w:t xml:space="preserve"> zajímavé informace</w:t>
      </w:r>
      <w:r w:rsidR="009B66B5">
        <w:t xml:space="preserve"> a </w:t>
      </w:r>
      <w:r w:rsidR="009E790B">
        <w:t>rozhovory</w:t>
      </w:r>
      <w:r w:rsidR="009B66B5">
        <w:t xml:space="preserve"> z </w:t>
      </w:r>
      <w:r w:rsidR="009E790B">
        <w:t xml:space="preserve">oblasti </w:t>
      </w:r>
      <w:r w:rsidR="00D00A89">
        <w:t>VaVaI</w:t>
      </w:r>
      <w:r w:rsidR="009B66B5">
        <w:t xml:space="preserve"> a </w:t>
      </w:r>
      <w:r w:rsidR="00D00A89">
        <w:t>RP</w:t>
      </w:r>
      <w:r w:rsidR="003E2D3E">
        <w:t>.</w:t>
      </w:r>
      <w:r w:rsidR="009E790B">
        <w:t xml:space="preserve"> </w:t>
      </w:r>
    </w:p>
    <w:p w14:paraId="31C45239" w14:textId="77777777" w:rsidR="662E54F4" w:rsidRDefault="662E54F4" w:rsidP="662E54F4">
      <w:r w:rsidRPr="662E54F4">
        <w:t>S cílem optimalizovat externí komunikaci NICER byla</w:t>
      </w:r>
      <w:r w:rsidR="009B66B5">
        <w:t xml:space="preserve"> v </w:t>
      </w:r>
      <w:r w:rsidRPr="662E54F4">
        <w:t>roce 2022 navázána spolupráce se společností ScienceCom, která provedla analýzu současné komunikace, napomohla nastavit</w:t>
      </w:r>
      <w:r w:rsidR="009B66B5">
        <w:t xml:space="preserve"> a </w:t>
      </w:r>
      <w:r w:rsidRPr="662E54F4">
        <w:t>zpřesnit komunikační cíle</w:t>
      </w:r>
      <w:r w:rsidR="009B66B5">
        <w:t xml:space="preserve"> a </w:t>
      </w:r>
      <w:r w:rsidRPr="662E54F4">
        <w:t>metody pro zlepšení viditelnosti nabízených služeb</w:t>
      </w:r>
      <w:r w:rsidR="009B66B5">
        <w:t xml:space="preserve"> a </w:t>
      </w:r>
      <w:r w:rsidRPr="662E54F4">
        <w:t>příležitostí</w:t>
      </w:r>
      <w:r w:rsidR="009B66B5">
        <w:t xml:space="preserve"> v </w:t>
      </w:r>
      <w:r w:rsidRPr="662E54F4">
        <w:t>Horizontu Evropa.</w:t>
      </w:r>
    </w:p>
    <w:p w14:paraId="53932F5F" w14:textId="77777777" w:rsidR="662E54F4" w:rsidRDefault="662E54F4" w:rsidP="662E54F4">
      <w:r w:rsidRPr="662E54F4">
        <w:t>NICER spolupracuje</w:t>
      </w:r>
      <w:r w:rsidR="009B66B5">
        <w:t xml:space="preserve"> s </w:t>
      </w:r>
      <w:r w:rsidRPr="662E54F4">
        <w:t xml:space="preserve">portálem </w:t>
      </w:r>
      <w:r w:rsidRPr="662E54F4">
        <w:rPr>
          <w:b/>
          <w:bCs/>
        </w:rPr>
        <w:t>Věda</w:t>
      </w:r>
      <w:r w:rsidR="003E2D3E">
        <w:rPr>
          <w:b/>
          <w:bCs/>
        </w:rPr>
        <w:t>v</w:t>
      </w:r>
      <w:r w:rsidRPr="662E54F4">
        <w:rPr>
          <w:b/>
          <w:bCs/>
        </w:rPr>
        <w:t>ýzkum.cz</w:t>
      </w:r>
      <w:r w:rsidR="00832A94">
        <w:rPr>
          <w:b/>
          <w:bCs/>
        </w:rPr>
        <w:t>,</w:t>
      </w:r>
      <w:r w:rsidRPr="662E54F4">
        <w:t xml:space="preserve"> na který pravidelně přispívá aktuálními informacemi. Byla navázána pravidelná spolupráce</w:t>
      </w:r>
      <w:r w:rsidR="009B66B5">
        <w:t xml:space="preserve"> s </w:t>
      </w:r>
      <w:r w:rsidRPr="662E54F4">
        <w:t xml:space="preserve">portálem </w:t>
      </w:r>
      <w:r w:rsidRPr="662E54F4">
        <w:rPr>
          <w:b/>
          <w:bCs/>
        </w:rPr>
        <w:t>DotaceEU.cz</w:t>
      </w:r>
      <w:r w:rsidR="00832A94">
        <w:rPr>
          <w:b/>
          <w:bCs/>
        </w:rPr>
        <w:t>,</w:t>
      </w:r>
      <w:r w:rsidRPr="662E54F4">
        <w:t xml:space="preserve"> který provozuje Ministerstvo pro místní rozvoj. Zde je cílem zejména propagace příležitostí, které nabízí evropský výzkum pro zapojení měst</w:t>
      </w:r>
      <w:r w:rsidR="009B66B5">
        <w:t xml:space="preserve"> a </w:t>
      </w:r>
      <w:r w:rsidRPr="662E54F4">
        <w:t>regionů.</w:t>
      </w:r>
    </w:p>
    <w:p w14:paraId="513C0198" w14:textId="77777777" w:rsidR="662E54F4" w:rsidRDefault="662E54F4" w:rsidP="662E54F4">
      <w:r w:rsidRPr="662E54F4">
        <w:rPr>
          <w:b/>
          <w:bCs/>
        </w:rPr>
        <w:t>Školicí</w:t>
      </w:r>
      <w:r w:rsidR="009B66B5">
        <w:rPr>
          <w:b/>
          <w:bCs/>
        </w:rPr>
        <w:t xml:space="preserve"> a </w:t>
      </w:r>
      <w:r w:rsidRPr="662E54F4">
        <w:rPr>
          <w:b/>
          <w:bCs/>
        </w:rPr>
        <w:t>mentoringové aktivity</w:t>
      </w:r>
      <w:r w:rsidRPr="662E54F4">
        <w:t xml:space="preserve"> pro žadatele</w:t>
      </w:r>
      <w:r w:rsidR="009B66B5">
        <w:t xml:space="preserve"> a </w:t>
      </w:r>
      <w:r w:rsidRPr="662E54F4">
        <w:t>řešitele projektů rámcového programu</w:t>
      </w:r>
      <w:r w:rsidR="00A370F5">
        <w:t>:</w:t>
      </w:r>
    </w:p>
    <w:p w14:paraId="0615F692" w14:textId="77777777" w:rsidR="662E54F4" w:rsidRDefault="662E54F4">
      <w:pPr>
        <w:pStyle w:val="Odstavecseseznamem"/>
        <w:numPr>
          <w:ilvl w:val="0"/>
          <w:numId w:val="18"/>
        </w:numPr>
        <w:rPr>
          <w:rFonts w:cs="Calibri"/>
        </w:rPr>
      </w:pPr>
      <w:r w:rsidRPr="662E54F4">
        <w:rPr>
          <w:b/>
          <w:bCs/>
        </w:rPr>
        <w:t>Modulový kurs “</w:t>
      </w:r>
      <w:hyperlink r:id="rId50" w:history="1">
        <w:r w:rsidR="281A1EB9" w:rsidRPr="11AA4FDF">
          <w:rPr>
            <w:rStyle w:val="Hypertextovodkaz"/>
            <w:b/>
            <w:bCs/>
          </w:rPr>
          <w:t>J</w:t>
        </w:r>
        <w:r w:rsidRPr="11AA4FDF">
          <w:rPr>
            <w:rStyle w:val="Hypertextovodkaz"/>
            <w:b/>
            <w:bCs/>
          </w:rPr>
          <w:t>ak na Horizont Evropa?</w:t>
        </w:r>
      </w:hyperlink>
      <w:r w:rsidRPr="662E54F4">
        <w:rPr>
          <w:b/>
          <w:bCs/>
        </w:rPr>
        <w:t>”</w:t>
      </w:r>
      <w:r w:rsidRPr="662E54F4">
        <w:t xml:space="preserve"> zahrnuje 9 modulů interakt</w:t>
      </w:r>
      <w:r w:rsidR="00FF592C">
        <w:t>ivních školení organizovaných 2</w:t>
      </w:r>
      <w:r w:rsidRPr="662E54F4">
        <w:t>x ročně</w:t>
      </w:r>
      <w:r w:rsidR="04DBB038">
        <w:t xml:space="preserve">. Zaměřuje se na </w:t>
      </w:r>
      <w:r w:rsidR="3FB127BC">
        <w:t xml:space="preserve">úspěšné </w:t>
      </w:r>
      <w:r w:rsidR="4AD9D815">
        <w:t>předkládání</w:t>
      </w:r>
      <w:r w:rsidR="009B66B5">
        <w:t xml:space="preserve"> i </w:t>
      </w:r>
      <w:r w:rsidR="3FB127BC">
        <w:t>realizaci projektů</w:t>
      </w:r>
      <w:r w:rsidR="339469C8">
        <w:t xml:space="preserve"> Horizont</w:t>
      </w:r>
      <w:r w:rsidR="00C1331A">
        <w:t>u</w:t>
      </w:r>
      <w:r w:rsidR="339469C8">
        <w:t xml:space="preserve"> Evropa</w:t>
      </w:r>
      <w:r w:rsidR="27AEE65F">
        <w:t>,</w:t>
      </w:r>
      <w:r w:rsidR="45D6DC62">
        <w:t xml:space="preserve"> </w:t>
      </w:r>
      <w:r w:rsidR="76EBEE7D">
        <w:t xml:space="preserve">na </w:t>
      </w:r>
      <w:r w:rsidR="028D7842">
        <w:t>projekty individuální</w:t>
      </w:r>
      <w:r w:rsidR="009B66B5">
        <w:t xml:space="preserve"> i </w:t>
      </w:r>
      <w:r w:rsidR="1B859E97">
        <w:t>konsorciální,</w:t>
      </w:r>
      <w:r w:rsidR="009B66B5">
        <w:t xml:space="preserve"> z </w:t>
      </w:r>
      <w:r w:rsidR="78952160">
        <w:t>pohledu partnera</w:t>
      </w:r>
      <w:r w:rsidR="009B66B5">
        <w:t xml:space="preserve"> i </w:t>
      </w:r>
      <w:r w:rsidR="78952160">
        <w:t>koordinátora</w:t>
      </w:r>
      <w:r w:rsidR="43580BED">
        <w:t>,</w:t>
      </w:r>
      <w:r w:rsidR="009B66B5">
        <w:t xml:space="preserve"> z </w:t>
      </w:r>
      <w:r w:rsidR="43580BED">
        <w:t>hlediska</w:t>
      </w:r>
      <w:r w:rsidR="28AE26F7">
        <w:t xml:space="preserve"> struktury žádosti,</w:t>
      </w:r>
      <w:r w:rsidR="43580BED">
        <w:t xml:space="preserve"> hodnocení</w:t>
      </w:r>
      <w:r w:rsidR="739CDDA4">
        <w:t xml:space="preserve">, </w:t>
      </w:r>
      <w:r w:rsidR="0206D041">
        <w:t>finančních pravidel</w:t>
      </w:r>
      <w:r w:rsidR="739CDDA4">
        <w:t>, duševního vlastnictví</w:t>
      </w:r>
      <w:r w:rsidR="009B66B5">
        <w:t xml:space="preserve"> i </w:t>
      </w:r>
      <w:r w:rsidR="0A3355C7">
        <w:t xml:space="preserve">šíření </w:t>
      </w:r>
      <w:r w:rsidR="1D37BB40">
        <w:t>výsledků výzkumu</w:t>
      </w:r>
      <w:r w:rsidR="009B66B5">
        <w:t xml:space="preserve"> a </w:t>
      </w:r>
      <w:r w:rsidR="1D37BB40">
        <w:t>komunikac</w:t>
      </w:r>
      <w:r w:rsidR="41EF2C7D">
        <w:t>e</w:t>
      </w:r>
      <w:r w:rsidRPr="662E54F4">
        <w:t>. Cílové skupiny jsou pro každý modul specifikovány. Charakteristika jednotlivých modulů je popsána</w:t>
      </w:r>
      <w:r w:rsidR="009B66B5">
        <w:t xml:space="preserve"> v </w:t>
      </w:r>
      <w:r w:rsidRPr="662E54F4">
        <w:t>nabídce služeb na portálu Horizont</w:t>
      </w:r>
      <w:r w:rsidR="00C1331A">
        <w:t>u</w:t>
      </w:r>
      <w:r w:rsidRPr="662E54F4">
        <w:t xml:space="preserve"> Evropa.</w:t>
      </w:r>
      <w:r w:rsidR="2B04A08C">
        <w:t xml:space="preserve"> Moduly přispívají</w:t>
      </w:r>
      <w:r w:rsidR="009B66B5">
        <w:t xml:space="preserve"> k </w:t>
      </w:r>
      <w:r w:rsidR="2B04A08C">
        <w:t xml:space="preserve">rozvoji </w:t>
      </w:r>
      <w:r w:rsidR="7EA1C32A">
        <w:t>dovedností</w:t>
      </w:r>
      <w:r w:rsidR="009B66B5">
        <w:t xml:space="preserve"> a </w:t>
      </w:r>
      <w:r w:rsidR="0AED2AFA">
        <w:t xml:space="preserve">znalostí projektových manažerů ve </w:t>
      </w:r>
      <w:r w:rsidR="00C1331A">
        <w:t>VaVaI</w:t>
      </w:r>
      <w:r w:rsidR="0AED2AFA">
        <w:t>, případně výzkumníků samotných.</w:t>
      </w:r>
    </w:p>
    <w:p w14:paraId="13A0E40F" w14:textId="77777777" w:rsidR="662E54F4" w:rsidRDefault="662E54F4">
      <w:pPr>
        <w:pStyle w:val="Odstavecseseznamem"/>
        <w:numPr>
          <w:ilvl w:val="0"/>
          <w:numId w:val="18"/>
        </w:numPr>
        <w:rPr>
          <w:rFonts w:cs="Calibri"/>
        </w:rPr>
      </w:pPr>
      <w:r w:rsidRPr="662E54F4">
        <w:rPr>
          <w:b/>
          <w:bCs/>
        </w:rPr>
        <w:t>Systém podpory žadatelů</w:t>
      </w:r>
      <w:r w:rsidR="009B66B5">
        <w:rPr>
          <w:b/>
          <w:bCs/>
        </w:rPr>
        <w:t xml:space="preserve"> o </w:t>
      </w:r>
      <w:r w:rsidRPr="662E54F4">
        <w:rPr>
          <w:b/>
          <w:bCs/>
        </w:rPr>
        <w:t>granty ERC</w:t>
      </w:r>
      <w:r w:rsidRPr="662E54F4">
        <w:t xml:space="preserve"> vybudovaný ve spolupráci</w:t>
      </w:r>
      <w:r w:rsidR="009B66B5">
        <w:t xml:space="preserve"> s </w:t>
      </w:r>
      <w:r w:rsidRPr="662E54F4">
        <w:t xml:space="preserve">prof. </w:t>
      </w:r>
      <w:r w:rsidR="005539FA">
        <w:t>Zdeňkem</w:t>
      </w:r>
      <w:r w:rsidRPr="662E54F4">
        <w:t xml:space="preserve"> Strakošem</w:t>
      </w:r>
      <w:r w:rsidR="005539FA">
        <w:t xml:space="preserve"> (Univerzita Karlova)</w:t>
      </w:r>
      <w:r w:rsidRPr="662E54F4">
        <w:t>. Expertní skupina na podporu žadatelů ve výzvách ERC byla ustavena</w:t>
      </w:r>
      <w:r w:rsidR="009B66B5">
        <w:t xml:space="preserve"> v </w:t>
      </w:r>
      <w:r w:rsidRPr="662E54F4">
        <w:t>lednu 2021 na základě Společné deklarace Univerzity Karlovy</w:t>
      </w:r>
      <w:r w:rsidR="009B66B5">
        <w:t xml:space="preserve"> a </w:t>
      </w:r>
      <w:r w:rsidRPr="662E54F4">
        <w:t xml:space="preserve">Akademie věd </w:t>
      </w:r>
      <w:r w:rsidR="00C1331A">
        <w:t>ČR</w:t>
      </w:r>
      <w:r w:rsidRPr="662E54F4">
        <w:t>. Tvoří ji koordinátor</w:t>
      </w:r>
      <w:r w:rsidR="009B66B5">
        <w:t xml:space="preserve"> a </w:t>
      </w:r>
      <w:r w:rsidRPr="662E54F4">
        <w:t xml:space="preserve">10 členů ze 3 vědních oblastí </w:t>
      </w:r>
      <w:r w:rsidR="00C1331A">
        <w:t>po</w:t>
      </w:r>
      <w:r w:rsidRPr="662E54F4">
        <w:t>dle členění ERC. Jejím úkolem je ve spolupráci</w:t>
      </w:r>
      <w:r w:rsidR="009B66B5">
        <w:t xml:space="preserve"> s </w:t>
      </w:r>
      <w:r w:rsidRPr="662E54F4">
        <w:t>Technologickým centrem AV ČR systematicky podporovat žadatele</w:t>
      </w:r>
      <w:r w:rsidR="009B66B5">
        <w:t xml:space="preserve"> o </w:t>
      </w:r>
      <w:r w:rsidRPr="662E54F4">
        <w:t>granty ERC na národní úrovni.</w:t>
      </w:r>
    </w:p>
    <w:p w14:paraId="1E59BC96" w14:textId="77777777" w:rsidR="662E54F4" w:rsidRDefault="662E54F4">
      <w:pPr>
        <w:pStyle w:val="Odstavecseseznamem"/>
        <w:numPr>
          <w:ilvl w:val="0"/>
          <w:numId w:val="18"/>
        </w:numPr>
      </w:pPr>
      <w:r w:rsidRPr="662E54F4">
        <w:lastRenderedPageBreak/>
        <w:t xml:space="preserve">Systematická </w:t>
      </w:r>
      <w:hyperlink r:id="rId51" w:history="1">
        <w:r w:rsidRPr="00EB0658">
          <w:rPr>
            <w:rStyle w:val="Hypertextovodkaz"/>
            <w:b/>
            <w:bCs/>
          </w:rPr>
          <w:t>podpora</w:t>
        </w:r>
        <w:r w:rsidRPr="00EB0658">
          <w:rPr>
            <w:rStyle w:val="Hypertextovodkaz"/>
          </w:rPr>
          <w:t xml:space="preserve"> </w:t>
        </w:r>
        <w:r w:rsidRPr="00EB0658">
          <w:rPr>
            <w:rStyle w:val="Hypertextovodkaz"/>
            <w:b/>
            <w:bCs/>
          </w:rPr>
          <w:t>koordinátorů konsorciálních projektů</w:t>
        </w:r>
      </w:hyperlink>
      <w:r w:rsidRPr="662E54F4">
        <w:rPr>
          <w:b/>
          <w:bCs/>
        </w:rPr>
        <w:t>,</w:t>
      </w:r>
      <w:r w:rsidRPr="662E54F4">
        <w:t xml:space="preserve"> včetně možnosti získání zpětné vazby</w:t>
      </w:r>
      <w:r w:rsidR="009B66B5">
        <w:t xml:space="preserve"> k </w:t>
      </w:r>
      <w:r w:rsidRPr="662E54F4">
        <w:t>návrhu projektu od zkušeného hodnotitele, je nabízena</w:t>
      </w:r>
      <w:r w:rsidR="009B66B5">
        <w:t xml:space="preserve"> v </w:t>
      </w:r>
      <w:r w:rsidRPr="662E54F4">
        <w:t>rámci služeb NICER. Nabídka “hodnocení nanečisto” je</w:t>
      </w:r>
      <w:r w:rsidR="0068073D">
        <w:t>/bude</w:t>
      </w:r>
      <w:r w:rsidRPr="662E54F4">
        <w:t xml:space="preserve"> poskytována rovněž prostřednictvím mezinárodních projektů sítí </w:t>
      </w:r>
      <w:r w:rsidR="00C1331A">
        <w:t>NCP</w:t>
      </w:r>
      <w:r w:rsidRPr="662E54F4">
        <w:t xml:space="preserve"> pro </w:t>
      </w:r>
      <w:r w:rsidR="00C032C8">
        <w:rPr>
          <w:rFonts w:cs="Calibri"/>
        </w:rPr>
        <w:t>RP Horizont Evropa</w:t>
      </w:r>
      <w:r w:rsidR="003043E8">
        <w:t>.</w:t>
      </w:r>
    </w:p>
    <w:p w14:paraId="73A4959D" w14:textId="77777777" w:rsidR="662E54F4" w:rsidRDefault="662E54F4">
      <w:pPr>
        <w:pStyle w:val="Odstavecseseznamem"/>
        <w:numPr>
          <w:ilvl w:val="0"/>
          <w:numId w:val="18"/>
        </w:numPr>
      </w:pPr>
      <w:r w:rsidRPr="662E54F4">
        <w:rPr>
          <w:b/>
          <w:bCs/>
        </w:rPr>
        <w:t>Školení</w:t>
      </w:r>
      <w:r w:rsidR="009B66B5">
        <w:rPr>
          <w:b/>
          <w:bCs/>
        </w:rPr>
        <w:t xml:space="preserve"> a </w:t>
      </w:r>
      <w:r w:rsidRPr="662E54F4">
        <w:rPr>
          <w:b/>
          <w:bCs/>
        </w:rPr>
        <w:t>semináře na poptávku</w:t>
      </w:r>
      <w:r w:rsidRPr="662E54F4">
        <w:t xml:space="preserve"> </w:t>
      </w:r>
      <w:r w:rsidR="00445A30">
        <w:t>výzkumných organizací</w:t>
      </w:r>
      <w:r w:rsidR="00A370F5">
        <w:t>.</w:t>
      </w:r>
      <w:r w:rsidRPr="662E54F4">
        <w:t xml:space="preserve"> Program je vytvořen ve spolupráci</w:t>
      </w:r>
      <w:r w:rsidR="009B66B5">
        <w:t xml:space="preserve"> s </w:t>
      </w:r>
      <w:r w:rsidRPr="662E54F4">
        <w:t>poptávající institucí podle jejích potřeb</w:t>
      </w:r>
      <w:r w:rsidR="009B66B5">
        <w:t xml:space="preserve"> a </w:t>
      </w:r>
      <w:r w:rsidRPr="662E54F4">
        <w:t>zájmu</w:t>
      </w:r>
      <w:r w:rsidR="009B66B5">
        <w:t xml:space="preserve"> o </w:t>
      </w:r>
      <w:r w:rsidRPr="662E54F4">
        <w:t>konkrétní oblasti</w:t>
      </w:r>
      <w:r w:rsidR="009B66B5">
        <w:t xml:space="preserve"> a </w:t>
      </w:r>
      <w:r w:rsidRPr="662E54F4">
        <w:t xml:space="preserve">aspekty </w:t>
      </w:r>
      <w:r w:rsidR="00C1331A">
        <w:t>RP</w:t>
      </w:r>
      <w:r w:rsidR="00A370F5">
        <w:t>.</w:t>
      </w:r>
    </w:p>
    <w:p w14:paraId="0C0CA10C" w14:textId="77777777" w:rsidR="662E54F4" w:rsidRDefault="662E54F4">
      <w:pPr>
        <w:pStyle w:val="Odstavecseseznamem"/>
        <w:numPr>
          <w:ilvl w:val="0"/>
          <w:numId w:val="18"/>
        </w:numPr>
      </w:pPr>
      <w:r w:rsidRPr="662E54F4">
        <w:rPr>
          <w:b/>
          <w:bCs/>
        </w:rPr>
        <w:t>Stáže pro začínající projektové manažery</w:t>
      </w:r>
      <w:r w:rsidR="009B66B5">
        <w:rPr>
          <w:b/>
          <w:bCs/>
        </w:rPr>
        <w:t xml:space="preserve"> a </w:t>
      </w:r>
      <w:r w:rsidRPr="662E54F4">
        <w:rPr>
          <w:b/>
          <w:bCs/>
        </w:rPr>
        <w:t>manažerky</w:t>
      </w:r>
      <w:r w:rsidRPr="662E54F4">
        <w:t xml:space="preserve"> organizací VaVaI</w:t>
      </w:r>
      <w:r w:rsidR="00C853D7">
        <w:t xml:space="preserve"> v</w:t>
      </w:r>
      <w:r w:rsidR="00C853D7" w:rsidRPr="00C853D7">
        <w:rPr>
          <w:rFonts w:asciiTheme="minorHAnsi" w:eastAsia="Cambria" w:hAnsiTheme="minorHAnsi" w:cstheme="minorHAnsi"/>
          <w:bCs/>
          <w:color w:val="000000" w:themeColor="text1"/>
        </w:rPr>
        <w:t xml:space="preserve"> </w:t>
      </w:r>
      <w:r w:rsidR="00C853D7" w:rsidRPr="002D7AEF">
        <w:rPr>
          <w:rFonts w:asciiTheme="minorHAnsi" w:eastAsia="Cambria" w:hAnsiTheme="minorHAnsi" w:cstheme="minorHAnsi"/>
          <w:bCs/>
          <w:color w:val="000000" w:themeColor="text1"/>
        </w:rPr>
        <w:t>Technologické</w:t>
      </w:r>
      <w:r w:rsidR="00C853D7">
        <w:rPr>
          <w:rFonts w:asciiTheme="minorHAnsi" w:eastAsia="Cambria" w:hAnsiTheme="minorHAnsi" w:cstheme="minorHAnsi"/>
          <w:bCs/>
          <w:color w:val="000000" w:themeColor="text1"/>
        </w:rPr>
        <w:t>m centru</w:t>
      </w:r>
      <w:r w:rsidRPr="662E54F4">
        <w:t xml:space="preserve"> AV ČR</w:t>
      </w:r>
      <w:r w:rsidR="00A370F5">
        <w:t>.</w:t>
      </w:r>
    </w:p>
    <w:p w14:paraId="0017D824" w14:textId="77777777" w:rsidR="662E54F4" w:rsidRDefault="662E54F4" w:rsidP="662E54F4">
      <w:r w:rsidRPr="662E54F4">
        <w:t>Národní kontaktní body se prostřednictvím mezinárodních projektů NCP sítí financovaných</w:t>
      </w:r>
      <w:r w:rsidR="009B66B5">
        <w:t xml:space="preserve"> z </w:t>
      </w:r>
      <w:r w:rsidR="00C1331A">
        <w:t>RP</w:t>
      </w:r>
      <w:r w:rsidRPr="662E54F4">
        <w:t xml:space="preserve"> školí</w:t>
      </w:r>
      <w:r w:rsidR="009B66B5">
        <w:t xml:space="preserve"> a </w:t>
      </w:r>
      <w:r w:rsidRPr="662E54F4">
        <w:t>vzdělávají</w:t>
      </w:r>
      <w:r w:rsidR="009B66B5">
        <w:t xml:space="preserve"> v </w:t>
      </w:r>
      <w:r w:rsidRPr="662E54F4">
        <w:t>oblastech své odborné kompetence</w:t>
      </w:r>
      <w:r w:rsidR="009B66B5">
        <w:t xml:space="preserve"> a v </w:t>
      </w:r>
      <w:r w:rsidRPr="662E54F4">
        <w:t>řadě případů působí jako školitelé nebo mentoři pro zahraniční NCP kolegy.</w:t>
      </w:r>
    </w:p>
    <w:p w14:paraId="7375C047" w14:textId="77777777" w:rsidR="00D60608" w:rsidRPr="001E2F89" w:rsidRDefault="00D60608" w:rsidP="662E54F4">
      <w:r w:rsidRPr="008B2736">
        <w:rPr>
          <w:b/>
          <w:bCs/>
        </w:rPr>
        <w:t>Monitorovací</w:t>
      </w:r>
      <w:r w:rsidR="009B66B5">
        <w:rPr>
          <w:b/>
          <w:bCs/>
        </w:rPr>
        <w:t xml:space="preserve"> a </w:t>
      </w:r>
      <w:r w:rsidRPr="008B2736">
        <w:rPr>
          <w:b/>
          <w:bCs/>
        </w:rPr>
        <w:t>analytické aktivity</w:t>
      </w:r>
      <w:r>
        <w:rPr>
          <w:b/>
          <w:bCs/>
        </w:rPr>
        <w:t xml:space="preserve"> </w:t>
      </w:r>
      <w:r w:rsidR="00A26122" w:rsidRPr="008B2736">
        <w:t>jsou nezbytným předpokladem</w:t>
      </w:r>
      <w:r w:rsidR="00A26122">
        <w:t xml:space="preserve"> pro hodnocení </w:t>
      </w:r>
      <w:r w:rsidR="000B22D9">
        <w:t>české účasti</w:t>
      </w:r>
      <w:r w:rsidR="009B66B5">
        <w:t xml:space="preserve"> v </w:t>
      </w:r>
      <w:r w:rsidR="00C1331A">
        <w:t>RP</w:t>
      </w:r>
      <w:r w:rsidR="000B22D9">
        <w:t>. Tyto činnosti jsou systematicky rozvíje</w:t>
      </w:r>
      <w:r w:rsidR="0053192D">
        <w:t>ny</w:t>
      </w:r>
      <w:r w:rsidR="009B66B5">
        <w:t xml:space="preserve"> a </w:t>
      </w:r>
      <w:r w:rsidR="00C07B0B">
        <w:t>výsledky publikovány prostřednictvím každoročních zpráv</w:t>
      </w:r>
      <w:r w:rsidR="009B66B5">
        <w:t xml:space="preserve"> o </w:t>
      </w:r>
      <w:r w:rsidR="00C07B0B">
        <w:t>účasti</w:t>
      </w:r>
      <w:r w:rsidR="002A4C0C">
        <w:t xml:space="preserve"> ČR</w:t>
      </w:r>
      <w:r w:rsidR="009B66B5">
        <w:t xml:space="preserve"> v </w:t>
      </w:r>
      <w:r w:rsidR="00C1331A">
        <w:t>RP</w:t>
      </w:r>
      <w:r w:rsidR="009B66B5">
        <w:t xml:space="preserve"> v </w:t>
      </w:r>
      <w:r w:rsidR="00457E6B">
        <w:t>mezinárodním</w:t>
      </w:r>
      <w:r w:rsidR="00AB4DDE">
        <w:t xml:space="preserve"> srovnání</w:t>
      </w:r>
      <w:r w:rsidR="009B66B5">
        <w:t xml:space="preserve"> a </w:t>
      </w:r>
      <w:r w:rsidR="002A4C0C">
        <w:t>řady specializovaných analýz dostupných na národním portálu Horizont</w:t>
      </w:r>
      <w:r w:rsidR="00C1331A">
        <w:t>u</w:t>
      </w:r>
      <w:r w:rsidR="002A4C0C">
        <w:t xml:space="preserve"> Evropa</w:t>
      </w:r>
      <w:r w:rsidR="009B66B5">
        <w:t xml:space="preserve"> a v </w:t>
      </w:r>
      <w:r w:rsidR="00457E6B">
        <w:t>dalších informačních zdrojích.</w:t>
      </w:r>
    </w:p>
    <w:p w14:paraId="075E4F78" w14:textId="77777777" w:rsidR="00652AA2" w:rsidRDefault="00652AA2" w:rsidP="662E54F4"/>
    <w:p w14:paraId="481B62D2" w14:textId="77777777" w:rsidR="00183718" w:rsidRPr="00933AB7" w:rsidRDefault="00183718" w:rsidP="00183718">
      <w:pPr>
        <w:spacing w:before="0" w:after="160" w:line="259" w:lineRule="auto"/>
        <w:rPr>
          <w:rFonts w:asciiTheme="minorHAnsi" w:hAnsiTheme="minorHAnsi" w:cstheme="minorHAnsi"/>
        </w:rPr>
      </w:pPr>
      <w:r w:rsidRPr="00933AB7">
        <w:rPr>
          <w:rFonts w:asciiTheme="minorHAnsi" w:hAnsiTheme="minorHAnsi" w:cstheme="minorHAnsi"/>
        </w:rPr>
        <w:t xml:space="preserve">Na mezinárodní scéně je projekt CZERA </w:t>
      </w:r>
      <w:r w:rsidR="00785F4F">
        <w:rPr>
          <w:rFonts w:asciiTheme="minorHAnsi" w:hAnsiTheme="minorHAnsi" w:cstheme="minorHAnsi"/>
        </w:rPr>
        <w:t xml:space="preserve">synergicky </w:t>
      </w:r>
      <w:r w:rsidRPr="00933AB7">
        <w:rPr>
          <w:rFonts w:asciiTheme="minorHAnsi" w:hAnsiTheme="minorHAnsi" w:cstheme="minorHAnsi"/>
        </w:rPr>
        <w:t>doplněn dalším projektem sdílených čin</w:t>
      </w:r>
      <w:r w:rsidR="00E43CA1">
        <w:rPr>
          <w:rFonts w:asciiTheme="minorHAnsi" w:hAnsiTheme="minorHAnsi" w:cstheme="minorHAnsi"/>
        </w:rPr>
        <w:t>ností schváleným na období 2021</w:t>
      </w:r>
      <w:r w:rsidR="00E43CA1">
        <w:rPr>
          <w:rFonts w:cs="Calibri"/>
        </w:rPr>
        <w:t>–</w:t>
      </w:r>
      <w:r w:rsidRPr="00933AB7">
        <w:rPr>
          <w:rFonts w:asciiTheme="minorHAnsi" w:hAnsiTheme="minorHAnsi" w:cstheme="minorHAnsi"/>
        </w:rPr>
        <w:t xml:space="preserve">2027. Tímto projektem je </w:t>
      </w:r>
      <w:r w:rsidRPr="008B2736">
        <w:rPr>
          <w:rFonts w:asciiTheme="minorHAnsi" w:hAnsiTheme="minorHAnsi" w:cstheme="minorHAnsi"/>
          <w:b/>
          <w:bCs/>
        </w:rPr>
        <w:t>Česká kancelář pro vzdělávání</w:t>
      </w:r>
      <w:r w:rsidR="009B66B5">
        <w:rPr>
          <w:rFonts w:asciiTheme="minorHAnsi" w:hAnsiTheme="minorHAnsi" w:cstheme="minorHAnsi"/>
          <w:b/>
          <w:bCs/>
        </w:rPr>
        <w:t xml:space="preserve"> a </w:t>
      </w:r>
      <w:r w:rsidRPr="008B2736">
        <w:rPr>
          <w:rFonts w:asciiTheme="minorHAnsi" w:hAnsiTheme="minorHAnsi" w:cstheme="minorHAnsi"/>
          <w:b/>
          <w:bCs/>
        </w:rPr>
        <w:t>výzkum</w:t>
      </w:r>
      <w:r w:rsidR="009B66B5">
        <w:rPr>
          <w:rFonts w:asciiTheme="minorHAnsi" w:hAnsiTheme="minorHAnsi" w:cstheme="minorHAnsi"/>
          <w:b/>
          <w:bCs/>
        </w:rPr>
        <w:t xml:space="preserve"> v </w:t>
      </w:r>
      <w:r w:rsidRPr="008B2736">
        <w:rPr>
          <w:rFonts w:asciiTheme="minorHAnsi" w:hAnsiTheme="minorHAnsi" w:cstheme="minorHAnsi"/>
          <w:b/>
          <w:bCs/>
        </w:rPr>
        <w:t>Bruselu (CZELO)</w:t>
      </w:r>
      <w:r w:rsidR="009B66B5">
        <w:rPr>
          <w:rFonts w:asciiTheme="minorHAnsi" w:hAnsiTheme="minorHAnsi" w:cstheme="minorHAnsi"/>
        </w:rPr>
        <w:t xml:space="preserve"> a </w:t>
      </w:r>
      <w:r w:rsidRPr="00933AB7">
        <w:rPr>
          <w:rFonts w:asciiTheme="minorHAnsi" w:hAnsiTheme="minorHAnsi" w:cstheme="minorHAnsi"/>
        </w:rPr>
        <w:t>hlavním cílem je pomoci českým institucím</w:t>
      </w:r>
      <w:r w:rsidR="009B66B5">
        <w:rPr>
          <w:rFonts w:asciiTheme="minorHAnsi" w:hAnsiTheme="minorHAnsi" w:cstheme="minorHAnsi"/>
        </w:rPr>
        <w:t xml:space="preserve"> k </w:t>
      </w:r>
      <w:r w:rsidRPr="00933AB7">
        <w:rPr>
          <w:rFonts w:asciiTheme="minorHAnsi" w:hAnsiTheme="minorHAnsi" w:cstheme="minorHAnsi"/>
        </w:rPr>
        <w:t>většímu povědomí</w:t>
      </w:r>
      <w:r w:rsidR="009B66B5">
        <w:rPr>
          <w:rFonts w:asciiTheme="minorHAnsi" w:hAnsiTheme="minorHAnsi" w:cstheme="minorHAnsi"/>
        </w:rPr>
        <w:t xml:space="preserve"> o </w:t>
      </w:r>
      <w:r w:rsidRPr="00933AB7">
        <w:rPr>
          <w:rFonts w:asciiTheme="minorHAnsi" w:hAnsiTheme="minorHAnsi" w:cstheme="minorHAnsi"/>
        </w:rPr>
        <w:t>mezinárodních možnostech. Kancelář si klade za cíl:</w:t>
      </w:r>
    </w:p>
    <w:p w14:paraId="5DAADCEB" w14:textId="77777777" w:rsidR="00183718" w:rsidRPr="00933AB7" w:rsidRDefault="00183718" w:rsidP="00E43CA1">
      <w:pPr>
        <w:numPr>
          <w:ilvl w:val="0"/>
          <w:numId w:val="25"/>
        </w:numPr>
        <w:spacing w:before="0" w:after="160" w:line="259" w:lineRule="auto"/>
        <w:contextualSpacing/>
        <w:rPr>
          <w:rFonts w:asciiTheme="minorHAnsi" w:hAnsiTheme="minorHAnsi" w:cstheme="minorHAnsi"/>
        </w:rPr>
      </w:pPr>
      <w:r w:rsidRPr="00933AB7">
        <w:rPr>
          <w:rFonts w:asciiTheme="minorHAnsi" w:hAnsiTheme="minorHAnsi" w:cstheme="minorHAnsi"/>
        </w:rPr>
        <w:t>Propagovat možnosti financování na komunitá</w:t>
      </w:r>
      <w:r w:rsidR="003043E8">
        <w:rPr>
          <w:rFonts w:asciiTheme="minorHAnsi" w:hAnsiTheme="minorHAnsi" w:cstheme="minorHAnsi"/>
        </w:rPr>
        <w:t xml:space="preserve">rní úrovni – zaměření nejen na </w:t>
      </w:r>
      <w:r w:rsidR="00C032C8">
        <w:rPr>
          <w:rFonts w:cs="Calibri"/>
        </w:rPr>
        <w:t>RP Horizont Evropa</w:t>
      </w:r>
      <w:r w:rsidRPr="00933AB7">
        <w:rPr>
          <w:rFonts w:asciiTheme="minorHAnsi" w:hAnsiTheme="minorHAnsi" w:cstheme="minorHAnsi"/>
        </w:rPr>
        <w:t>, byť ten je finančně nejzásadnější, ale</w:t>
      </w:r>
      <w:r w:rsidR="009B66B5">
        <w:rPr>
          <w:rFonts w:asciiTheme="minorHAnsi" w:hAnsiTheme="minorHAnsi" w:cstheme="minorHAnsi"/>
        </w:rPr>
        <w:t xml:space="preserve"> i </w:t>
      </w:r>
      <w:r w:rsidRPr="00933AB7">
        <w:rPr>
          <w:rFonts w:asciiTheme="minorHAnsi" w:hAnsiTheme="minorHAnsi" w:cstheme="minorHAnsi"/>
        </w:rPr>
        <w:t>na další komunitární programy, např. LIFE, DigitalEU, EU4Health, EURATOM. Cílem je sdílení informace skrze webové stránky, sociální sítě, konzultace</w:t>
      </w:r>
      <w:r w:rsidR="009B66B5">
        <w:rPr>
          <w:rFonts w:asciiTheme="minorHAnsi" w:hAnsiTheme="minorHAnsi" w:cstheme="minorHAnsi"/>
        </w:rPr>
        <w:t xml:space="preserve"> a </w:t>
      </w:r>
      <w:r w:rsidRPr="00933AB7">
        <w:rPr>
          <w:rFonts w:asciiTheme="minorHAnsi" w:hAnsiTheme="minorHAnsi" w:cstheme="minorHAnsi"/>
        </w:rPr>
        <w:t>ad hoc webináře</w:t>
      </w:r>
      <w:r w:rsidR="009B66B5">
        <w:rPr>
          <w:rFonts w:asciiTheme="minorHAnsi" w:hAnsiTheme="minorHAnsi" w:cstheme="minorHAnsi"/>
        </w:rPr>
        <w:t xml:space="preserve"> a </w:t>
      </w:r>
      <w:r w:rsidRPr="00933AB7">
        <w:rPr>
          <w:rFonts w:asciiTheme="minorHAnsi" w:hAnsiTheme="minorHAnsi" w:cstheme="minorHAnsi"/>
        </w:rPr>
        <w:t>semináře</w:t>
      </w:r>
      <w:r w:rsidR="009B66B5">
        <w:rPr>
          <w:rFonts w:asciiTheme="minorHAnsi" w:hAnsiTheme="minorHAnsi" w:cstheme="minorHAnsi"/>
        </w:rPr>
        <w:t xml:space="preserve"> v </w:t>
      </w:r>
      <w:r w:rsidRPr="00933AB7">
        <w:rPr>
          <w:rFonts w:asciiTheme="minorHAnsi" w:hAnsiTheme="minorHAnsi" w:cstheme="minorHAnsi"/>
        </w:rPr>
        <w:t>prezenční</w:t>
      </w:r>
      <w:r w:rsidR="009B66B5">
        <w:rPr>
          <w:rFonts w:asciiTheme="minorHAnsi" w:hAnsiTheme="minorHAnsi" w:cstheme="minorHAnsi"/>
        </w:rPr>
        <w:t xml:space="preserve"> i </w:t>
      </w:r>
      <w:r w:rsidRPr="00933AB7">
        <w:rPr>
          <w:rFonts w:asciiTheme="minorHAnsi" w:hAnsiTheme="minorHAnsi" w:cstheme="minorHAnsi"/>
        </w:rPr>
        <w:t>on-line podobě. Současně kancelář CZELO vydává newsletter, ve kterém jsou sdíleny všechny zásadní informace</w:t>
      </w:r>
      <w:r w:rsidR="009B66B5">
        <w:rPr>
          <w:rFonts w:asciiTheme="minorHAnsi" w:hAnsiTheme="minorHAnsi" w:cstheme="minorHAnsi"/>
        </w:rPr>
        <w:t xml:space="preserve"> z </w:t>
      </w:r>
      <w:r w:rsidRPr="00933AB7">
        <w:rPr>
          <w:rFonts w:asciiTheme="minorHAnsi" w:hAnsiTheme="minorHAnsi" w:cstheme="minorHAnsi"/>
        </w:rPr>
        <w:t>výzkumné politiky na evropské</w:t>
      </w:r>
      <w:r w:rsidR="009B66B5">
        <w:rPr>
          <w:rFonts w:asciiTheme="minorHAnsi" w:hAnsiTheme="minorHAnsi" w:cstheme="minorHAnsi"/>
        </w:rPr>
        <w:t xml:space="preserve"> a </w:t>
      </w:r>
      <w:r w:rsidRPr="00933AB7">
        <w:rPr>
          <w:rFonts w:asciiTheme="minorHAnsi" w:hAnsiTheme="minorHAnsi" w:cstheme="minorHAnsi"/>
        </w:rPr>
        <w:t>unijní úrovni.</w:t>
      </w:r>
    </w:p>
    <w:p w14:paraId="7EE9F9E9" w14:textId="77777777" w:rsidR="00183718" w:rsidRPr="00933AB7" w:rsidRDefault="00183718" w:rsidP="00E43CA1">
      <w:pPr>
        <w:numPr>
          <w:ilvl w:val="0"/>
          <w:numId w:val="25"/>
        </w:numPr>
        <w:spacing w:before="0" w:after="160" w:line="259" w:lineRule="auto"/>
        <w:contextualSpacing/>
        <w:rPr>
          <w:rFonts w:asciiTheme="minorHAnsi" w:hAnsiTheme="minorHAnsi" w:cstheme="minorHAnsi"/>
        </w:rPr>
      </w:pPr>
      <w:r w:rsidRPr="00933AB7">
        <w:rPr>
          <w:rFonts w:asciiTheme="minorHAnsi" w:hAnsiTheme="minorHAnsi" w:cstheme="minorHAnsi"/>
        </w:rPr>
        <w:t>Propagace možností zapojení českých aktérů do asociací</w:t>
      </w:r>
      <w:r w:rsidR="009B66B5">
        <w:rPr>
          <w:rFonts w:asciiTheme="minorHAnsi" w:hAnsiTheme="minorHAnsi" w:cstheme="minorHAnsi"/>
        </w:rPr>
        <w:t xml:space="preserve"> a </w:t>
      </w:r>
      <w:r w:rsidRPr="00933AB7">
        <w:rPr>
          <w:rFonts w:asciiTheme="minorHAnsi" w:hAnsiTheme="minorHAnsi" w:cstheme="minorHAnsi"/>
        </w:rPr>
        <w:t>společností</w:t>
      </w:r>
      <w:r w:rsidR="009B66B5">
        <w:rPr>
          <w:rFonts w:asciiTheme="minorHAnsi" w:hAnsiTheme="minorHAnsi" w:cstheme="minorHAnsi"/>
        </w:rPr>
        <w:t xml:space="preserve"> v </w:t>
      </w:r>
      <w:r w:rsidRPr="00933AB7">
        <w:rPr>
          <w:rFonts w:asciiTheme="minorHAnsi" w:hAnsiTheme="minorHAnsi" w:cstheme="minorHAnsi"/>
        </w:rPr>
        <w:t>mezinárodním prostředí.</w:t>
      </w:r>
    </w:p>
    <w:p w14:paraId="712557FA" w14:textId="77777777" w:rsidR="00183718" w:rsidRPr="00933AB7" w:rsidRDefault="00183718" w:rsidP="00E43CA1">
      <w:pPr>
        <w:numPr>
          <w:ilvl w:val="0"/>
          <w:numId w:val="25"/>
        </w:numPr>
        <w:spacing w:before="0" w:after="160" w:line="259" w:lineRule="auto"/>
        <w:contextualSpacing/>
        <w:rPr>
          <w:rFonts w:asciiTheme="minorHAnsi" w:hAnsiTheme="minorHAnsi" w:cstheme="minorHAnsi"/>
        </w:rPr>
      </w:pPr>
      <w:r w:rsidRPr="00933AB7">
        <w:rPr>
          <w:rFonts w:asciiTheme="minorHAnsi" w:hAnsiTheme="minorHAnsi" w:cstheme="minorHAnsi"/>
        </w:rPr>
        <w:t>Být podpůrným</w:t>
      </w:r>
      <w:r w:rsidR="009B66B5">
        <w:rPr>
          <w:rFonts w:asciiTheme="minorHAnsi" w:hAnsiTheme="minorHAnsi" w:cstheme="minorHAnsi"/>
        </w:rPr>
        <w:t xml:space="preserve"> a </w:t>
      </w:r>
      <w:r w:rsidRPr="00933AB7">
        <w:rPr>
          <w:rFonts w:asciiTheme="minorHAnsi" w:hAnsiTheme="minorHAnsi" w:cstheme="minorHAnsi"/>
        </w:rPr>
        <w:t>záchytným bodem pro české výzkumné instituce přímo</w:t>
      </w:r>
      <w:r w:rsidR="009B66B5">
        <w:rPr>
          <w:rFonts w:asciiTheme="minorHAnsi" w:hAnsiTheme="minorHAnsi" w:cstheme="minorHAnsi"/>
        </w:rPr>
        <w:t xml:space="preserve"> v </w:t>
      </w:r>
      <w:r w:rsidRPr="00933AB7">
        <w:rPr>
          <w:rFonts w:asciiTheme="minorHAnsi" w:hAnsiTheme="minorHAnsi" w:cstheme="minorHAnsi"/>
        </w:rPr>
        <w:t>Bruselu. Tímto krokem je usnadněno konání konkrétních akcí prezenčně</w:t>
      </w:r>
      <w:r w:rsidR="009B66B5">
        <w:rPr>
          <w:rFonts w:asciiTheme="minorHAnsi" w:hAnsiTheme="minorHAnsi" w:cstheme="minorHAnsi"/>
        </w:rPr>
        <w:t xml:space="preserve"> v </w:t>
      </w:r>
      <w:r w:rsidRPr="00933AB7">
        <w:rPr>
          <w:rFonts w:asciiTheme="minorHAnsi" w:hAnsiTheme="minorHAnsi" w:cstheme="minorHAnsi"/>
        </w:rPr>
        <w:t>Bruselu</w:t>
      </w:r>
      <w:r w:rsidR="009B66B5">
        <w:rPr>
          <w:rFonts w:asciiTheme="minorHAnsi" w:hAnsiTheme="minorHAnsi" w:cstheme="minorHAnsi"/>
        </w:rPr>
        <w:t xml:space="preserve"> a </w:t>
      </w:r>
      <w:r w:rsidRPr="00933AB7">
        <w:rPr>
          <w:rFonts w:asciiTheme="minorHAnsi" w:hAnsiTheme="minorHAnsi" w:cstheme="minorHAnsi"/>
        </w:rPr>
        <w:t>přiblížit se tak</w:t>
      </w:r>
      <w:r w:rsidR="009B66B5">
        <w:rPr>
          <w:rFonts w:asciiTheme="minorHAnsi" w:hAnsiTheme="minorHAnsi" w:cstheme="minorHAnsi"/>
        </w:rPr>
        <w:t xml:space="preserve"> k </w:t>
      </w:r>
      <w:r w:rsidRPr="00933AB7">
        <w:rPr>
          <w:rFonts w:asciiTheme="minorHAnsi" w:hAnsiTheme="minorHAnsi" w:cstheme="minorHAnsi"/>
        </w:rPr>
        <w:t>možnostem vytváření partnerství, kulturních akcí</w:t>
      </w:r>
      <w:r w:rsidR="009B66B5">
        <w:rPr>
          <w:rFonts w:asciiTheme="minorHAnsi" w:hAnsiTheme="minorHAnsi" w:cstheme="minorHAnsi"/>
        </w:rPr>
        <w:t xml:space="preserve"> a </w:t>
      </w:r>
      <w:r w:rsidRPr="00933AB7">
        <w:rPr>
          <w:rFonts w:asciiTheme="minorHAnsi" w:hAnsiTheme="minorHAnsi" w:cstheme="minorHAnsi"/>
        </w:rPr>
        <w:t>networkingu na evropské úrovni.</w:t>
      </w:r>
    </w:p>
    <w:p w14:paraId="40AD073C" w14:textId="77777777" w:rsidR="00183718" w:rsidRPr="00933AB7" w:rsidRDefault="00183718" w:rsidP="00E43CA1">
      <w:pPr>
        <w:numPr>
          <w:ilvl w:val="0"/>
          <w:numId w:val="25"/>
        </w:numPr>
        <w:spacing w:before="0" w:after="160" w:line="259" w:lineRule="auto"/>
        <w:contextualSpacing/>
        <w:rPr>
          <w:rFonts w:asciiTheme="minorHAnsi" w:hAnsiTheme="minorHAnsi" w:cstheme="minorHAnsi"/>
        </w:rPr>
      </w:pPr>
      <w:r w:rsidRPr="00933AB7">
        <w:rPr>
          <w:rFonts w:asciiTheme="minorHAnsi" w:hAnsiTheme="minorHAnsi" w:cstheme="minorHAnsi"/>
        </w:rPr>
        <w:t>Vytváření sítě kontaktů</w:t>
      </w:r>
      <w:r w:rsidR="009B66B5">
        <w:rPr>
          <w:rFonts w:asciiTheme="minorHAnsi" w:hAnsiTheme="minorHAnsi" w:cstheme="minorHAnsi"/>
        </w:rPr>
        <w:t xml:space="preserve"> a </w:t>
      </w:r>
      <w:r w:rsidRPr="00933AB7">
        <w:rPr>
          <w:rFonts w:asciiTheme="minorHAnsi" w:hAnsiTheme="minorHAnsi" w:cstheme="minorHAnsi"/>
        </w:rPr>
        <w:t>partnerství na evropské úrovni, zejména s</w:t>
      </w:r>
      <w:r w:rsidR="00253000">
        <w:rPr>
          <w:rFonts w:asciiTheme="minorHAnsi" w:hAnsiTheme="minorHAnsi" w:cstheme="minorHAnsi"/>
        </w:rPr>
        <w:t>k</w:t>
      </w:r>
      <w:r w:rsidRPr="00933AB7">
        <w:rPr>
          <w:rFonts w:asciiTheme="minorHAnsi" w:hAnsiTheme="minorHAnsi" w:cstheme="minorHAnsi"/>
        </w:rPr>
        <w:t>rze IGLO síť</w:t>
      </w:r>
      <w:r w:rsidR="009B66B5">
        <w:rPr>
          <w:rFonts w:asciiTheme="minorHAnsi" w:hAnsiTheme="minorHAnsi" w:cstheme="minorHAnsi"/>
        </w:rPr>
        <w:t xml:space="preserve"> a </w:t>
      </w:r>
      <w:r w:rsidRPr="00933AB7">
        <w:rPr>
          <w:rFonts w:asciiTheme="minorHAnsi" w:hAnsiTheme="minorHAnsi" w:cstheme="minorHAnsi"/>
        </w:rPr>
        <w:t>společenské události. Těchto kontaktů následně využívat pro posílení postavení českých výzkumných institucí, zejména při tzv. partner</w:t>
      </w:r>
      <w:r w:rsidR="00253000">
        <w:rPr>
          <w:rFonts w:asciiTheme="minorHAnsi" w:hAnsiTheme="minorHAnsi" w:cstheme="minorHAnsi"/>
        </w:rPr>
        <w:t xml:space="preserve"> </w:t>
      </w:r>
      <w:r w:rsidRPr="00933AB7">
        <w:rPr>
          <w:rFonts w:asciiTheme="minorHAnsi" w:hAnsiTheme="minorHAnsi" w:cstheme="minorHAnsi"/>
        </w:rPr>
        <w:t>search.</w:t>
      </w:r>
    </w:p>
    <w:p w14:paraId="48FB548D" w14:textId="77777777" w:rsidR="00183718" w:rsidRPr="00933AB7" w:rsidRDefault="00183718" w:rsidP="00E43CA1">
      <w:pPr>
        <w:numPr>
          <w:ilvl w:val="0"/>
          <w:numId w:val="25"/>
        </w:numPr>
        <w:spacing w:before="0" w:after="160" w:line="259" w:lineRule="auto"/>
        <w:contextualSpacing/>
        <w:rPr>
          <w:rFonts w:asciiTheme="minorHAnsi" w:hAnsiTheme="minorHAnsi" w:cstheme="minorHAnsi"/>
        </w:rPr>
      </w:pPr>
      <w:r w:rsidRPr="00933AB7">
        <w:rPr>
          <w:rFonts w:asciiTheme="minorHAnsi" w:hAnsiTheme="minorHAnsi" w:cstheme="minorHAnsi"/>
        </w:rPr>
        <w:t>Zaměřit se na možnosti synergií</w:t>
      </w:r>
      <w:r w:rsidR="009B66B5">
        <w:rPr>
          <w:rFonts w:asciiTheme="minorHAnsi" w:hAnsiTheme="minorHAnsi" w:cstheme="minorHAnsi"/>
        </w:rPr>
        <w:t xml:space="preserve"> a </w:t>
      </w:r>
      <w:r w:rsidRPr="00933AB7">
        <w:rPr>
          <w:rFonts w:asciiTheme="minorHAnsi" w:hAnsiTheme="minorHAnsi" w:cstheme="minorHAnsi"/>
        </w:rPr>
        <w:t>upozorňovat české výzkumné instituce na případné finančně</w:t>
      </w:r>
      <w:r w:rsidR="009B66B5">
        <w:rPr>
          <w:rFonts w:asciiTheme="minorHAnsi" w:hAnsiTheme="minorHAnsi" w:cstheme="minorHAnsi"/>
        </w:rPr>
        <w:t xml:space="preserve"> a </w:t>
      </w:r>
      <w:r w:rsidRPr="00933AB7">
        <w:rPr>
          <w:rFonts w:asciiTheme="minorHAnsi" w:hAnsiTheme="minorHAnsi" w:cstheme="minorHAnsi"/>
        </w:rPr>
        <w:t xml:space="preserve">věcně se doplňující programy. </w:t>
      </w:r>
    </w:p>
    <w:p w14:paraId="6CE77133" w14:textId="77777777" w:rsidR="00183718" w:rsidRPr="00933AB7" w:rsidRDefault="00183718" w:rsidP="00417784">
      <w:pPr>
        <w:numPr>
          <w:ilvl w:val="0"/>
          <w:numId w:val="25"/>
        </w:numPr>
        <w:spacing w:before="0" w:after="160" w:line="259" w:lineRule="auto"/>
        <w:ind w:left="760" w:hanging="357"/>
        <w:rPr>
          <w:rFonts w:asciiTheme="minorHAnsi" w:hAnsiTheme="minorHAnsi" w:cstheme="minorHAnsi"/>
        </w:rPr>
      </w:pPr>
      <w:r w:rsidRPr="00933AB7">
        <w:rPr>
          <w:rFonts w:asciiTheme="minorHAnsi" w:hAnsiTheme="minorHAnsi" w:cstheme="minorHAnsi"/>
        </w:rPr>
        <w:lastRenderedPageBreak/>
        <w:t>Propagace</w:t>
      </w:r>
      <w:r w:rsidR="009B66B5">
        <w:rPr>
          <w:rFonts w:asciiTheme="minorHAnsi" w:hAnsiTheme="minorHAnsi" w:cstheme="minorHAnsi"/>
        </w:rPr>
        <w:t xml:space="preserve"> i </w:t>
      </w:r>
      <w:r w:rsidRPr="00933AB7">
        <w:rPr>
          <w:rFonts w:asciiTheme="minorHAnsi" w:hAnsiTheme="minorHAnsi" w:cstheme="minorHAnsi"/>
        </w:rPr>
        <w:t>směrem</w:t>
      </w:r>
      <w:r w:rsidR="009B66B5">
        <w:rPr>
          <w:rFonts w:asciiTheme="minorHAnsi" w:hAnsiTheme="minorHAnsi" w:cstheme="minorHAnsi"/>
        </w:rPr>
        <w:t xml:space="preserve"> z </w:t>
      </w:r>
      <w:r w:rsidRPr="00933AB7">
        <w:rPr>
          <w:rFonts w:asciiTheme="minorHAnsi" w:hAnsiTheme="minorHAnsi" w:cstheme="minorHAnsi"/>
        </w:rPr>
        <w:t>ČR do mezinárodního prostředí, zejména konkrétních českých vědeckých úspěchů,</w:t>
      </w:r>
      <w:r w:rsidR="009B66B5">
        <w:rPr>
          <w:rFonts w:asciiTheme="minorHAnsi" w:hAnsiTheme="minorHAnsi" w:cstheme="minorHAnsi"/>
        </w:rPr>
        <w:t xml:space="preserve"> a </w:t>
      </w:r>
      <w:r w:rsidRPr="00933AB7">
        <w:rPr>
          <w:rFonts w:asciiTheme="minorHAnsi" w:hAnsiTheme="minorHAnsi" w:cstheme="minorHAnsi"/>
        </w:rPr>
        <w:t>to</w:t>
      </w:r>
      <w:r w:rsidR="009B66B5">
        <w:rPr>
          <w:rFonts w:asciiTheme="minorHAnsi" w:hAnsiTheme="minorHAnsi" w:cstheme="minorHAnsi"/>
        </w:rPr>
        <w:t xml:space="preserve"> v </w:t>
      </w:r>
      <w:r w:rsidRPr="00933AB7">
        <w:rPr>
          <w:rFonts w:asciiTheme="minorHAnsi" w:hAnsiTheme="minorHAnsi" w:cstheme="minorHAnsi"/>
        </w:rPr>
        <w:t xml:space="preserve">podobě Science Café, které se koná minimálně 3x za rok.  </w:t>
      </w:r>
    </w:p>
    <w:p w14:paraId="2C739ABD" w14:textId="77777777" w:rsidR="00183718" w:rsidRPr="00933AB7" w:rsidRDefault="00183718" w:rsidP="00E43CA1">
      <w:pPr>
        <w:spacing w:before="0" w:after="160" w:line="259" w:lineRule="auto"/>
        <w:rPr>
          <w:rFonts w:asciiTheme="minorHAnsi" w:hAnsiTheme="minorHAnsi" w:cstheme="minorHAnsi"/>
          <w:b/>
          <w:bCs/>
        </w:rPr>
      </w:pPr>
      <w:r w:rsidRPr="00933AB7">
        <w:rPr>
          <w:rFonts w:asciiTheme="minorHAnsi" w:hAnsiTheme="minorHAnsi" w:cstheme="minorHAnsi"/>
          <w:b/>
          <w:bCs/>
        </w:rPr>
        <w:t>Školicí</w:t>
      </w:r>
      <w:r w:rsidR="009B66B5">
        <w:rPr>
          <w:rFonts w:asciiTheme="minorHAnsi" w:hAnsiTheme="minorHAnsi" w:cstheme="minorHAnsi"/>
          <w:b/>
          <w:bCs/>
        </w:rPr>
        <w:t xml:space="preserve"> a </w:t>
      </w:r>
      <w:r w:rsidRPr="00933AB7">
        <w:rPr>
          <w:rFonts w:asciiTheme="minorHAnsi" w:hAnsiTheme="minorHAnsi" w:cstheme="minorHAnsi"/>
          <w:b/>
          <w:bCs/>
        </w:rPr>
        <w:t xml:space="preserve">mentoringové aktivity </w:t>
      </w:r>
      <w:r w:rsidR="00B1595F" w:rsidRPr="00933AB7">
        <w:rPr>
          <w:rFonts w:asciiTheme="minorHAnsi" w:hAnsiTheme="minorHAnsi" w:cstheme="minorHAnsi"/>
          <w:b/>
          <w:bCs/>
        </w:rPr>
        <w:t xml:space="preserve">CZELO </w:t>
      </w:r>
      <w:r w:rsidRPr="00933AB7">
        <w:rPr>
          <w:rFonts w:asciiTheme="minorHAnsi" w:hAnsiTheme="minorHAnsi" w:cstheme="minorHAnsi"/>
          <w:b/>
          <w:bCs/>
        </w:rPr>
        <w:t>pro žadatele</w:t>
      </w:r>
      <w:r w:rsidR="009B66B5">
        <w:rPr>
          <w:rFonts w:asciiTheme="minorHAnsi" w:hAnsiTheme="minorHAnsi" w:cstheme="minorHAnsi"/>
          <w:b/>
          <w:bCs/>
        </w:rPr>
        <w:t xml:space="preserve"> a </w:t>
      </w:r>
      <w:r w:rsidRPr="00933AB7">
        <w:rPr>
          <w:rFonts w:asciiTheme="minorHAnsi" w:hAnsiTheme="minorHAnsi" w:cstheme="minorHAnsi"/>
          <w:b/>
          <w:bCs/>
        </w:rPr>
        <w:t>řešitele projektů rámcového programu</w:t>
      </w:r>
      <w:r w:rsidR="00CA7E29">
        <w:rPr>
          <w:rFonts w:asciiTheme="minorHAnsi" w:hAnsiTheme="minorHAnsi" w:cstheme="minorHAnsi"/>
          <w:b/>
          <w:bCs/>
        </w:rPr>
        <w:t>:</w:t>
      </w:r>
    </w:p>
    <w:p w14:paraId="6A042145" w14:textId="77777777" w:rsidR="00183718" w:rsidRPr="00933AB7" w:rsidRDefault="00183718" w:rsidP="00E43CA1">
      <w:pPr>
        <w:spacing w:before="0" w:after="160" w:line="259" w:lineRule="auto"/>
        <w:rPr>
          <w:rFonts w:asciiTheme="minorHAnsi" w:hAnsiTheme="minorHAnsi" w:cstheme="minorHAnsi"/>
        </w:rPr>
      </w:pPr>
      <w:r w:rsidRPr="00933AB7">
        <w:rPr>
          <w:rFonts w:asciiTheme="minorHAnsi" w:hAnsiTheme="minorHAnsi" w:cstheme="minorHAnsi"/>
        </w:rPr>
        <w:t xml:space="preserve">Doplňující semináře se zaměřením na </w:t>
      </w:r>
      <w:r w:rsidR="00C032C8">
        <w:rPr>
          <w:rFonts w:cs="Calibri"/>
        </w:rPr>
        <w:t>RP Horizont Evropa,</w:t>
      </w:r>
      <w:r w:rsidRPr="00933AB7">
        <w:rPr>
          <w:rFonts w:asciiTheme="minorHAnsi" w:hAnsiTheme="minorHAnsi" w:cstheme="minorHAnsi"/>
        </w:rPr>
        <w:t xml:space="preserve"> jeho části, popř. další možnosti</w:t>
      </w:r>
      <w:r w:rsidR="009B66B5">
        <w:rPr>
          <w:rFonts w:asciiTheme="minorHAnsi" w:hAnsiTheme="minorHAnsi" w:cstheme="minorHAnsi"/>
        </w:rPr>
        <w:t xml:space="preserve"> v </w:t>
      </w:r>
      <w:r w:rsidRPr="00933AB7">
        <w:rPr>
          <w:rFonts w:asciiTheme="minorHAnsi" w:hAnsiTheme="minorHAnsi" w:cstheme="minorHAnsi"/>
        </w:rPr>
        <w:t>rámci ERA. Jedná se zejména o:</w:t>
      </w:r>
    </w:p>
    <w:p w14:paraId="3B7D4163" w14:textId="77777777" w:rsidR="00183718" w:rsidRPr="00933AB7" w:rsidRDefault="00183718" w:rsidP="00E43CA1">
      <w:pPr>
        <w:numPr>
          <w:ilvl w:val="0"/>
          <w:numId w:val="26"/>
        </w:numPr>
        <w:spacing w:before="0" w:after="160" w:line="259" w:lineRule="auto"/>
        <w:contextualSpacing/>
        <w:rPr>
          <w:rFonts w:asciiTheme="minorHAnsi" w:hAnsiTheme="minorHAnsi" w:cstheme="minorHAnsi"/>
        </w:rPr>
      </w:pPr>
      <w:r w:rsidRPr="00933AB7">
        <w:rPr>
          <w:rFonts w:asciiTheme="minorHAnsi" w:hAnsiTheme="minorHAnsi" w:cstheme="minorHAnsi"/>
        </w:rPr>
        <w:t>Pravidelné V4 školení ve spolupráci</w:t>
      </w:r>
      <w:r w:rsidR="009B66B5">
        <w:rPr>
          <w:rFonts w:asciiTheme="minorHAnsi" w:hAnsiTheme="minorHAnsi" w:cstheme="minorHAnsi"/>
        </w:rPr>
        <w:t xml:space="preserve"> s </w:t>
      </w:r>
      <w:r w:rsidRPr="00933AB7">
        <w:rPr>
          <w:rFonts w:asciiTheme="minorHAnsi" w:hAnsiTheme="minorHAnsi" w:cstheme="minorHAnsi"/>
        </w:rPr>
        <w:t>kancelářemi zemí V</w:t>
      </w:r>
      <w:r w:rsidR="003043E8">
        <w:rPr>
          <w:rFonts w:asciiTheme="minorHAnsi" w:hAnsiTheme="minorHAnsi" w:cstheme="minorHAnsi"/>
        </w:rPr>
        <w:t xml:space="preserve">4. Školení se věnuje nejenom </w:t>
      </w:r>
      <w:r w:rsidR="00C032C8">
        <w:rPr>
          <w:rFonts w:cs="Calibri"/>
        </w:rPr>
        <w:t>RP Horizont Evropa</w:t>
      </w:r>
      <w:r w:rsidRPr="00933AB7">
        <w:rPr>
          <w:rFonts w:asciiTheme="minorHAnsi" w:hAnsiTheme="minorHAnsi" w:cstheme="minorHAnsi"/>
        </w:rPr>
        <w:t>, ale zejména</w:t>
      </w:r>
      <w:r w:rsidR="009B66B5">
        <w:rPr>
          <w:rFonts w:asciiTheme="minorHAnsi" w:hAnsiTheme="minorHAnsi" w:cstheme="minorHAnsi"/>
        </w:rPr>
        <w:t xml:space="preserve"> i </w:t>
      </w:r>
      <w:r w:rsidRPr="00933AB7">
        <w:rPr>
          <w:rFonts w:asciiTheme="minorHAnsi" w:hAnsiTheme="minorHAnsi" w:cstheme="minorHAnsi"/>
        </w:rPr>
        <w:t>doplňujícím tématům (gender, audit, good practice atd.)</w:t>
      </w:r>
      <w:r w:rsidR="00504BE0">
        <w:rPr>
          <w:rFonts w:asciiTheme="minorHAnsi" w:hAnsiTheme="minorHAnsi" w:cstheme="minorHAnsi"/>
        </w:rPr>
        <w:t>.</w:t>
      </w:r>
    </w:p>
    <w:p w14:paraId="4F424D54" w14:textId="77777777" w:rsidR="00183718" w:rsidRPr="00933AB7" w:rsidRDefault="00183718" w:rsidP="00E43CA1">
      <w:pPr>
        <w:numPr>
          <w:ilvl w:val="0"/>
          <w:numId w:val="26"/>
        </w:numPr>
        <w:spacing w:before="0" w:after="160" w:line="259" w:lineRule="auto"/>
        <w:contextualSpacing/>
        <w:rPr>
          <w:rFonts w:asciiTheme="minorHAnsi" w:hAnsiTheme="minorHAnsi" w:cstheme="minorHAnsi"/>
        </w:rPr>
      </w:pPr>
      <w:r w:rsidRPr="00933AB7">
        <w:rPr>
          <w:rFonts w:asciiTheme="minorHAnsi" w:hAnsiTheme="minorHAnsi" w:cstheme="minorHAnsi"/>
        </w:rPr>
        <w:t>Školení se zaměřením na sociální</w:t>
      </w:r>
      <w:r w:rsidR="009B66B5">
        <w:rPr>
          <w:rFonts w:asciiTheme="minorHAnsi" w:hAnsiTheme="minorHAnsi" w:cstheme="minorHAnsi"/>
        </w:rPr>
        <w:t xml:space="preserve"> a </w:t>
      </w:r>
      <w:r w:rsidRPr="00933AB7">
        <w:rPr>
          <w:rFonts w:asciiTheme="minorHAnsi" w:hAnsiTheme="minorHAnsi" w:cstheme="minorHAnsi"/>
        </w:rPr>
        <w:t>humanitní obory, školení proběhlo ve spolupráci</w:t>
      </w:r>
      <w:r w:rsidR="009B66B5">
        <w:rPr>
          <w:rFonts w:asciiTheme="minorHAnsi" w:hAnsiTheme="minorHAnsi" w:cstheme="minorHAnsi"/>
        </w:rPr>
        <w:t xml:space="preserve"> s </w:t>
      </w:r>
      <w:r w:rsidRPr="00933AB7">
        <w:rPr>
          <w:rFonts w:asciiTheme="minorHAnsi" w:hAnsiTheme="minorHAnsi" w:cstheme="minorHAnsi"/>
        </w:rPr>
        <w:t>CZERA.</w:t>
      </w:r>
    </w:p>
    <w:p w14:paraId="3D9D6B9A" w14:textId="77777777" w:rsidR="00183718" w:rsidRPr="00933AB7" w:rsidRDefault="00183718" w:rsidP="00E43CA1">
      <w:pPr>
        <w:numPr>
          <w:ilvl w:val="0"/>
          <w:numId w:val="26"/>
        </w:numPr>
        <w:spacing w:before="0" w:after="160" w:line="259" w:lineRule="auto"/>
        <w:contextualSpacing/>
        <w:rPr>
          <w:rFonts w:asciiTheme="minorHAnsi" w:hAnsiTheme="minorHAnsi" w:cstheme="minorHAnsi"/>
        </w:rPr>
      </w:pPr>
      <w:r w:rsidRPr="00933AB7">
        <w:rPr>
          <w:rFonts w:asciiTheme="minorHAnsi" w:hAnsiTheme="minorHAnsi" w:cstheme="minorHAnsi"/>
        </w:rPr>
        <w:t xml:space="preserve">Semináře zaměřené na konkrétní oblasti, </w:t>
      </w:r>
      <w:r w:rsidR="00504BE0">
        <w:rPr>
          <w:rFonts w:asciiTheme="minorHAnsi" w:hAnsiTheme="minorHAnsi" w:cstheme="minorHAnsi"/>
        </w:rPr>
        <w:t>např. Seal of Excellence, Nový e</w:t>
      </w:r>
      <w:r w:rsidRPr="00933AB7">
        <w:rPr>
          <w:rFonts w:asciiTheme="minorHAnsi" w:hAnsiTheme="minorHAnsi" w:cstheme="minorHAnsi"/>
        </w:rPr>
        <w:t>vropský Bauhaus.</w:t>
      </w:r>
    </w:p>
    <w:p w14:paraId="5B35D5D9" w14:textId="77777777" w:rsidR="00183718" w:rsidRPr="00244420" w:rsidRDefault="00244420" w:rsidP="00E43CA1">
      <w:pPr>
        <w:numPr>
          <w:ilvl w:val="0"/>
          <w:numId w:val="26"/>
        </w:numPr>
        <w:spacing w:before="0" w:after="160" w:line="259" w:lineRule="auto"/>
        <w:contextualSpacing/>
        <w:rPr>
          <w:rFonts w:asciiTheme="minorHAnsi" w:hAnsiTheme="minorHAnsi" w:cstheme="minorHAnsi"/>
        </w:rPr>
      </w:pPr>
      <w:r>
        <w:rPr>
          <w:rFonts w:asciiTheme="minorHAnsi" w:hAnsiTheme="minorHAnsi" w:cstheme="minorHAnsi"/>
        </w:rPr>
        <w:t>Webináře</w:t>
      </w:r>
      <w:r w:rsidR="00183718" w:rsidRPr="00933AB7">
        <w:rPr>
          <w:rFonts w:asciiTheme="minorHAnsi" w:hAnsiTheme="minorHAnsi" w:cstheme="minorHAnsi"/>
        </w:rPr>
        <w:t xml:space="preserve"> se zaměřením na možn</w:t>
      </w:r>
      <w:r>
        <w:rPr>
          <w:rFonts w:asciiTheme="minorHAnsi" w:hAnsiTheme="minorHAnsi" w:cstheme="minorHAnsi"/>
        </w:rPr>
        <w:t>osti zapojení českých institucí</w:t>
      </w:r>
      <w:r w:rsidR="00183718" w:rsidRPr="00244420">
        <w:rPr>
          <w:rFonts w:asciiTheme="minorHAnsi" w:hAnsiTheme="minorHAnsi" w:cstheme="minorHAnsi"/>
        </w:rPr>
        <w:t xml:space="preserve"> do </w:t>
      </w:r>
      <w:r w:rsidRPr="00244420">
        <w:rPr>
          <w:rFonts w:asciiTheme="minorHAnsi" w:hAnsiTheme="minorHAnsi" w:cstheme="minorHAnsi"/>
        </w:rPr>
        <w:t>tvorby politik</w:t>
      </w:r>
      <w:r w:rsidR="009B66B5">
        <w:rPr>
          <w:rFonts w:asciiTheme="minorHAnsi" w:hAnsiTheme="minorHAnsi" w:cstheme="minorHAnsi"/>
        </w:rPr>
        <w:t xml:space="preserve"> v </w:t>
      </w:r>
      <w:r w:rsidR="00183718" w:rsidRPr="00244420">
        <w:rPr>
          <w:rFonts w:asciiTheme="minorHAnsi" w:hAnsiTheme="minorHAnsi" w:cstheme="minorHAnsi"/>
        </w:rPr>
        <w:t>Bruselu (členství</w:t>
      </w:r>
      <w:r w:rsidR="009B66B5">
        <w:rPr>
          <w:rFonts w:asciiTheme="minorHAnsi" w:hAnsiTheme="minorHAnsi" w:cstheme="minorHAnsi"/>
        </w:rPr>
        <w:t xml:space="preserve"> v </w:t>
      </w:r>
      <w:r w:rsidR="00183718" w:rsidRPr="00244420">
        <w:rPr>
          <w:rFonts w:asciiTheme="minorHAnsi" w:hAnsiTheme="minorHAnsi" w:cstheme="minorHAnsi"/>
        </w:rPr>
        <w:t>organizacích, asociacích</w:t>
      </w:r>
      <w:r w:rsidR="009B66B5">
        <w:rPr>
          <w:rFonts w:asciiTheme="minorHAnsi" w:hAnsiTheme="minorHAnsi" w:cstheme="minorHAnsi"/>
        </w:rPr>
        <w:t xml:space="preserve"> a </w:t>
      </w:r>
      <w:r w:rsidR="00183718" w:rsidRPr="00244420">
        <w:rPr>
          <w:rFonts w:asciiTheme="minorHAnsi" w:hAnsiTheme="minorHAnsi" w:cstheme="minorHAnsi"/>
        </w:rPr>
        <w:t>další).</w:t>
      </w:r>
    </w:p>
    <w:p w14:paraId="3B59DD0B" w14:textId="77777777" w:rsidR="00183718" w:rsidRPr="00933AB7" w:rsidRDefault="00244420" w:rsidP="00E43CA1">
      <w:pPr>
        <w:numPr>
          <w:ilvl w:val="0"/>
          <w:numId w:val="26"/>
        </w:numPr>
        <w:spacing w:before="0" w:after="160" w:line="259" w:lineRule="auto"/>
        <w:contextualSpacing/>
        <w:rPr>
          <w:rFonts w:asciiTheme="minorHAnsi" w:hAnsiTheme="minorHAnsi" w:cstheme="minorHAnsi"/>
        </w:rPr>
      </w:pPr>
      <w:r>
        <w:rPr>
          <w:rFonts w:asciiTheme="minorHAnsi" w:hAnsiTheme="minorHAnsi" w:cstheme="minorHAnsi"/>
        </w:rPr>
        <w:t>Pořádání</w:t>
      </w:r>
      <w:r w:rsidR="00183718" w:rsidRPr="00933AB7">
        <w:rPr>
          <w:rFonts w:asciiTheme="minorHAnsi" w:hAnsiTheme="minorHAnsi" w:cstheme="minorHAnsi"/>
        </w:rPr>
        <w:t xml:space="preserve"> odborných stáží </w:t>
      </w:r>
      <w:r>
        <w:rPr>
          <w:rFonts w:asciiTheme="minorHAnsi" w:hAnsiTheme="minorHAnsi" w:cstheme="minorHAnsi"/>
        </w:rPr>
        <w:t>pro zaměstnance</w:t>
      </w:r>
      <w:r w:rsidR="00183718" w:rsidRPr="00933AB7">
        <w:rPr>
          <w:rFonts w:asciiTheme="minorHAnsi" w:hAnsiTheme="minorHAnsi" w:cstheme="minorHAnsi"/>
        </w:rPr>
        <w:t xml:space="preserve"> českých výzkumných institucí</w:t>
      </w:r>
      <w:r w:rsidR="009B66B5">
        <w:rPr>
          <w:rFonts w:asciiTheme="minorHAnsi" w:hAnsiTheme="minorHAnsi" w:cstheme="minorHAnsi"/>
        </w:rPr>
        <w:t xml:space="preserve"> v </w:t>
      </w:r>
      <w:r w:rsidR="00183718" w:rsidRPr="00933AB7">
        <w:rPr>
          <w:rFonts w:asciiTheme="minorHAnsi" w:hAnsiTheme="minorHAnsi" w:cstheme="minorHAnsi"/>
        </w:rPr>
        <w:t>Bruselu – zajištění schůzek</w:t>
      </w:r>
      <w:r w:rsidR="009B66B5">
        <w:rPr>
          <w:rFonts w:asciiTheme="minorHAnsi" w:hAnsiTheme="minorHAnsi" w:cstheme="minorHAnsi"/>
        </w:rPr>
        <w:t xml:space="preserve"> s </w:t>
      </w:r>
      <w:r w:rsidR="00183718" w:rsidRPr="00933AB7">
        <w:rPr>
          <w:rFonts w:asciiTheme="minorHAnsi" w:hAnsiTheme="minorHAnsi" w:cstheme="minorHAnsi"/>
        </w:rPr>
        <w:t>aktéry</w:t>
      </w:r>
      <w:r w:rsidR="009B66B5">
        <w:rPr>
          <w:rFonts w:asciiTheme="minorHAnsi" w:hAnsiTheme="minorHAnsi" w:cstheme="minorHAnsi"/>
        </w:rPr>
        <w:t xml:space="preserve"> v </w:t>
      </w:r>
      <w:r w:rsidR="00183718" w:rsidRPr="00933AB7">
        <w:rPr>
          <w:rFonts w:asciiTheme="minorHAnsi" w:hAnsiTheme="minorHAnsi" w:cstheme="minorHAnsi"/>
        </w:rPr>
        <w:t>unijních institucích, mezinárodních organizacích, jiných styčných kancelářích či u jiných partnerů kanceláře.</w:t>
      </w:r>
    </w:p>
    <w:p w14:paraId="6AF42C0F" w14:textId="77777777" w:rsidR="00B32510" w:rsidRDefault="00705FF0" w:rsidP="00E43CA1">
      <w:pPr>
        <w:pStyle w:val="Nadpis2"/>
      </w:pPr>
      <w:bookmarkStart w:id="83" w:name="_Toc114572359"/>
      <w:r>
        <w:t>Závěr</w:t>
      </w:r>
      <w:bookmarkEnd w:id="83"/>
    </w:p>
    <w:p w14:paraId="344B2972" w14:textId="77777777" w:rsidR="00504BE0" w:rsidRDefault="00705FF0" w:rsidP="008B2736">
      <w:r w:rsidRPr="00705FF0">
        <w:t>Všechny aktivity popsané výše přispívají</w:t>
      </w:r>
      <w:r w:rsidR="009B66B5">
        <w:t xml:space="preserve"> k </w:t>
      </w:r>
      <w:r w:rsidRPr="00705FF0">
        <w:t>vyšší informovanosti</w:t>
      </w:r>
      <w:r w:rsidR="009B66B5">
        <w:t xml:space="preserve"> o </w:t>
      </w:r>
      <w:r w:rsidRPr="00705FF0">
        <w:t>Horizont</w:t>
      </w:r>
      <w:r w:rsidR="00C1331A">
        <w:t>u</w:t>
      </w:r>
      <w:r w:rsidRPr="00705FF0">
        <w:t xml:space="preserve"> Evropa</w:t>
      </w:r>
      <w:r w:rsidR="009B66B5">
        <w:t xml:space="preserve"> a </w:t>
      </w:r>
      <w:r w:rsidR="00244420">
        <w:t>možnostem</w:t>
      </w:r>
      <w:r w:rsidRPr="00705FF0">
        <w:t xml:space="preserve">, které českým výzkumným týmům </w:t>
      </w:r>
      <w:r w:rsidR="00D81389">
        <w:t>RP</w:t>
      </w:r>
      <w:r w:rsidRPr="00705FF0">
        <w:t xml:space="preserve"> nabízí. Zároveň přispívají</w:t>
      </w:r>
      <w:r w:rsidR="009B66B5">
        <w:t xml:space="preserve"> k </w:t>
      </w:r>
      <w:r w:rsidRPr="00705FF0">
        <w:t>prezentaci</w:t>
      </w:r>
      <w:r w:rsidR="009B66B5">
        <w:t xml:space="preserve"> a </w:t>
      </w:r>
      <w:r w:rsidRPr="00705FF0">
        <w:t>propagaci úspěchů českých týmů</w:t>
      </w:r>
      <w:r w:rsidR="009B66B5">
        <w:t xml:space="preserve"> v </w:t>
      </w:r>
      <w:r w:rsidR="00D81389">
        <w:t>RP</w:t>
      </w:r>
      <w:r w:rsidRPr="00705FF0">
        <w:t>. Školicí aktivity navíc umožňují projektovým manažerům</w:t>
      </w:r>
      <w:r w:rsidR="009B66B5">
        <w:t xml:space="preserve"> i </w:t>
      </w:r>
      <w:r w:rsidRPr="00705FF0">
        <w:t>výzkumníkům samotným získávat více informací</w:t>
      </w:r>
      <w:r w:rsidR="009B66B5">
        <w:t xml:space="preserve"> o </w:t>
      </w:r>
      <w:r w:rsidR="00D81389">
        <w:t>RP</w:t>
      </w:r>
      <w:r w:rsidR="009B66B5">
        <w:t xml:space="preserve"> a </w:t>
      </w:r>
      <w:r w:rsidRPr="00705FF0">
        <w:t>jejich fungování,</w:t>
      </w:r>
      <w:r w:rsidR="009B66B5">
        <w:t xml:space="preserve"> a </w:t>
      </w:r>
      <w:r w:rsidRPr="00705FF0">
        <w:t>tak přispívají</w:t>
      </w:r>
      <w:r w:rsidR="009B66B5">
        <w:t xml:space="preserve"> k </w:t>
      </w:r>
      <w:r w:rsidRPr="00705FF0">
        <w:t>rozvoji manažerských dovedností</w:t>
      </w:r>
      <w:r w:rsidR="009B66B5">
        <w:t xml:space="preserve"> a </w:t>
      </w:r>
      <w:r w:rsidRPr="00705FF0">
        <w:t>efektivnějšímu čerpání</w:t>
      </w:r>
      <w:r w:rsidR="003000E8">
        <w:t xml:space="preserve"> prostředků </w:t>
      </w:r>
      <w:r w:rsidR="00D81389">
        <w:t>RP</w:t>
      </w:r>
      <w:r w:rsidR="002A6DCD">
        <w:t xml:space="preserve">. </w:t>
      </w:r>
      <w:r w:rsidR="00105EB9">
        <w:t>Poskytované služby reagují</w:t>
      </w:r>
      <w:r w:rsidR="00842095">
        <w:t xml:space="preserve"> na vývoj</w:t>
      </w:r>
      <w:r w:rsidR="009B66B5">
        <w:t xml:space="preserve"> v </w:t>
      </w:r>
      <w:r w:rsidR="00D81389">
        <w:t>RP</w:t>
      </w:r>
      <w:r w:rsidR="009B66B5">
        <w:t xml:space="preserve"> a </w:t>
      </w:r>
      <w:r w:rsidR="00310D89">
        <w:t>zároveň</w:t>
      </w:r>
      <w:r w:rsidR="006854F5">
        <w:t xml:space="preserve"> reflekt</w:t>
      </w:r>
      <w:r w:rsidR="00310D89">
        <w:t>ují</w:t>
      </w:r>
      <w:r w:rsidR="006854F5">
        <w:t xml:space="preserve"> potřeby výzkumné komunity</w:t>
      </w:r>
      <w:r w:rsidR="00017C8D">
        <w:t xml:space="preserve"> na základě</w:t>
      </w:r>
      <w:r w:rsidR="000D22E3">
        <w:t xml:space="preserve"> zkušeností nabytých při konzultačních</w:t>
      </w:r>
      <w:r w:rsidR="009B66B5">
        <w:t xml:space="preserve"> a </w:t>
      </w:r>
      <w:r w:rsidR="000D22E3">
        <w:t>školicích činnostech</w:t>
      </w:r>
      <w:r w:rsidR="009B66B5">
        <w:t xml:space="preserve"> i </w:t>
      </w:r>
      <w:r w:rsidR="000D22E3">
        <w:t>průzkum</w:t>
      </w:r>
      <w:r w:rsidR="00AA277F">
        <w:t>ů</w:t>
      </w:r>
      <w:r w:rsidR="000D22E3">
        <w:t xml:space="preserve"> potřeb</w:t>
      </w:r>
      <w:r w:rsidR="00AA277F">
        <w:t xml:space="preserve"> získávání zpětné vazby </w:t>
      </w:r>
      <w:r w:rsidR="008C4BE6">
        <w:t>od klientů.</w:t>
      </w:r>
      <w:r w:rsidR="00F00352">
        <w:t xml:space="preserve"> </w:t>
      </w:r>
      <w:r w:rsidR="00C43011">
        <w:t>Stále větší d</w:t>
      </w:r>
      <w:r w:rsidR="007E2832">
        <w:t xml:space="preserve">ůraz je kladen </w:t>
      </w:r>
      <w:r w:rsidR="004C0270">
        <w:t xml:space="preserve">na </w:t>
      </w:r>
      <w:r w:rsidR="00FB631F">
        <w:t>spolupráci</w:t>
      </w:r>
      <w:r w:rsidR="009B66B5">
        <w:t xml:space="preserve"> s </w:t>
      </w:r>
      <w:r w:rsidR="00FB631F">
        <w:t>projektovými manažery</w:t>
      </w:r>
      <w:r w:rsidR="009B66B5">
        <w:t xml:space="preserve"> a </w:t>
      </w:r>
      <w:r w:rsidR="00FB631F">
        <w:t xml:space="preserve">pracovníky projektové podpory na </w:t>
      </w:r>
      <w:r w:rsidR="00D81389">
        <w:t>výzkumných organizacích</w:t>
      </w:r>
      <w:r w:rsidR="009B66B5">
        <w:t xml:space="preserve"> a </w:t>
      </w:r>
      <w:r w:rsidR="00C43011">
        <w:t>na spolupráci</w:t>
      </w:r>
      <w:r w:rsidR="009B66B5">
        <w:t xml:space="preserve"> s </w:t>
      </w:r>
      <w:r w:rsidR="00C43011">
        <w:t xml:space="preserve">externími </w:t>
      </w:r>
      <w:r w:rsidR="00F96782">
        <w:t>experty, zejména zkušenými hodnotiteli mezinárodních projektů</w:t>
      </w:r>
      <w:r w:rsidR="009B66B5">
        <w:t xml:space="preserve"> a </w:t>
      </w:r>
      <w:r w:rsidR="00F96782">
        <w:t>úspěšnými řešiteli</w:t>
      </w:r>
      <w:r w:rsidR="0006760F">
        <w:t>, kteří jsou ochotni sdílet své zkušenosti</w:t>
      </w:r>
      <w:r w:rsidR="009B66B5">
        <w:t xml:space="preserve"> a </w:t>
      </w:r>
      <w:r w:rsidR="00744E9C">
        <w:t xml:space="preserve">dobrou praxi. </w:t>
      </w:r>
      <w:r w:rsidR="00B22E14">
        <w:t xml:space="preserve">Klíčovou součástí aktivit je </w:t>
      </w:r>
      <w:r w:rsidR="00E20891">
        <w:t>monitorovací</w:t>
      </w:r>
      <w:r w:rsidR="009B66B5">
        <w:t xml:space="preserve"> a </w:t>
      </w:r>
      <w:r w:rsidR="00E20891">
        <w:t xml:space="preserve">analytická činnost, která umožnuje </w:t>
      </w:r>
      <w:r w:rsidR="00E02007">
        <w:t>mezinárodní srovnání české účasti</w:t>
      </w:r>
      <w:r w:rsidR="009B66B5">
        <w:t xml:space="preserve"> v </w:t>
      </w:r>
      <w:r w:rsidR="00D81389">
        <w:t>RP</w:t>
      </w:r>
      <w:r w:rsidR="00504BE0">
        <w:t>,</w:t>
      </w:r>
      <w:r w:rsidR="009B66B5">
        <w:t xml:space="preserve"> a </w:t>
      </w:r>
      <w:r w:rsidR="00AB4DDE">
        <w:t>na jejím základě</w:t>
      </w:r>
      <w:r w:rsidR="00C75C83">
        <w:t xml:space="preserve"> též lépe zacílit </w:t>
      </w:r>
      <w:r w:rsidR="00252647">
        <w:t>podporu.</w:t>
      </w:r>
      <w:r w:rsidR="00E02007">
        <w:t xml:space="preserve"> </w:t>
      </w:r>
      <w:r w:rsidR="00263235">
        <w:t xml:space="preserve">Nezbytným předpokladem pro rozvoj poskytovaných služeb je </w:t>
      </w:r>
      <w:r w:rsidR="00F27FA7">
        <w:t>zvyšování jejich kvality, mj. také prostřednictvím školení</w:t>
      </w:r>
      <w:r w:rsidR="009B66B5">
        <w:t xml:space="preserve"> a </w:t>
      </w:r>
      <w:r w:rsidR="00370C2C">
        <w:t>sdílení dobrých praxí jak mezi národními kontaktními pracovníky</w:t>
      </w:r>
      <w:r w:rsidR="00504BE0">
        <w:t>,</w:t>
      </w:r>
      <w:r w:rsidR="00370C2C">
        <w:t xml:space="preserve"> tak </w:t>
      </w:r>
      <w:r w:rsidR="00CF2E46">
        <w:t xml:space="preserve">pracovníky projektové podpory na </w:t>
      </w:r>
      <w:r w:rsidR="00D81389">
        <w:t>výzkumných organizacích</w:t>
      </w:r>
      <w:r w:rsidR="00CF2E46">
        <w:t>.</w:t>
      </w:r>
      <w:r w:rsidR="00F27FA7">
        <w:t xml:space="preserve"> </w:t>
      </w:r>
    </w:p>
    <w:p w14:paraId="4281D24E" w14:textId="77777777" w:rsidR="00B020F6" w:rsidRDefault="00B020F6" w:rsidP="008B2736"/>
    <w:p w14:paraId="096DD6A7" w14:textId="77777777" w:rsidR="00665ACA" w:rsidRDefault="00874BE5" w:rsidP="00276F04">
      <w:pPr>
        <w:pStyle w:val="Nadpis1"/>
      </w:pPr>
      <w:bookmarkStart w:id="84" w:name="_Toc114572360"/>
      <w:r>
        <w:lastRenderedPageBreak/>
        <w:t>Doporučení</w:t>
      </w:r>
    </w:p>
    <w:p w14:paraId="55D06FC0" w14:textId="77777777" w:rsidR="00E11B4F" w:rsidRPr="007D4A55" w:rsidRDefault="00E11B4F" w:rsidP="00E11B4F">
      <w:pPr>
        <w:pStyle w:val="Nadpis2"/>
      </w:pPr>
      <w:r w:rsidRPr="007D4A55">
        <w:t xml:space="preserve">Doporučení </w:t>
      </w:r>
      <w:r>
        <w:t>pro zvýšení</w:t>
      </w:r>
      <w:r w:rsidRPr="007D4A55">
        <w:t xml:space="preserve"> MOTIVACE</w:t>
      </w:r>
      <w:r w:rsidR="009B66B5">
        <w:t xml:space="preserve"> k </w:t>
      </w:r>
      <w:r w:rsidRPr="007D4A55">
        <w:t>účasti</w:t>
      </w:r>
      <w:bookmarkEnd w:id="84"/>
    </w:p>
    <w:p w14:paraId="385C0399" w14:textId="77777777" w:rsidR="00E11B4F" w:rsidRDefault="00E11B4F" w:rsidP="00E11B4F">
      <w:pPr>
        <w:rPr>
          <w:b/>
          <w:bCs/>
        </w:rPr>
      </w:pPr>
      <w:r w:rsidRPr="007D4A55">
        <w:rPr>
          <w:b/>
          <w:bCs/>
        </w:rPr>
        <w:t>Národní úroveň</w:t>
      </w:r>
    </w:p>
    <w:p w14:paraId="3D02DF2C" w14:textId="77777777" w:rsidR="00542948" w:rsidRDefault="00E11B4F" w:rsidP="00E11B4F">
      <w:pPr>
        <w:pStyle w:val="Odstavecseseznamem"/>
        <w:numPr>
          <w:ilvl w:val="0"/>
          <w:numId w:val="31"/>
        </w:numPr>
        <w:spacing w:after="240"/>
        <w:ind w:left="567" w:hanging="567"/>
        <w:rPr>
          <w:lang w:eastAsia="cs-CZ"/>
        </w:rPr>
      </w:pPr>
      <w:r>
        <w:t>Posílit důraz na posuzování rozsahu, intenzity</w:t>
      </w:r>
      <w:r w:rsidR="009B66B5">
        <w:t xml:space="preserve"> a </w:t>
      </w:r>
      <w:r>
        <w:t xml:space="preserve">kvality mezinárodní spolupráce </w:t>
      </w:r>
      <w:r w:rsidR="00E249E0">
        <w:t>ve VaVaI</w:t>
      </w:r>
      <w:r w:rsidR="009B66B5">
        <w:t xml:space="preserve"> v </w:t>
      </w:r>
      <w:r w:rsidRPr="007962A5">
        <w:rPr>
          <w:b/>
          <w:bCs/>
        </w:rPr>
        <w:t>metodice hodnocení vysokých škol</w:t>
      </w:r>
      <w:r w:rsidR="00E249E0">
        <w:rPr>
          <w:b/>
          <w:bCs/>
        </w:rPr>
        <w:t>,</w:t>
      </w:r>
      <w:r w:rsidRPr="007962A5">
        <w:rPr>
          <w:b/>
          <w:bCs/>
        </w:rPr>
        <w:t xml:space="preserve"> výzkumně orientovaných pracovišť AV ČR</w:t>
      </w:r>
      <w:r w:rsidR="009B66B5">
        <w:rPr>
          <w:b/>
          <w:bCs/>
        </w:rPr>
        <w:t xml:space="preserve"> a </w:t>
      </w:r>
      <w:r w:rsidR="00E249E0">
        <w:rPr>
          <w:b/>
          <w:bCs/>
        </w:rPr>
        <w:t>výzkumných organizací spadajících do gesce dalších poskytovatelů institucionální podpory na jejich dlouhodobý koncepční rozvoj</w:t>
      </w:r>
      <w:r w:rsidR="00C44522">
        <w:rPr>
          <w:b/>
          <w:bCs/>
        </w:rPr>
        <w:t>, jakož</w:t>
      </w:r>
      <w:r w:rsidR="009B66B5">
        <w:rPr>
          <w:b/>
          <w:bCs/>
        </w:rPr>
        <w:t xml:space="preserve"> i v </w:t>
      </w:r>
      <w:r w:rsidR="00C44522">
        <w:rPr>
          <w:b/>
          <w:bCs/>
        </w:rPr>
        <w:t>hodnocení podle M1</w:t>
      </w:r>
      <w:r w:rsidR="009B66B5">
        <w:rPr>
          <w:b/>
          <w:bCs/>
        </w:rPr>
        <w:t xml:space="preserve"> a </w:t>
      </w:r>
      <w:r w:rsidR="00C44522">
        <w:rPr>
          <w:b/>
          <w:bCs/>
        </w:rPr>
        <w:t>M2 prováděném ze strany RVVI</w:t>
      </w:r>
      <w:r>
        <w:t>. Účelem je stimulovat výzkumné organizace</w:t>
      </w:r>
      <w:r w:rsidR="009B66B5">
        <w:t xml:space="preserve"> k </w:t>
      </w:r>
      <w:r>
        <w:t>vytváření strategi</w:t>
      </w:r>
      <w:r w:rsidR="00504BE0">
        <w:t>í mezinárodní spolupráce ve VaV</w:t>
      </w:r>
      <w:r w:rsidR="00E249E0">
        <w:t>aI</w:t>
      </w:r>
      <w:r w:rsidR="00E773E3">
        <w:t>,</w:t>
      </w:r>
      <w:r>
        <w:t xml:space="preserve"> včetně stanovení konkrétních cílů této spolupráce</w:t>
      </w:r>
      <w:r w:rsidR="00E773E3">
        <w:t>,</w:t>
      </w:r>
      <w:r w:rsidR="009B66B5">
        <w:t xml:space="preserve"> a k </w:t>
      </w:r>
      <w:r>
        <w:t>vytvoření či zefektivnění interních systémů</w:t>
      </w:r>
      <w:r w:rsidR="009B66B5">
        <w:t xml:space="preserve"> a </w:t>
      </w:r>
      <w:r>
        <w:t>pravidel motivujících výzkumné pracovníky</w:t>
      </w:r>
      <w:r w:rsidR="009B66B5">
        <w:t xml:space="preserve"> k </w:t>
      </w:r>
      <w:r>
        <w:t>zapojení do mezinárodní spolupráce. Snahou je rovněž stimulovat výzkumné organizace</w:t>
      </w:r>
      <w:r w:rsidR="009B66B5">
        <w:t xml:space="preserve"> k </w:t>
      </w:r>
      <w:r>
        <w:t>rozvoji zázemí pro administrativní podporu výzkumných týmů</w:t>
      </w:r>
      <w:r w:rsidR="009B66B5">
        <w:t xml:space="preserve"> a </w:t>
      </w:r>
      <w:r>
        <w:t>výzkumníků při přípravě</w:t>
      </w:r>
      <w:r w:rsidR="009B66B5">
        <w:t xml:space="preserve"> a </w:t>
      </w:r>
      <w:r>
        <w:t>realizaci mezinárodních projektů</w:t>
      </w:r>
      <w:r w:rsidR="00E249E0">
        <w:t xml:space="preserve"> VaVaI</w:t>
      </w:r>
      <w:r>
        <w:t>.</w:t>
      </w:r>
      <w:r w:rsidR="00FA2E14" w:rsidRPr="00FA2E14">
        <w:t xml:space="preserve"> </w:t>
      </w:r>
    </w:p>
    <w:p w14:paraId="3238659D" w14:textId="072AEEA9" w:rsidR="00E11B4F" w:rsidRDefault="00542948" w:rsidP="00E11B4F">
      <w:pPr>
        <w:pStyle w:val="Odstavecseseznamem"/>
        <w:numPr>
          <w:ilvl w:val="0"/>
          <w:numId w:val="31"/>
        </w:numPr>
        <w:spacing w:after="240"/>
        <w:ind w:left="567" w:hanging="567"/>
        <w:rPr>
          <w:lang w:eastAsia="cs-CZ"/>
        </w:rPr>
      </w:pPr>
      <w:r>
        <w:t xml:space="preserve">V návaznosti na </w:t>
      </w:r>
      <w:r w:rsidR="00AB7E58">
        <w:t xml:space="preserve">hodnocení výzkumných organizací akcentovat </w:t>
      </w:r>
      <w:r w:rsidR="00C166A5">
        <w:t>rozsah</w:t>
      </w:r>
      <w:r w:rsidR="009B66B5">
        <w:t xml:space="preserve"> a </w:t>
      </w:r>
      <w:r w:rsidR="00C166A5">
        <w:t>kvalitu mezinárodní spolupráce</w:t>
      </w:r>
      <w:r w:rsidR="009B66B5">
        <w:t xml:space="preserve"> v </w:t>
      </w:r>
      <w:r w:rsidR="00C166A5">
        <w:t xml:space="preserve">mechanismech rozdělování </w:t>
      </w:r>
      <w:r w:rsidR="009265FC">
        <w:t xml:space="preserve">podpory na dlouhodobý koncepční rozvoj výzkumné organizace (institucionální podpory). </w:t>
      </w:r>
      <w:r w:rsidR="009B66B5">
        <w:t xml:space="preserve"> v </w:t>
      </w:r>
    </w:p>
    <w:p w14:paraId="389F0E94" w14:textId="77777777" w:rsidR="00E11B4F" w:rsidRPr="007D4A55" w:rsidRDefault="00E11B4F" w:rsidP="00E11B4F">
      <w:pPr>
        <w:pStyle w:val="Odstavecseseznamem"/>
        <w:numPr>
          <w:ilvl w:val="0"/>
          <w:numId w:val="31"/>
        </w:numPr>
        <w:spacing w:after="240"/>
        <w:ind w:left="567" w:hanging="567"/>
        <w:rPr>
          <w:b/>
          <w:bCs/>
        </w:rPr>
      </w:pPr>
      <w:r w:rsidRPr="00E01971">
        <w:t>Posílit možnosti podpory excelentních projektů, kt</w:t>
      </w:r>
      <w:r w:rsidR="00504BE0">
        <w:t>eré nedosáhly na financování</w:t>
      </w:r>
      <w:r w:rsidR="009B66B5">
        <w:t xml:space="preserve"> z </w:t>
      </w:r>
      <w:r w:rsidR="00E249E0">
        <w:t>RP</w:t>
      </w:r>
      <w:r>
        <w:t>, ale získaly</w:t>
      </w:r>
      <w:r w:rsidR="00E249E0">
        <w:t xml:space="preserve"> status</w:t>
      </w:r>
      <w:r>
        <w:t xml:space="preserve"> </w:t>
      </w:r>
      <w:r w:rsidRPr="00C977B3">
        <w:rPr>
          <w:b/>
          <w:bCs/>
        </w:rPr>
        <w:t>Seal of Excellence</w:t>
      </w:r>
      <w:r>
        <w:t>. Nastavení takovéto podpory by mělo být co nejvíce přívětivé</w:t>
      </w:r>
      <w:r w:rsidR="009B66B5">
        <w:t xml:space="preserve"> k </w:t>
      </w:r>
      <w:r>
        <w:t>žadatelům, tzn. nemělo by pro ně představovat nadměrnou administrativní nebo jinou zátěž. U vysoce inovačních projekt</w:t>
      </w:r>
      <w:r w:rsidR="00504BE0">
        <w:t xml:space="preserve">ů, jakými projekty podávané do </w:t>
      </w:r>
      <w:r w:rsidR="00E249E0">
        <w:t>RP</w:t>
      </w:r>
      <w:r>
        <w:t xml:space="preserve"> jsou, je velmi důležitá</w:t>
      </w:r>
      <w:r w:rsidR="009B66B5">
        <w:t xml:space="preserve"> i </w:t>
      </w:r>
      <w:r>
        <w:t xml:space="preserve">rychlost schvalovacího procesu </w:t>
      </w:r>
      <w:r w:rsidR="00E773E3">
        <w:t>vedoucího</w:t>
      </w:r>
      <w:r w:rsidR="009B66B5">
        <w:t xml:space="preserve"> k </w:t>
      </w:r>
      <w:r w:rsidR="00E773E3">
        <w:t>poskytnutí podpory</w:t>
      </w:r>
      <w:r w:rsidR="00E249E0">
        <w:t>, tzn., aby období tzv. time-to-grant bylo co nejkratší</w:t>
      </w:r>
      <w:r>
        <w:t>. Je rovněž žádoucí, aby případná podpora byla udělena</w:t>
      </w:r>
      <w:r w:rsidR="009B66B5">
        <w:t xml:space="preserve"> v </w:t>
      </w:r>
      <w:r>
        <w:t>původní výši</w:t>
      </w:r>
      <w:r w:rsidR="00504BE0">
        <w:t>,</w:t>
      </w:r>
      <w:r w:rsidR="009B66B5">
        <w:t xml:space="preserve"> a </w:t>
      </w:r>
      <w:r>
        <w:t>žadatelé tak mohli svůj záměr realizovat</w:t>
      </w:r>
      <w:r w:rsidR="009B66B5">
        <w:t xml:space="preserve"> v </w:t>
      </w:r>
      <w:r>
        <w:t>plném rozsahu. V neposlední řadě by se národní úroveň měla zabývat možnostmi, jak financovat investiční komponentu projektů EIC Accelerator.</w:t>
      </w:r>
    </w:p>
    <w:p w14:paraId="48FF15BD" w14:textId="77777777" w:rsidR="00E11B4F" w:rsidRDefault="00E11B4F" w:rsidP="00E11B4F">
      <w:pPr>
        <w:pStyle w:val="Odstavecseseznamem"/>
        <w:numPr>
          <w:ilvl w:val="0"/>
          <w:numId w:val="31"/>
        </w:numPr>
        <w:spacing w:after="240"/>
        <w:ind w:left="567" w:hanging="567"/>
      </w:pPr>
      <w:r w:rsidRPr="0B611335">
        <w:rPr>
          <w:rFonts w:cs="Calibri"/>
        </w:rPr>
        <w:t>Prozkoumat</w:t>
      </w:r>
      <w:r w:rsidR="009B66B5">
        <w:rPr>
          <w:rFonts w:cs="Calibri"/>
        </w:rPr>
        <w:t xml:space="preserve"> a </w:t>
      </w:r>
      <w:r w:rsidRPr="0B611335">
        <w:rPr>
          <w:rFonts w:cs="Calibri"/>
        </w:rPr>
        <w:t xml:space="preserve">vytvořit </w:t>
      </w:r>
      <w:r w:rsidRPr="000B65B8">
        <w:rPr>
          <w:rFonts w:cs="Calibri"/>
          <w:b/>
          <w:bCs/>
        </w:rPr>
        <w:t>synergická finanční schémata</w:t>
      </w:r>
      <w:r w:rsidR="00504BE0">
        <w:rPr>
          <w:rFonts w:cs="Calibri"/>
        </w:rPr>
        <w:t xml:space="preserve"> nejen Seal of E</w:t>
      </w:r>
      <w:r w:rsidRPr="0B611335">
        <w:rPr>
          <w:rFonts w:cs="Calibri"/>
        </w:rPr>
        <w:t>xcellence, ale</w:t>
      </w:r>
      <w:r w:rsidR="009B66B5">
        <w:rPr>
          <w:rFonts w:cs="Calibri"/>
        </w:rPr>
        <w:t xml:space="preserve"> i </w:t>
      </w:r>
      <w:r w:rsidRPr="0B611335">
        <w:rPr>
          <w:rFonts w:cs="Calibri"/>
        </w:rPr>
        <w:t>další možnosti (</w:t>
      </w:r>
      <w:r w:rsidR="00E249E0">
        <w:rPr>
          <w:rFonts w:cs="Calibri"/>
        </w:rPr>
        <w:t>na</w:t>
      </w:r>
      <w:r w:rsidRPr="0B611335">
        <w:rPr>
          <w:rFonts w:cs="Calibri"/>
        </w:rPr>
        <w:t>př. kumulativní financování, transfer prostředků, downstream synergie), které více podnítí zájem</w:t>
      </w:r>
      <w:r w:rsidR="009B66B5">
        <w:rPr>
          <w:rFonts w:cs="Calibri"/>
        </w:rPr>
        <w:t xml:space="preserve"> o </w:t>
      </w:r>
      <w:r w:rsidRPr="0B611335">
        <w:rPr>
          <w:rFonts w:cs="Calibri"/>
        </w:rPr>
        <w:t>výzvy</w:t>
      </w:r>
      <w:r w:rsidR="009B66B5">
        <w:rPr>
          <w:rFonts w:cs="Calibri"/>
        </w:rPr>
        <w:t xml:space="preserve"> a </w:t>
      </w:r>
      <w:r w:rsidRPr="0B611335">
        <w:rPr>
          <w:rFonts w:cs="Calibri"/>
        </w:rPr>
        <w:t xml:space="preserve">výsledky projektů </w:t>
      </w:r>
      <w:r w:rsidR="00E773E3">
        <w:rPr>
          <w:rFonts w:cs="Calibri"/>
        </w:rPr>
        <w:t>RP</w:t>
      </w:r>
      <w:r w:rsidRPr="0B611335">
        <w:rPr>
          <w:rFonts w:cs="Calibri"/>
        </w:rPr>
        <w:t xml:space="preserve">. </w:t>
      </w:r>
      <w:r>
        <w:rPr>
          <w:rFonts w:cs="Calibri"/>
        </w:rPr>
        <w:t>Stejně jako</w:t>
      </w:r>
      <w:r w:rsidR="009B66B5">
        <w:rPr>
          <w:rFonts w:cs="Calibri"/>
        </w:rPr>
        <w:t xml:space="preserve"> v </w:t>
      </w:r>
      <w:r>
        <w:rPr>
          <w:rFonts w:cs="Calibri"/>
        </w:rPr>
        <w:t>případě Seal of Excellence n</w:t>
      </w:r>
      <w:r>
        <w:t>astavení takovéto podpory by mělo být co nejvíce přívětivé</w:t>
      </w:r>
      <w:r w:rsidR="009B66B5">
        <w:t xml:space="preserve"> k </w:t>
      </w:r>
      <w:r>
        <w:t xml:space="preserve">žadatelům bez nadměrné administrativní nebo jiné zátěže. </w:t>
      </w:r>
    </w:p>
    <w:p w14:paraId="7CF1C28E" w14:textId="77777777" w:rsidR="00E11B4F" w:rsidRPr="00B369BD" w:rsidRDefault="00E11B4F" w:rsidP="00E11B4F">
      <w:pPr>
        <w:pStyle w:val="Odstavecseseznamem"/>
        <w:numPr>
          <w:ilvl w:val="0"/>
          <w:numId w:val="31"/>
        </w:numPr>
        <w:spacing w:after="240"/>
        <w:ind w:left="567" w:hanging="567"/>
      </w:pPr>
      <w:r>
        <w:t xml:space="preserve">Aktivně se zapojit do </w:t>
      </w:r>
      <w:r w:rsidRPr="007530AD">
        <w:rPr>
          <w:b/>
          <w:bCs/>
        </w:rPr>
        <w:t>implementace evropských misí</w:t>
      </w:r>
      <w:r>
        <w:t>, které předpokládá také propojení</w:t>
      </w:r>
      <w:r w:rsidR="009B66B5">
        <w:t xml:space="preserve"> a </w:t>
      </w:r>
      <w:r>
        <w:t>koordinaci národních, regionálních</w:t>
      </w:r>
      <w:r w:rsidR="009B66B5">
        <w:t xml:space="preserve"> a </w:t>
      </w:r>
      <w:r>
        <w:t>lokálních iniciativ přispívajících</w:t>
      </w:r>
      <w:r w:rsidR="009B66B5">
        <w:t xml:space="preserve"> k </w:t>
      </w:r>
      <w:r>
        <w:t>naplnění jejich cílů. S tím souvisí</w:t>
      </w:r>
      <w:r w:rsidR="009B66B5">
        <w:t xml:space="preserve"> i </w:t>
      </w:r>
      <w:r>
        <w:t>snaha</w:t>
      </w:r>
      <w:r w:rsidR="009B66B5">
        <w:t xml:space="preserve"> o </w:t>
      </w:r>
      <w:r>
        <w:t>vytvoření národních odborných struktur pro koordinaci</w:t>
      </w:r>
      <w:r w:rsidR="009B66B5">
        <w:t xml:space="preserve"> a </w:t>
      </w:r>
      <w:r>
        <w:t>implementaci misí.</w:t>
      </w:r>
      <w:r>
        <w:rPr>
          <w:rFonts w:cstheme="minorHAnsi"/>
          <w:b/>
          <w:bCs/>
        </w:rPr>
        <w:t xml:space="preserve"> </w:t>
      </w:r>
    </w:p>
    <w:p w14:paraId="61C1CC0D" w14:textId="77777777" w:rsidR="000F3B9E" w:rsidRPr="002D10A0" w:rsidRDefault="009A1B12" w:rsidP="00E11B4F">
      <w:pPr>
        <w:pStyle w:val="Odstavecseseznamem"/>
        <w:numPr>
          <w:ilvl w:val="0"/>
          <w:numId w:val="31"/>
        </w:numPr>
        <w:spacing w:after="240"/>
        <w:ind w:left="567" w:hanging="567"/>
      </w:pPr>
      <w:r>
        <w:rPr>
          <w:rFonts w:cstheme="minorHAnsi"/>
          <w:b/>
          <w:bCs/>
        </w:rPr>
        <w:t xml:space="preserve">Prioritizovat mezinárodní spolupráci </w:t>
      </w:r>
      <w:r w:rsidR="00A713A6">
        <w:rPr>
          <w:rFonts w:cstheme="minorHAnsi"/>
          <w:b/>
          <w:bCs/>
        </w:rPr>
        <w:t>při tvorbě rozpočtu</w:t>
      </w:r>
      <w:r w:rsidR="00824580">
        <w:rPr>
          <w:rFonts w:cstheme="minorHAnsi"/>
          <w:b/>
          <w:bCs/>
        </w:rPr>
        <w:t xml:space="preserve"> VaVaI včetně zajištění finanční alokace na </w:t>
      </w:r>
      <w:r w:rsidR="003A68E6">
        <w:rPr>
          <w:rFonts w:cstheme="minorHAnsi"/>
          <w:b/>
          <w:bCs/>
        </w:rPr>
        <w:t>zapojení ČR do evropských partnerství</w:t>
      </w:r>
      <w:r w:rsidR="00034F7B">
        <w:rPr>
          <w:rFonts w:cstheme="minorHAnsi"/>
          <w:b/>
          <w:bCs/>
        </w:rPr>
        <w:t xml:space="preserve">. </w:t>
      </w:r>
      <w:r w:rsidR="002A1D89">
        <w:rPr>
          <w:rFonts w:cstheme="minorHAnsi"/>
          <w:b/>
          <w:bCs/>
        </w:rPr>
        <w:t xml:space="preserve">Evropská partnerství </w:t>
      </w:r>
      <w:r w:rsidR="00284B0D">
        <w:rPr>
          <w:rFonts w:cstheme="minorHAnsi"/>
          <w:b/>
          <w:bCs/>
        </w:rPr>
        <w:t>jsou nástrojem mezinárodní spolupráce VaVaI</w:t>
      </w:r>
      <w:r w:rsidR="00B27D9A">
        <w:rPr>
          <w:rFonts w:cstheme="minorHAnsi"/>
          <w:b/>
          <w:bCs/>
        </w:rPr>
        <w:t xml:space="preserve"> </w:t>
      </w:r>
      <w:r w:rsidR="002A1D89">
        <w:rPr>
          <w:rFonts w:cstheme="minorHAnsi"/>
          <w:b/>
          <w:bCs/>
        </w:rPr>
        <w:t>synergicky doplňují</w:t>
      </w:r>
      <w:r w:rsidR="00B27D9A">
        <w:rPr>
          <w:rFonts w:cstheme="minorHAnsi"/>
          <w:b/>
          <w:bCs/>
        </w:rPr>
        <w:t>cí</w:t>
      </w:r>
      <w:r w:rsidR="00D77E5A">
        <w:rPr>
          <w:rFonts w:cstheme="minorHAnsi"/>
          <w:b/>
          <w:bCs/>
        </w:rPr>
        <w:t>m</w:t>
      </w:r>
      <w:r w:rsidR="002A1D89">
        <w:rPr>
          <w:rFonts w:cstheme="minorHAnsi"/>
          <w:b/>
          <w:bCs/>
        </w:rPr>
        <w:t xml:space="preserve"> </w:t>
      </w:r>
      <w:r w:rsidR="00652282">
        <w:rPr>
          <w:rFonts w:cstheme="minorHAnsi"/>
          <w:b/>
          <w:bCs/>
        </w:rPr>
        <w:t xml:space="preserve">RP </w:t>
      </w:r>
      <w:r w:rsidR="007536DA">
        <w:rPr>
          <w:rFonts w:cstheme="minorHAnsi"/>
          <w:b/>
          <w:bCs/>
        </w:rPr>
        <w:t>v</w:t>
      </w:r>
      <w:r w:rsidR="00BC21DC">
        <w:rPr>
          <w:rFonts w:cstheme="minorHAnsi"/>
          <w:b/>
          <w:bCs/>
        </w:rPr>
        <w:t xml:space="preserve">e strategických </w:t>
      </w:r>
      <w:r w:rsidR="002A6C65">
        <w:rPr>
          <w:rFonts w:cstheme="minorHAnsi"/>
          <w:b/>
          <w:bCs/>
        </w:rPr>
        <w:t>oblastech</w:t>
      </w:r>
      <w:r w:rsidR="00BC21DC">
        <w:rPr>
          <w:rFonts w:cstheme="minorHAnsi"/>
          <w:b/>
          <w:bCs/>
        </w:rPr>
        <w:t xml:space="preserve"> ERA</w:t>
      </w:r>
      <w:r w:rsidR="00A85444">
        <w:rPr>
          <w:rFonts w:cstheme="minorHAnsi"/>
          <w:b/>
          <w:bCs/>
        </w:rPr>
        <w:t>.</w:t>
      </w:r>
      <w:r w:rsidR="00BC21DC">
        <w:rPr>
          <w:rFonts w:cstheme="minorHAnsi"/>
          <w:b/>
          <w:bCs/>
        </w:rPr>
        <w:t xml:space="preserve"> </w:t>
      </w:r>
    </w:p>
    <w:p w14:paraId="62BE0256" w14:textId="77777777" w:rsidR="00E11B4F" w:rsidRPr="00567E33" w:rsidRDefault="00E11B4F" w:rsidP="00E11B4F">
      <w:pPr>
        <w:pStyle w:val="Odstavecseseznamem"/>
        <w:numPr>
          <w:ilvl w:val="0"/>
          <w:numId w:val="31"/>
        </w:numPr>
        <w:spacing w:after="240"/>
        <w:ind w:left="567" w:hanging="567"/>
        <w:rPr>
          <w:lang w:eastAsia="cs-CZ"/>
        </w:rPr>
      </w:pPr>
      <w:r w:rsidRPr="00567E33">
        <w:rPr>
          <w:lang w:eastAsia="cs-CZ"/>
        </w:rPr>
        <w:lastRenderedPageBreak/>
        <w:t xml:space="preserve">Získat </w:t>
      </w:r>
      <w:r w:rsidRPr="00912A86">
        <w:rPr>
          <w:b/>
          <w:bCs/>
          <w:lang w:eastAsia="cs-CZ"/>
        </w:rPr>
        <w:t>genderově segregovaná data</w:t>
      </w:r>
      <w:r w:rsidR="009B66B5">
        <w:rPr>
          <w:lang w:eastAsia="cs-CZ"/>
        </w:rPr>
        <w:t xml:space="preserve"> k </w:t>
      </w:r>
      <w:r w:rsidRPr="00567E33">
        <w:rPr>
          <w:lang w:eastAsia="cs-CZ"/>
        </w:rPr>
        <w:t xml:space="preserve">problematice neúčasti </w:t>
      </w:r>
      <w:r>
        <w:rPr>
          <w:lang w:eastAsia="cs-CZ"/>
        </w:rPr>
        <w:t>výzkumníků</w:t>
      </w:r>
      <w:r w:rsidR="009B66B5">
        <w:rPr>
          <w:lang w:eastAsia="cs-CZ"/>
        </w:rPr>
        <w:t xml:space="preserve"> a </w:t>
      </w:r>
      <w:r>
        <w:rPr>
          <w:lang w:eastAsia="cs-CZ"/>
        </w:rPr>
        <w:t>výzkumnic</w:t>
      </w:r>
      <w:r w:rsidR="009B66B5">
        <w:rPr>
          <w:lang w:eastAsia="cs-CZ"/>
        </w:rPr>
        <w:t xml:space="preserve"> v </w:t>
      </w:r>
      <w:r w:rsidR="00C44522">
        <w:rPr>
          <w:lang w:eastAsia="cs-CZ"/>
        </w:rPr>
        <w:t>RP</w:t>
      </w:r>
      <w:r>
        <w:rPr>
          <w:lang w:eastAsia="cs-CZ"/>
        </w:rPr>
        <w:t>, která umožní identifikovat spe</w:t>
      </w:r>
      <w:r w:rsidR="00504BE0">
        <w:rPr>
          <w:lang w:eastAsia="cs-CZ"/>
        </w:rPr>
        <w:t>cifické příčiny nízkého zapojení</w:t>
      </w:r>
      <w:r>
        <w:rPr>
          <w:lang w:eastAsia="cs-CZ"/>
        </w:rPr>
        <w:t xml:space="preserve"> výzkumníků</w:t>
      </w:r>
      <w:r w:rsidR="009B66B5">
        <w:rPr>
          <w:lang w:eastAsia="cs-CZ"/>
        </w:rPr>
        <w:t xml:space="preserve"> a </w:t>
      </w:r>
      <w:r>
        <w:rPr>
          <w:lang w:eastAsia="cs-CZ"/>
        </w:rPr>
        <w:t>výzkumnic</w:t>
      </w:r>
      <w:r w:rsidR="009B66B5">
        <w:rPr>
          <w:lang w:eastAsia="cs-CZ"/>
        </w:rPr>
        <w:t xml:space="preserve"> v </w:t>
      </w:r>
      <w:r>
        <w:rPr>
          <w:lang w:eastAsia="cs-CZ"/>
        </w:rPr>
        <w:t>projektech</w:t>
      </w:r>
      <w:r w:rsidR="009B66B5">
        <w:rPr>
          <w:lang w:eastAsia="cs-CZ"/>
        </w:rPr>
        <w:t xml:space="preserve"> a </w:t>
      </w:r>
      <w:r>
        <w:rPr>
          <w:lang w:eastAsia="cs-CZ"/>
        </w:rPr>
        <w:t>projektových návrzích Horizont</w:t>
      </w:r>
      <w:r w:rsidR="00C44522">
        <w:rPr>
          <w:lang w:eastAsia="cs-CZ"/>
        </w:rPr>
        <w:t>u</w:t>
      </w:r>
      <w:r>
        <w:rPr>
          <w:lang w:eastAsia="cs-CZ"/>
        </w:rPr>
        <w:t xml:space="preserve"> Evropa. </w:t>
      </w:r>
    </w:p>
    <w:p w14:paraId="2E6C817F" w14:textId="77777777" w:rsidR="00E11B4F" w:rsidRDefault="00E11B4F" w:rsidP="00E11B4F">
      <w:pPr>
        <w:pStyle w:val="Odstavecseseznamem"/>
        <w:numPr>
          <w:ilvl w:val="0"/>
          <w:numId w:val="31"/>
        </w:numPr>
        <w:spacing w:after="240"/>
        <w:ind w:left="567" w:hanging="567"/>
        <w:rPr>
          <w:lang w:eastAsia="cs-CZ"/>
        </w:rPr>
      </w:pPr>
      <w:r w:rsidRPr="00567E33">
        <w:rPr>
          <w:lang w:eastAsia="cs-CZ"/>
        </w:rPr>
        <w:t xml:space="preserve">Zmapovat problematiku </w:t>
      </w:r>
      <w:r w:rsidRPr="00145A38">
        <w:rPr>
          <w:b/>
          <w:bCs/>
          <w:lang w:eastAsia="cs-CZ"/>
        </w:rPr>
        <w:t>nastavení sociálního systému</w:t>
      </w:r>
      <w:r w:rsidR="009B66B5">
        <w:rPr>
          <w:b/>
          <w:bCs/>
          <w:lang w:eastAsia="cs-CZ"/>
        </w:rPr>
        <w:t xml:space="preserve"> a </w:t>
      </w:r>
      <w:r w:rsidRPr="00145A38">
        <w:rPr>
          <w:b/>
          <w:bCs/>
          <w:lang w:eastAsia="cs-CZ"/>
        </w:rPr>
        <w:t>odchozích výzkumníků</w:t>
      </w:r>
      <w:r w:rsidR="009B66B5">
        <w:rPr>
          <w:b/>
          <w:bCs/>
          <w:lang w:eastAsia="cs-CZ"/>
        </w:rPr>
        <w:t xml:space="preserve"> a </w:t>
      </w:r>
      <w:r w:rsidRPr="00145A38">
        <w:rPr>
          <w:b/>
          <w:bCs/>
          <w:lang w:eastAsia="cs-CZ"/>
        </w:rPr>
        <w:t>výzkumnic</w:t>
      </w:r>
      <w:r w:rsidRPr="00567E33">
        <w:rPr>
          <w:lang w:eastAsia="cs-CZ"/>
        </w:rPr>
        <w:t xml:space="preserve"> (včetně problematiky rodičovství). Vypracovat návrhy</w:t>
      </w:r>
      <w:r w:rsidR="009B66B5">
        <w:rPr>
          <w:lang w:eastAsia="cs-CZ"/>
        </w:rPr>
        <w:t xml:space="preserve"> s </w:t>
      </w:r>
      <w:r w:rsidRPr="00567E33">
        <w:rPr>
          <w:lang w:eastAsia="cs-CZ"/>
        </w:rPr>
        <w:t>cílem zpřehlednit systém, odstranit bariéry</w:t>
      </w:r>
      <w:r w:rsidR="009B66B5">
        <w:rPr>
          <w:lang w:eastAsia="cs-CZ"/>
        </w:rPr>
        <w:t xml:space="preserve"> a </w:t>
      </w:r>
      <w:r w:rsidRPr="00567E33">
        <w:rPr>
          <w:lang w:eastAsia="cs-CZ"/>
        </w:rPr>
        <w:t>zajistit kvalitní podmínky pro migrující rodiče ve vědě. </w:t>
      </w:r>
    </w:p>
    <w:p w14:paraId="13B0C054" w14:textId="77777777" w:rsidR="00E11B4F" w:rsidRDefault="00E11B4F" w:rsidP="00E11B4F"/>
    <w:p w14:paraId="7ECF0C29" w14:textId="77777777" w:rsidR="00E11B4F" w:rsidRPr="007D4A55" w:rsidRDefault="00E11B4F" w:rsidP="00E11B4F">
      <w:pPr>
        <w:keepNext/>
        <w:rPr>
          <w:b/>
          <w:bCs/>
        </w:rPr>
      </w:pPr>
      <w:r w:rsidRPr="007D4A55">
        <w:rPr>
          <w:b/>
          <w:bCs/>
        </w:rPr>
        <w:t>Institucionální úroveň</w:t>
      </w:r>
    </w:p>
    <w:p w14:paraId="68128331" w14:textId="77777777" w:rsidR="00E11B4F" w:rsidRDefault="00E11B4F" w:rsidP="00E11B4F">
      <w:pPr>
        <w:pStyle w:val="Odstavecseseznamem"/>
        <w:numPr>
          <w:ilvl w:val="0"/>
          <w:numId w:val="32"/>
        </w:numPr>
        <w:spacing w:after="240"/>
        <w:ind w:hanging="720"/>
      </w:pPr>
      <w:r>
        <w:t xml:space="preserve">Vytvořit </w:t>
      </w:r>
      <w:r w:rsidRPr="00E6637C">
        <w:rPr>
          <w:b/>
          <w:bCs/>
        </w:rPr>
        <w:t xml:space="preserve">interní strategie pro internacionalizaci </w:t>
      </w:r>
      <w:r w:rsidR="00C44522">
        <w:rPr>
          <w:b/>
          <w:bCs/>
        </w:rPr>
        <w:t>VaVaI</w:t>
      </w:r>
      <w:r>
        <w:t>, jejíž součástí budou cíle</w:t>
      </w:r>
      <w:r w:rsidR="009B66B5">
        <w:t xml:space="preserve"> a </w:t>
      </w:r>
      <w:r>
        <w:t>opatření</w:t>
      </w:r>
      <w:r w:rsidR="009B66B5">
        <w:t xml:space="preserve"> v </w:t>
      </w:r>
      <w:r>
        <w:t>oblasti mezinárodní spolupráce. Existence takových strategií</w:t>
      </w:r>
      <w:r w:rsidR="009B66B5">
        <w:t xml:space="preserve"> a </w:t>
      </w:r>
      <w:r>
        <w:t>jejich efektivní implementace je důležitým impulsem pro strategický rozvoj mezinárodní spolupráce výzkumných organizací, rozvoj mezinárodních partnerství</w:t>
      </w:r>
      <w:r w:rsidR="009B66B5">
        <w:t xml:space="preserve"> a </w:t>
      </w:r>
      <w:r>
        <w:t>stimulem pro karierní rozvoj výzkumníků.</w:t>
      </w:r>
    </w:p>
    <w:p w14:paraId="293FEA36" w14:textId="77777777" w:rsidR="00E11B4F" w:rsidRDefault="00E11B4F" w:rsidP="00E11B4F">
      <w:pPr>
        <w:pStyle w:val="Odstavecseseznamem"/>
        <w:numPr>
          <w:ilvl w:val="0"/>
          <w:numId w:val="32"/>
        </w:numPr>
        <w:spacing w:after="240"/>
        <w:ind w:hanging="720"/>
      </w:pPr>
      <w:r>
        <w:t>Zařadit zapojení do mezinárodní výzkumné spolupráce</w:t>
      </w:r>
      <w:r w:rsidR="009B66B5">
        <w:t xml:space="preserve"> i </w:t>
      </w:r>
      <w:r>
        <w:t xml:space="preserve">do </w:t>
      </w:r>
      <w:r w:rsidRPr="00F840AC">
        <w:rPr>
          <w:b/>
          <w:bCs/>
        </w:rPr>
        <w:t>hodnocení výzkumných pracovníků</w:t>
      </w:r>
      <w:r w:rsidR="009B66B5">
        <w:t xml:space="preserve"> a </w:t>
      </w:r>
      <w:r>
        <w:t>do jejich plánů karierního rozvoje.</w:t>
      </w:r>
    </w:p>
    <w:p w14:paraId="1408D351" w14:textId="77777777" w:rsidR="00E11B4F" w:rsidRDefault="00E11B4F" w:rsidP="00E11B4F">
      <w:pPr>
        <w:pStyle w:val="Odstavecseseznamem"/>
        <w:numPr>
          <w:ilvl w:val="0"/>
          <w:numId w:val="32"/>
        </w:numPr>
        <w:spacing w:after="240"/>
        <w:ind w:hanging="720"/>
      </w:pPr>
      <w:r>
        <w:t xml:space="preserve">Vyčlenit </w:t>
      </w:r>
      <w:r w:rsidRPr="00E372F8">
        <w:rPr>
          <w:b/>
          <w:bCs/>
        </w:rPr>
        <w:t>finanční prostředky pro přípravu</w:t>
      </w:r>
      <w:r w:rsidR="009B66B5">
        <w:rPr>
          <w:b/>
          <w:bCs/>
        </w:rPr>
        <w:t xml:space="preserve"> a </w:t>
      </w:r>
      <w:r w:rsidRPr="00E372F8">
        <w:rPr>
          <w:b/>
          <w:bCs/>
        </w:rPr>
        <w:t>administraci mezinárodních projektů</w:t>
      </w:r>
      <w:r>
        <w:t xml:space="preserve">. </w:t>
      </w:r>
    </w:p>
    <w:p w14:paraId="319F78A8" w14:textId="77777777" w:rsidR="00E11B4F" w:rsidRDefault="00E11B4F" w:rsidP="00E11B4F">
      <w:pPr>
        <w:pStyle w:val="Odstavecseseznamem"/>
        <w:numPr>
          <w:ilvl w:val="0"/>
          <w:numId w:val="32"/>
        </w:numPr>
        <w:spacing w:after="240"/>
        <w:ind w:hanging="720"/>
        <w:rPr>
          <w:lang w:eastAsia="cs-CZ"/>
        </w:rPr>
      </w:pPr>
      <w:r>
        <w:rPr>
          <w:lang w:eastAsia="cs-CZ"/>
        </w:rPr>
        <w:t>V</w:t>
      </w:r>
      <w:r w:rsidRPr="001E221F">
        <w:rPr>
          <w:lang w:eastAsia="cs-CZ"/>
        </w:rPr>
        <w:t>yuží</w:t>
      </w:r>
      <w:r>
        <w:rPr>
          <w:lang w:eastAsia="cs-CZ"/>
        </w:rPr>
        <w:t>vat</w:t>
      </w:r>
      <w:r w:rsidRPr="001E221F">
        <w:rPr>
          <w:lang w:eastAsia="cs-CZ"/>
        </w:rPr>
        <w:t xml:space="preserve"> existujících </w:t>
      </w:r>
      <w:r w:rsidRPr="00D241BE">
        <w:rPr>
          <w:b/>
          <w:bCs/>
          <w:lang w:eastAsia="cs-CZ"/>
        </w:rPr>
        <w:t>nástrojů „Widening“</w:t>
      </w:r>
      <w:r w:rsidRPr="001E221F">
        <w:rPr>
          <w:lang w:eastAsia="cs-CZ"/>
        </w:rPr>
        <w:t xml:space="preserve"> pro intenzivnější zapojení do mezinárodní spolupráce</w:t>
      </w:r>
      <w:r w:rsidR="009B66B5">
        <w:rPr>
          <w:lang w:eastAsia="cs-CZ"/>
        </w:rPr>
        <w:t xml:space="preserve"> s </w:t>
      </w:r>
      <w:r w:rsidRPr="001E221F">
        <w:rPr>
          <w:lang w:eastAsia="cs-CZ"/>
        </w:rPr>
        <w:t>kvalitními zahraničními institucemi</w:t>
      </w:r>
      <w:r w:rsidR="009B66B5">
        <w:rPr>
          <w:lang w:eastAsia="cs-CZ"/>
        </w:rPr>
        <w:t xml:space="preserve"> a </w:t>
      </w:r>
      <w:r w:rsidRPr="001E221F">
        <w:rPr>
          <w:lang w:eastAsia="cs-CZ"/>
        </w:rPr>
        <w:t>pro zkvalitnění kapacit pro řízení výzkumu na zdejších institucích</w:t>
      </w:r>
      <w:r>
        <w:rPr>
          <w:lang w:eastAsia="cs-CZ"/>
        </w:rPr>
        <w:t>.</w:t>
      </w:r>
    </w:p>
    <w:p w14:paraId="4DE4A1A4" w14:textId="77777777" w:rsidR="00477363" w:rsidRPr="00A427EE" w:rsidRDefault="0002746A" w:rsidP="00E11B4F">
      <w:pPr>
        <w:pStyle w:val="Odstavecseseznamem"/>
        <w:numPr>
          <w:ilvl w:val="0"/>
          <w:numId w:val="32"/>
        </w:numPr>
        <w:spacing w:after="240"/>
        <w:ind w:hanging="720"/>
        <w:rPr>
          <w:lang w:eastAsia="cs-CZ"/>
        </w:rPr>
      </w:pPr>
      <w:r>
        <w:rPr>
          <w:lang w:eastAsia="cs-CZ"/>
        </w:rPr>
        <w:t>V</w:t>
      </w:r>
      <w:r w:rsidR="00EC3D4A">
        <w:rPr>
          <w:lang w:eastAsia="cs-CZ"/>
        </w:rPr>
        <w:t> </w:t>
      </w:r>
      <w:r>
        <w:rPr>
          <w:lang w:eastAsia="cs-CZ"/>
        </w:rPr>
        <w:t>oblasti podpory žadatelů</w:t>
      </w:r>
      <w:r w:rsidR="009B66B5">
        <w:rPr>
          <w:lang w:eastAsia="cs-CZ"/>
        </w:rPr>
        <w:t xml:space="preserve"> o </w:t>
      </w:r>
      <w:r>
        <w:rPr>
          <w:lang w:eastAsia="cs-CZ"/>
        </w:rPr>
        <w:t xml:space="preserve">ERC granty </w:t>
      </w:r>
      <w:r w:rsidR="00A312A0">
        <w:rPr>
          <w:lang w:eastAsia="cs-CZ"/>
        </w:rPr>
        <w:t xml:space="preserve">reflektovat </w:t>
      </w:r>
      <w:hyperlink r:id="rId52" w:history="1">
        <w:r w:rsidR="00A312A0" w:rsidRPr="00F2645E">
          <w:rPr>
            <w:rStyle w:val="Hypertextovodkaz"/>
            <w:b/>
            <w:bCs/>
            <w:color w:val="auto"/>
            <w:lang w:eastAsia="cs-CZ"/>
          </w:rPr>
          <w:t xml:space="preserve">Strategická doporučení </w:t>
        </w:r>
        <w:r w:rsidR="008E12CA" w:rsidRPr="00F2645E">
          <w:rPr>
            <w:rStyle w:val="Hypertextovodkaz"/>
            <w:b/>
            <w:bCs/>
            <w:color w:val="auto"/>
            <w:lang w:eastAsia="cs-CZ"/>
          </w:rPr>
          <w:t>pro podp</w:t>
        </w:r>
        <w:r w:rsidR="0037269D" w:rsidRPr="00F2645E">
          <w:rPr>
            <w:rStyle w:val="Hypertextovodkaz"/>
            <w:b/>
            <w:bCs/>
            <w:color w:val="auto"/>
            <w:lang w:eastAsia="cs-CZ"/>
          </w:rPr>
          <w:t>oru žadatelů</w:t>
        </w:r>
        <w:r w:rsidR="009B66B5">
          <w:rPr>
            <w:rStyle w:val="Hypertextovodkaz"/>
            <w:b/>
            <w:bCs/>
            <w:color w:val="auto"/>
            <w:lang w:eastAsia="cs-CZ"/>
          </w:rPr>
          <w:t xml:space="preserve"> o </w:t>
        </w:r>
        <w:r w:rsidR="0037269D" w:rsidRPr="00F2645E">
          <w:rPr>
            <w:rStyle w:val="Hypertextovodkaz"/>
            <w:b/>
            <w:bCs/>
            <w:color w:val="auto"/>
            <w:lang w:eastAsia="cs-CZ"/>
          </w:rPr>
          <w:t>granty ERC</w:t>
        </w:r>
      </w:hyperlink>
      <w:r w:rsidR="0037269D">
        <w:rPr>
          <w:lang w:eastAsia="cs-CZ"/>
        </w:rPr>
        <w:t xml:space="preserve"> na </w:t>
      </w:r>
      <w:r w:rsidR="00500D74">
        <w:rPr>
          <w:lang w:eastAsia="cs-CZ"/>
        </w:rPr>
        <w:t>institucionální</w:t>
      </w:r>
      <w:r w:rsidR="009B66B5">
        <w:rPr>
          <w:lang w:eastAsia="cs-CZ"/>
        </w:rPr>
        <w:t xml:space="preserve"> a </w:t>
      </w:r>
      <w:r w:rsidR="00500D74">
        <w:rPr>
          <w:lang w:eastAsia="cs-CZ"/>
        </w:rPr>
        <w:t>národní úrovni</w:t>
      </w:r>
      <w:r w:rsidR="00CD6E2F">
        <w:rPr>
          <w:lang w:eastAsia="cs-CZ"/>
        </w:rPr>
        <w:t xml:space="preserve">, dostupné na </w:t>
      </w:r>
      <w:hyperlink r:id="rId53" w:history="1">
        <w:r w:rsidR="00CD6E2F" w:rsidRPr="00F2645E">
          <w:rPr>
            <w:rStyle w:val="Hypertextovodkaz"/>
            <w:color w:val="auto"/>
            <w:lang w:eastAsia="cs-CZ"/>
          </w:rPr>
          <w:t>stránce</w:t>
        </w:r>
      </w:hyperlink>
      <w:r w:rsidR="00CD6E2F">
        <w:rPr>
          <w:lang w:eastAsia="cs-CZ"/>
        </w:rPr>
        <w:t xml:space="preserve"> </w:t>
      </w:r>
      <w:r w:rsidR="00D4135D">
        <w:rPr>
          <w:lang w:eastAsia="cs-CZ"/>
        </w:rPr>
        <w:t>Expertní skupiny na podporu žadatelů</w:t>
      </w:r>
      <w:r w:rsidR="00D379DF">
        <w:rPr>
          <w:lang w:eastAsia="cs-CZ"/>
        </w:rPr>
        <w:t>.</w:t>
      </w:r>
    </w:p>
    <w:p w14:paraId="5719FDE6" w14:textId="77777777" w:rsidR="00E11B4F" w:rsidRPr="007D4A55" w:rsidRDefault="00E11B4F" w:rsidP="00E11B4F">
      <w:pPr>
        <w:pStyle w:val="Nadpis2"/>
      </w:pPr>
      <w:bookmarkStart w:id="85" w:name="_Toc114572361"/>
      <w:r w:rsidRPr="007D4A55">
        <w:t xml:space="preserve">Doporučení </w:t>
      </w:r>
      <w:r>
        <w:t>pro</w:t>
      </w:r>
      <w:r w:rsidRPr="007D4A55">
        <w:t xml:space="preserve"> </w:t>
      </w:r>
      <w:r>
        <w:t xml:space="preserve">usnadnění </w:t>
      </w:r>
      <w:r w:rsidRPr="007D4A55">
        <w:t>ADMINISTRATIVY projektů</w:t>
      </w:r>
      <w:bookmarkEnd w:id="85"/>
    </w:p>
    <w:p w14:paraId="1B2E3AEC" w14:textId="77777777" w:rsidR="00E11B4F" w:rsidRDefault="00E11B4F" w:rsidP="00E11B4F">
      <w:pPr>
        <w:rPr>
          <w:b/>
          <w:bCs/>
        </w:rPr>
      </w:pPr>
      <w:r w:rsidRPr="46C399FA">
        <w:rPr>
          <w:b/>
          <w:bCs/>
        </w:rPr>
        <w:t>Národní úroveň</w:t>
      </w:r>
    </w:p>
    <w:p w14:paraId="57972575" w14:textId="77777777" w:rsidR="00E11B4F" w:rsidRDefault="00E11B4F" w:rsidP="00E11B4F">
      <w:pPr>
        <w:pStyle w:val="Odstavecseseznamem"/>
        <w:numPr>
          <w:ilvl w:val="0"/>
          <w:numId w:val="31"/>
        </w:numPr>
        <w:spacing w:after="240"/>
        <w:ind w:left="567" w:hanging="567"/>
      </w:pPr>
      <w:r>
        <w:t xml:space="preserve">Zvážit možnosti </w:t>
      </w:r>
      <w:r w:rsidRPr="42EDE155">
        <w:rPr>
          <w:b/>
          <w:bCs/>
        </w:rPr>
        <w:t xml:space="preserve">harmonizace </w:t>
      </w:r>
      <w:r>
        <w:t>administrativních</w:t>
      </w:r>
      <w:r w:rsidR="009B66B5">
        <w:t xml:space="preserve"> a </w:t>
      </w:r>
      <w:r>
        <w:t>finančních pravidel (jednotná pravidla) napříč poskytovateli</w:t>
      </w:r>
      <w:r w:rsidR="00EC3D4A">
        <w:t xml:space="preserve"> u prototypově relevantních dotačních titulů</w:t>
      </w:r>
      <w:r>
        <w:t>. V této souvislosti je současně účelné využít</w:t>
      </w:r>
      <w:r w:rsidRPr="004E6375">
        <w:rPr>
          <w:b/>
          <w:bCs/>
        </w:rPr>
        <w:t xml:space="preserve"> </w:t>
      </w:r>
      <w:r w:rsidRPr="004E6375">
        <w:t xml:space="preserve">administrativní pravidla </w:t>
      </w:r>
      <w:r w:rsidR="00EC3D4A">
        <w:t>RP</w:t>
      </w:r>
      <w:r w:rsidRPr="004E6375">
        <w:t xml:space="preserve"> jako příkladů dobré praxe</w:t>
      </w:r>
      <w:r w:rsidRPr="42EDE155">
        <w:rPr>
          <w:b/>
          <w:bCs/>
        </w:rPr>
        <w:t xml:space="preserve"> </w:t>
      </w:r>
      <w:r>
        <w:t>pro programy národních poskytovatelů (např. zjednodušené prokázání způsobilosti uchazeče, vypracování společné vzorové zadávací dokumentace, využití jednoho informačního systému, sjednocení smluv</w:t>
      </w:r>
      <w:r w:rsidR="009B66B5">
        <w:t xml:space="preserve"> a </w:t>
      </w:r>
      <w:r>
        <w:t>vypracování vzorových smluv, sjednocení požadavků pro předkládání zpráv</w:t>
      </w:r>
      <w:r w:rsidR="009B66B5">
        <w:t xml:space="preserve"> o </w:t>
      </w:r>
      <w:r>
        <w:t>řešení projektů, nastavení jednotného</w:t>
      </w:r>
      <w:r w:rsidR="009B66B5">
        <w:t xml:space="preserve"> a </w:t>
      </w:r>
      <w:r>
        <w:t xml:space="preserve">předem jasného přístupu kontrolních orgánů). </w:t>
      </w:r>
    </w:p>
    <w:p w14:paraId="5C84DC68" w14:textId="77777777" w:rsidR="00E11B4F" w:rsidRDefault="00E11B4F" w:rsidP="00E11B4F">
      <w:pPr>
        <w:pStyle w:val="Odstavecseseznamem"/>
        <w:numPr>
          <w:ilvl w:val="0"/>
          <w:numId w:val="31"/>
        </w:numPr>
        <w:spacing w:after="240"/>
        <w:ind w:left="567" w:hanging="567"/>
      </w:pPr>
      <w:r>
        <w:t>Ini</w:t>
      </w:r>
      <w:r w:rsidR="00392004">
        <w:t>ciovat konkrétní kroky vedoucí</w:t>
      </w:r>
      <w:r w:rsidR="009B66B5">
        <w:t xml:space="preserve"> k </w:t>
      </w:r>
      <w:r w:rsidRPr="42EDE155">
        <w:rPr>
          <w:b/>
          <w:bCs/>
        </w:rPr>
        <w:t>eliminaci nejednotného přístupu národních poskytovatelů ke stanovení výše způsobilých osobních nákladů</w:t>
      </w:r>
      <w:r w:rsidR="009B66B5">
        <w:t xml:space="preserve"> v </w:t>
      </w:r>
      <w:r>
        <w:t xml:space="preserve">projektech účelové podpory, (jako nejvíce konsensuální řešení se jeví určení výše způsobilých osobních nákladů shodně pro všechny poskytovatele dle interních pravidel příjemce).  </w:t>
      </w:r>
    </w:p>
    <w:p w14:paraId="700878FD" w14:textId="77777777" w:rsidR="00E11B4F" w:rsidRDefault="00E11B4F" w:rsidP="00E11B4F">
      <w:pPr>
        <w:pStyle w:val="Odstavecseseznamem"/>
        <w:numPr>
          <w:ilvl w:val="0"/>
          <w:numId w:val="31"/>
        </w:numPr>
        <w:spacing w:after="240"/>
        <w:ind w:left="567" w:hanging="567"/>
      </w:pPr>
      <w:r>
        <w:lastRenderedPageBreak/>
        <w:t xml:space="preserve">Poskytnout </w:t>
      </w:r>
      <w:r w:rsidRPr="42EDE155">
        <w:rPr>
          <w:b/>
          <w:bCs/>
        </w:rPr>
        <w:t>vzorové znění interních předpisů pro odměňování,</w:t>
      </w:r>
      <w:r>
        <w:t xml:space="preserve"> které by bylo poskytovateli </w:t>
      </w:r>
      <w:r w:rsidR="000968CD">
        <w:br/>
      </w:r>
      <w:r>
        <w:t>a kontrolními orgány akceptovatelné jako podklad pro stanovení způsobilých osobních nákladů dle interních pravidel příjemce,</w:t>
      </w:r>
      <w:r w:rsidR="009B66B5">
        <w:t xml:space="preserve"> a </w:t>
      </w:r>
      <w:r>
        <w:t>to jak na národní úrovni, ta</w:t>
      </w:r>
      <w:r w:rsidR="00392004">
        <w:t>k</w:t>
      </w:r>
      <w:r w:rsidR="009B66B5">
        <w:t xml:space="preserve"> v </w:t>
      </w:r>
      <w:r w:rsidR="00392004">
        <w:t>projektech Horizont</w:t>
      </w:r>
      <w:r w:rsidR="00EC3D4A">
        <w:t>u</w:t>
      </w:r>
      <w:r w:rsidR="00392004">
        <w:t xml:space="preserve"> Evropa;</w:t>
      </w:r>
      <w:r>
        <w:t xml:space="preserve"> ve spolupráci</w:t>
      </w:r>
      <w:r w:rsidR="009B66B5">
        <w:t xml:space="preserve"> s </w:t>
      </w:r>
      <w:r>
        <w:t>Technologickým centrem AV ČR zmapovat situaci</w:t>
      </w:r>
      <w:r w:rsidR="009B66B5">
        <w:t xml:space="preserve"> v </w:t>
      </w:r>
      <w:r>
        <w:t>ČR</w:t>
      </w:r>
      <w:r w:rsidR="009B66B5">
        <w:t xml:space="preserve"> i </w:t>
      </w:r>
      <w:r>
        <w:t>jiných státech EU</w:t>
      </w:r>
      <w:r w:rsidR="00392004">
        <w:t>-</w:t>
      </w:r>
      <w:r>
        <w:t>13</w:t>
      </w:r>
      <w:r w:rsidR="009B66B5">
        <w:t xml:space="preserve"> a</w:t>
      </w:r>
      <w:r w:rsidR="00CF2AFE">
        <w:t> </w:t>
      </w:r>
      <w:r w:rsidR="009B66B5">
        <w:t>v </w:t>
      </w:r>
      <w:r>
        <w:t xml:space="preserve">součinnosti se všemi stakeholdery vytvořit vzorové znění.  </w:t>
      </w:r>
    </w:p>
    <w:p w14:paraId="101681BE" w14:textId="77777777" w:rsidR="00E11B4F" w:rsidRDefault="00E11B4F" w:rsidP="00E11B4F">
      <w:pPr>
        <w:pStyle w:val="Odstavecseseznamem"/>
        <w:numPr>
          <w:ilvl w:val="0"/>
          <w:numId w:val="31"/>
        </w:numPr>
        <w:spacing w:after="240"/>
        <w:ind w:left="567" w:hanging="567"/>
      </w:pPr>
      <w:r>
        <w:t>Sledovat zkušenosti</w:t>
      </w:r>
      <w:r w:rsidR="009B66B5">
        <w:t xml:space="preserve"> s </w:t>
      </w:r>
      <w:r>
        <w:t>využíváním zjednodušených forem financování</w:t>
      </w:r>
      <w:r w:rsidR="009B66B5">
        <w:t xml:space="preserve"> v </w:t>
      </w:r>
      <w:r w:rsidR="00EC3D4A">
        <w:t>RP</w:t>
      </w:r>
      <w:r>
        <w:t xml:space="preserve">, především </w:t>
      </w:r>
      <w:r w:rsidRPr="42EDE155">
        <w:rPr>
          <w:b/>
          <w:bCs/>
        </w:rPr>
        <w:t>lump sum,</w:t>
      </w:r>
      <w:r w:rsidR="009B66B5">
        <w:rPr>
          <w:b/>
          <w:bCs/>
        </w:rPr>
        <w:t xml:space="preserve"> a </w:t>
      </w:r>
      <w:r w:rsidRPr="42EDE155">
        <w:rPr>
          <w:b/>
          <w:bCs/>
        </w:rPr>
        <w:t>prozkoumat možnosti jejich využití</w:t>
      </w:r>
      <w:r w:rsidR="009B66B5">
        <w:rPr>
          <w:b/>
          <w:bCs/>
        </w:rPr>
        <w:t xml:space="preserve"> i v </w:t>
      </w:r>
      <w:r w:rsidRPr="42EDE155">
        <w:rPr>
          <w:b/>
          <w:bCs/>
        </w:rPr>
        <w:t>pravidlech českých poskytovatelů</w:t>
      </w:r>
      <w:r>
        <w:t xml:space="preserve"> –</w:t>
      </w:r>
      <w:r w:rsidR="009B66B5">
        <w:t xml:space="preserve"> v </w:t>
      </w:r>
      <w:r>
        <w:t>případě potřeby iniciovat legislativní změny pro možnost jejich využití</w:t>
      </w:r>
      <w:r w:rsidR="009B66B5">
        <w:t xml:space="preserve"> v </w:t>
      </w:r>
      <w:r>
        <w:t xml:space="preserve">ČR.  </w:t>
      </w:r>
    </w:p>
    <w:p w14:paraId="4A7C0501" w14:textId="77777777" w:rsidR="00E11B4F" w:rsidRDefault="00E11B4F" w:rsidP="00E11B4F">
      <w:pPr>
        <w:pStyle w:val="Odstavecseseznamem"/>
        <w:numPr>
          <w:ilvl w:val="0"/>
          <w:numId w:val="31"/>
        </w:numPr>
        <w:spacing w:after="240"/>
        <w:ind w:left="567" w:hanging="567"/>
      </w:pPr>
      <w:r>
        <w:t>Respektovat již zavedené d</w:t>
      </w:r>
      <w:r w:rsidRPr="42EDE155">
        <w:rPr>
          <w:b/>
          <w:bCs/>
        </w:rPr>
        <w:t xml:space="preserve">obré praxe </w:t>
      </w:r>
      <w:r w:rsidR="003E4489">
        <w:rPr>
          <w:b/>
          <w:bCs/>
        </w:rPr>
        <w:t>RP</w:t>
      </w:r>
      <w:r w:rsidRPr="42EDE155">
        <w:rPr>
          <w:b/>
          <w:bCs/>
        </w:rPr>
        <w:t xml:space="preserve"> pro oblast otevřené vědy</w:t>
      </w:r>
      <w:r w:rsidR="009B66B5">
        <w:rPr>
          <w:b/>
          <w:bCs/>
        </w:rPr>
        <w:t xml:space="preserve"> a </w:t>
      </w:r>
      <w:r w:rsidRPr="42EDE155">
        <w:rPr>
          <w:b/>
          <w:bCs/>
        </w:rPr>
        <w:t>genderové rovnosti</w:t>
      </w:r>
      <w:r>
        <w:t xml:space="preserve"> národními poskytovateli. </w:t>
      </w:r>
    </w:p>
    <w:p w14:paraId="12D8CCEF" w14:textId="77777777" w:rsidR="00E11B4F" w:rsidRPr="007D604F" w:rsidRDefault="00E11B4F" w:rsidP="00E11B4F">
      <w:pPr>
        <w:pStyle w:val="Odstavecseseznamem"/>
        <w:numPr>
          <w:ilvl w:val="0"/>
          <w:numId w:val="31"/>
        </w:numPr>
        <w:spacing w:after="240"/>
        <w:ind w:left="567" w:hanging="567"/>
        <w:rPr>
          <w:lang w:eastAsia="cs-CZ"/>
        </w:rPr>
      </w:pPr>
      <w:r>
        <w:rPr>
          <w:lang w:eastAsia="cs-CZ"/>
        </w:rPr>
        <w:t>Iniciovat diskusi na úrovni Horizont</w:t>
      </w:r>
      <w:r w:rsidR="003E4489">
        <w:rPr>
          <w:lang w:eastAsia="cs-CZ"/>
        </w:rPr>
        <w:t>u</w:t>
      </w:r>
      <w:r>
        <w:rPr>
          <w:lang w:eastAsia="cs-CZ"/>
        </w:rPr>
        <w:t xml:space="preserve"> Evropa</w:t>
      </w:r>
      <w:r w:rsidR="009B66B5">
        <w:rPr>
          <w:lang w:eastAsia="cs-CZ"/>
        </w:rPr>
        <w:t xml:space="preserve"> k </w:t>
      </w:r>
      <w:r>
        <w:rPr>
          <w:lang w:eastAsia="cs-CZ"/>
        </w:rPr>
        <w:t xml:space="preserve">zavedení </w:t>
      </w:r>
      <w:r w:rsidRPr="007D604F">
        <w:rPr>
          <w:lang w:eastAsia="cs-CZ"/>
        </w:rPr>
        <w:t xml:space="preserve">opatření týkajících se </w:t>
      </w:r>
      <w:r w:rsidRPr="00D241BE">
        <w:rPr>
          <w:b/>
          <w:bCs/>
          <w:lang w:eastAsia="cs-CZ"/>
        </w:rPr>
        <w:t xml:space="preserve">genderových podmínek pro realizaci projektů </w:t>
      </w:r>
      <w:r w:rsidR="003E4489">
        <w:rPr>
          <w:b/>
          <w:bCs/>
          <w:lang w:eastAsia="cs-CZ"/>
        </w:rPr>
        <w:t>RP</w:t>
      </w:r>
      <w:r w:rsidR="003E4489">
        <w:rPr>
          <w:lang w:eastAsia="cs-CZ"/>
        </w:rPr>
        <w:t xml:space="preserve"> </w:t>
      </w:r>
      <w:r>
        <w:rPr>
          <w:lang w:eastAsia="cs-CZ"/>
        </w:rPr>
        <w:t>(</w:t>
      </w:r>
      <w:r w:rsidRPr="007D604F">
        <w:rPr>
          <w:lang w:eastAsia="cs-CZ"/>
        </w:rPr>
        <w:t>kariérní přestávky, možnost</w:t>
      </w:r>
      <w:r>
        <w:rPr>
          <w:lang w:eastAsia="cs-CZ"/>
        </w:rPr>
        <w:t>i</w:t>
      </w:r>
      <w:r w:rsidRPr="007D604F">
        <w:rPr>
          <w:lang w:eastAsia="cs-CZ"/>
        </w:rPr>
        <w:t xml:space="preserve"> pozastavení grantu, dočasného předání </w:t>
      </w:r>
      <w:r w:rsidR="00392004">
        <w:rPr>
          <w:lang w:eastAsia="cs-CZ"/>
        </w:rPr>
        <w:t xml:space="preserve">řešení projektu </w:t>
      </w:r>
      <w:r w:rsidRPr="007D604F">
        <w:rPr>
          <w:lang w:eastAsia="cs-CZ"/>
        </w:rPr>
        <w:t>či zaměstnávání osob, které převezmou část úkolů spojených</w:t>
      </w:r>
      <w:r w:rsidR="009B66B5">
        <w:rPr>
          <w:lang w:eastAsia="cs-CZ"/>
        </w:rPr>
        <w:t xml:space="preserve"> s </w:t>
      </w:r>
      <w:r w:rsidRPr="007D604F">
        <w:rPr>
          <w:lang w:eastAsia="cs-CZ"/>
        </w:rPr>
        <w:t>výzkumným projektem</w:t>
      </w:r>
      <w:r>
        <w:rPr>
          <w:lang w:eastAsia="cs-CZ"/>
        </w:rPr>
        <w:t>)</w:t>
      </w:r>
      <w:r w:rsidRPr="007D604F">
        <w:rPr>
          <w:lang w:eastAsia="cs-CZ"/>
        </w:rPr>
        <w:t>.</w:t>
      </w:r>
    </w:p>
    <w:p w14:paraId="223AB0F0" w14:textId="77777777" w:rsidR="00E11B4F" w:rsidRDefault="00E11B4F" w:rsidP="00E11B4F">
      <w:pPr>
        <w:pStyle w:val="Odstavecseseznamem"/>
        <w:numPr>
          <w:ilvl w:val="0"/>
          <w:numId w:val="31"/>
        </w:numPr>
        <w:spacing w:after="240"/>
        <w:ind w:left="567" w:hanging="567"/>
      </w:pPr>
      <w:r>
        <w:t>Podporovat vzájemnou spolupráci poskytovatelů, příjemců, RVVI</w:t>
      </w:r>
      <w:r w:rsidR="009B66B5">
        <w:t xml:space="preserve"> a </w:t>
      </w:r>
      <w:r>
        <w:t>případně také kontrolních orgánů vedoucí ke snížení administrativní zátěže – ve spolupráci</w:t>
      </w:r>
      <w:r w:rsidR="009B66B5">
        <w:t xml:space="preserve"> s </w:t>
      </w:r>
      <w:r>
        <w:t>Technologickým centrem AV ČR</w:t>
      </w:r>
      <w:r w:rsidR="009B66B5">
        <w:t xml:space="preserve"> a </w:t>
      </w:r>
      <w:r>
        <w:t xml:space="preserve">CZARMA </w:t>
      </w:r>
      <w:r w:rsidRPr="42EDE155">
        <w:rPr>
          <w:b/>
          <w:bCs/>
        </w:rPr>
        <w:t>pokračovat</w:t>
      </w:r>
      <w:r w:rsidR="009B66B5">
        <w:rPr>
          <w:b/>
          <w:bCs/>
        </w:rPr>
        <w:t xml:space="preserve"> v </w:t>
      </w:r>
      <w:r w:rsidRPr="42EDE155">
        <w:rPr>
          <w:b/>
          <w:bCs/>
        </w:rPr>
        <w:t>organizaci kulatých stolů</w:t>
      </w:r>
      <w:r>
        <w:t>.</w:t>
      </w:r>
    </w:p>
    <w:p w14:paraId="40A29EEF" w14:textId="77777777" w:rsidR="00E11B4F" w:rsidRPr="00BB5831" w:rsidRDefault="00E11B4F" w:rsidP="00E11B4F">
      <w:pPr>
        <w:pStyle w:val="Odstavecseseznamem"/>
        <w:numPr>
          <w:ilvl w:val="0"/>
          <w:numId w:val="31"/>
        </w:numPr>
        <w:spacing w:after="240"/>
        <w:ind w:left="567" w:hanging="567"/>
        <w:rPr>
          <w:lang w:eastAsia="cs-CZ"/>
        </w:rPr>
      </w:pPr>
      <w:r w:rsidRPr="007F6C65">
        <w:rPr>
          <w:b/>
          <w:bCs/>
          <w:lang w:eastAsia="cs-CZ"/>
        </w:rPr>
        <w:t>Podporovat komunikaci</w:t>
      </w:r>
      <w:r w:rsidR="009B66B5">
        <w:rPr>
          <w:lang w:eastAsia="cs-CZ"/>
        </w:rPr>
        <w:t xml:space="preserve"> a </w:t>
      </w:r>
      <w:r w:rsidRPr="00BB5831">
        <w:rPr>
          <w:lang w:eastAsia="cs-CZ"/>
        </w:rPr>
        <w:t>hledání nových možností synergií</w:t>
      </w:r>
      <w:r w:rsidR="009B66B5">
        <w:rPr>
          <w:lang w:eastAsia="cs-CZ"/>
        </w:rPr>
        <w:t xml:space="preserve"> a </w:t>
      </w:r>
      <w:r>
        <w:rPr>
          <w:lang w:eastAsia="cs-CZ"/>
        </w:rPr>
        <w:t>zjednodušení jejich implementace</w:t>
      </w:r>
      <w:r w:rsidRPr="00BB5831">
        <w:rPr>
          <w:lang w:eastAsia="cs-CZ"/>
        </w:rPr>
        <w:t xml:space="preserve"> </w:t>
      </w:r>
      <w:r w:rsidRPr="007F6C65">
        <w:rPr>
          <w:b/>
          <w:bCs/>
          <w:lang w:eastAsia="cs-CZ"/>
        </w:rPr>
        <w:t>mezi poskytovateli</w:t>
      </w:r>
      <w:r w:rsidR="009B66B5">
        <w:rPr>
          <w:b/>
          <w:bCs/>
          <w:lang w:eastAsia="cs-CZ"/>
        </w:rPr>
        <w:t xml:space="preserve"> a </w:t>
      </w:r>
      <w:r w:rsidRPr="007F6C65">
        <w:rPr>
          <w:b/>
          <w:bCs/>
          <w:lang w:eastAsia="cs-CZ"/>
        </w:rPr>
        <w:t>výzkumnými organizacemi</w:t>
      </w:r>
      <w:r w:rsidR="00392004">
        <w:rPr>
          <w:b/>
          <w:bCs/>
          <w:lang w:eastAsia="cs-CZ"/>
        </w:rPr>
        <w:t>.</w:t>
      </w:r>
      <w:r w:rsidRPr="00BB5831">
        <w:rPr>
          <w:lang w:eastAsia="cs-CZ"/>
        </w:rPr>
        <w:t xml:space="preserve"> </w:t>
      </w:r>
    </w:p>
    <w:p w14:paraId="39B8160F" w14:textId="77777777" w:rsidR="00E11B4F" w:rsidRDefault="00E11B4F" w:rsidP="00E11B4F">
      <w:pPr>
        <w:pStyle w:val="Odstavecseseznamem"/>
        <w:numPr>
          <w:ilvl w:val="0"/>
          <w:numId w:val="31"/>
        </w:numPr>
        <w:spacing w:after="240"/>
        <w:ind w:left="567" w:hanging="567"/>
        <w:rPr>
          <w:lang w:eastAsia="cs-CZ"/>
        </w:rPr>
      </w:pPr>
      <w:r w:rsidRPr="001D0142">
        <w:rPr>
          <w:b/>
          <w:bCs/>
          <w:lang w:eastAsia="cs-CZ"/>
        </w:rPr>
        <w:t xml:space="preserve">Podporovat </w:t>
      </w:r>
      <w:r w:rsidRPr="00A96238">
        <w:rPr>
          <w:lang w:eastAsia="cs-CZ"/>
        </w:rPr>
        <w:t>komunikaci</w:t>
      </w:r>
      <w:r>
        <w:rPr>
          <w:lang w:eastAsia="cs-CZ"/>
        </w:rPr>
        <w:t xml:space="preserve">, </w:t>
      </w:r>
      <w:r w:rsidRPr="001D0142">
        <w:rPr>
          <w:b/>
          <w:bCs/>
          <w:lang w:eastAsia="cs-CZ"/>
        </w:rPr>
        <w:t>sdílení zkušeností</w:t>
      </w:r>
      <w:r w:rsidR="009B66B5">
        <w:rPr>
          <w:lang w:eastAsia="cs-CZ"/>
        </w:rPr>
        <w:t xml:space="preserve"> a </w:t>
      </w:r>
      <w:r>
        <w:rPr>
          <w:lang w:eastAsia="cs-CZ"/>
        </w:rPr>
        <w:t>návrhy na vylepšení fungování synergií</w:t>
      </w:r>
      <w:r w:rsidR="009B66B5">
        <w:rPr>
          <w:lang w:eastAsia="cs-CZ"/>
        </w:rPr>
        <w:t xml:space="preserve"> s </w:t>
      </w:r>
      <w:r w:rsidRPr="001D0142">
        <w:rPr>
          <w:b/>
          <w:bCs/>
          <w:lang w:eastAsia="cs-CZ"/>
        </w:rPr>
        <w:t>Evropskou komisí</w:t>
      </w:r>
      <w:r>
        <w:rPr>
          <w:lang w:eastAsia="cs-CZ"/>
        </w:rPr>
        <w:t xml:space="preserve">. Neomezovat synergie pouze na </w:t>
      </w:r>
      <w:r w:rsidR="003E4489">
        <w:rPr>
          <w:lang w:eastAsia="cs-CZ"/>
        </w:rPr>
        <w:t>ERDF</w:t>
      </w:r>
      <w:r>
        <w:rPr>
          <w:lang w:eastAsia="cs-CZ"/>
        </w:rPr>
        <w:t>, ale hledat možnosti</w:t>
      </w:r>
      <w:r w:rsidR="009B66B5">
        <w:rPr>
          <w:lang w:eastAsia="cs-CZ"/>
        </w:rPr>
        <w:t xml:space="preserve"> i </w:t>
      </w:r>
      <w:r>
        <w:rPr>
          <w:lang w:eastAsia="cs-CZ"/>
        </w:rPr>
        <w:t xml:space="preserve">pro </w:t>
      </w:r>
      <w:r w:rsidRPr="001D0142">
        <w:rPr>
          <w:b/>
          <w:bCs/>
          <w:lang w:eastAsia="cs-CZ"/>
        </w:rPr>
        <w:t>synergie</w:t>
      </w:r>
      <w:r w:rsidR="009B66B5">
        <w:rPr>
          <w:b/>
          <w:bCs/>
          <w:lang w:eastAsia="cs-CZ"/>
        </w:rPr>
        <w:t xml:space="preserve"> s </w:t>
      </w:r>
      <w:r w:rsidR="003E4489">
        <w:rPr>
          <w:b/>
          <w:bCs/>
          <w:lang w:eastAsia="cs-CZ"/>
        </w:rPr>
        <w:t>ESF</w:t>
      </w:r>
      <w:r w:rsidR="009B66B5">
        <w:rPr>
          <w:b/>
          <w:bCs/>
          <w:lang w:eastAsia="cs-CZ"/>
        </w:rPr>
        <w:t xml:space="preserve"> a </w:t>
      </w:r>
      <w:r w:rsidRPr="001D0142">
        <w:rPr>
          <w:b/>
          <w:bCs/>
          <w:lang w:eastAsia="cs-CZ"/>
        </w:rPr>
        <w:t>národními či regionálními prostředky</w:t>
      </w:r>
      <w:r>
        <w:rPr>
          <w:lang w:eastAsia="cs-CZ"/>
        </w:rPr>
        <w:t>.</w:t>
      </w:r>
    </w:p>
    <w:p w14:paraId="6633121E" w14:textId="77777777" w:rsidR="00E11B4F" w:rsidRPr="007D4A55" w:rsidRDefault="00E11B4F" w:rsidP="00E11B4F">
      <w:pPr>
        <w:rPr>
          <w:b/>
          <w:bCs/>
        </w:rPr>
      </w:pPr>
      <w:r w:rsidRPr="007D4A55">
        <w:rPr>
          <w:b/>
          <w:bCs/>
        </w:rPr>
        <w:t>Institucionální úroveň</w:t>
      </w:r>
    </w:p>
    <w:p w14:paraId="504AEC7A" w14:textId="77777777" w:rsidR="00E11B4F" w:rsidRDefault="00E11B4F" w:rsidP="00E11B4F">
      <w:pPr>
        <w:pStyle w:val="Odstavecseseznamem"/>
        <w:numPr>
          <w:ilvl w:val="0"/>
          <w:numId w:val="32"/>
        </w:numPr>
        <w:spacing w:after="240"/>
        <w:ind w:hanging="720"/>
      </w:pPr>
      <w:r w:rsidRPr="001A56E2">
        <w:t>Vytvořit</w:t>
      </w:r>
      <w:r w:rsidRPr="42EDE155">
        <w:rPr>
          <w:b/>
          <w:bCs/>
        </w:rPr>
        <w:t xml:space="preserve"> interní pravidl</w:t>
      </w:r>
      <w:r>
        <w:rPr>
          <w:b/>
          <w:bCs/>
        </w:rPr>
        <w:t>a</w:t>
      </w:r>
      <w:r w:rsidRPr="42EDE155">
        <w:rPr>
          <w:b/>
          <w:bCs/>
        </w:rPr>
        <w:t xml:space="preserve"> pro odměňování</w:t>
      </w:r>
      <w:r>
        <w:t>, která by objektivním způsobem mohla doložit výši odměňování zaměstnanců dané instituce využitelnou</w:t>
      </w:r>
      <w:r w:rsidR="009B66B5">
        <w:t xml:space="preserve"> v </w:t>
      </w:r>
      <w:r>
        <w:t>pravidlech národních</w:t>
      </w:r>
      <w:r w:rsidR="009B66B5">
        <w:t xml:space="preserve"> i </w:t>
      </w:r>
      <w:r>
        <w:t xml:space="preserve">mezinárodních projektů.  </w:t>
      </w:r>
    </w:p>
    <w:p w14:paraId="655EED85" w14:textId="77777777" w:rsidR="00E11B4F" w:rsidRDefault="00E11B4F" w:rsidP="00E11B4F">
      <w:pPr>
        <w:pStyle w:val="Odstavecseseznamem"/>
        <w:numPr>
          <w:ilvl w:val="0"/>
          <w:numId w:val="32"/>
        </w:numPr>
        <w:spacing w:after="240"/>
        <w:ind w:hanging="720"/>
      </w:pPr>
      <w:r w:rsidRPr="001A56E2">
        <w:t>Spolupracovat</w:t>
      </w:r>
      <w:r w:rsidR="009B66B5">
        <w:t xml:space="preserve"> s </w:t>
      </w:r>
      <w:r w:rsidRPr="001A56E2">
        <w:t xml:space="preserve">poskytovateli, </w:t>
      </w:r>
      <w:r w:rsidR="003E4489">
        <w:t>NCP</w:t>
      </w:r>
      <w:r w:rsidR="009B66B5">
        <w:t xml:space="preserve"> a </w:t>
      </w:r>
      <w:r w:rsidRPr="001A56E2">
        <w:t>dalšími stakeholdery</w:t>
      </w:r>
      <w:r>
        <w:t xml:space="preserve"> (např. CZARMA)</w:t>
      </w:r>
      <w:r w:rsidR="003E4489">
        <w:t>, včetně RVVI,</w:t>
      </w:r>
      <w:r>
        <w:t xml:space="preserve"> při </w:t>
      </w:r>
      <w:r w:rsidRPr="001A56E2">
        <w:rPr>
          <w:b/>
          <w:bCs/>
        </w:rPr>
        <w:t>harmonizaci pravidel poskytovatelů</w:t>
      </w:r>
      <w:r w:rsidR="009B66B5">
        <w:t xml:space="preserve"> a </w:t>
      </w:r>
      <w:r>
        <w:t>snižování administrativní zátěže. Potřebné je rovněž průběžně komunikovat</w:t>
      </w:r>
      <w:r w:rsidR="009B66B5">
        <w:t xml:space="preserve"> a </w:t>
      </w:r>
      <w:r>
        <w:t>sdílet zkušenosti</w:t>
      </w:r>
      <w:r w:rsidR="009B66B5">
        <w:t xml:space="preserve"> s </w:t>
      </w:r>
      <w:r>
        <w:t>administrativou</w:t>
      </w:r>
      <w:r w:rsidR="009B66B5">
        <w:t xml:space="preserve"> a </w:t>
      </w:r>
      <w:r>
        <w:t>finančním monitoringem</w:t>
      </w:r>
      <w:r w:rsidR="009B66B5">
        <w:t xml:space="preserve"> s </w:t>
      </w:r>
      <w:r w:rsidRPr="004A16E4">
        <w:t xml:space="preserve">poskytovateli </w:t>
      </w:r>
      <w:r>
        <w:t>ve snaze najít nejjednodušší model pro implementaci synergií mezi evropskými, národními</w:t>
      </w:r>
      <w:r w:rsidR="009B66B5">
        <w:t xml:space="preserve"> a </w:t>
      </w:r>
      <w:r>
        <w:t xml:space="preserve">regionálními finančními zdroji. </w:t>
      </w:r>
    </w:p>
    <w:p w14:paraId="05CAE20F" w14:textId="77777777" w:rsidR="00E11B4F" w:rsidRDefault="00E11B4F" w:rsidP="00E11B4F">
      <w:pPr>
        <w:pStyle w:val="Odstavecseseznamem"/>
        <w:numPr>
          <w:ilvl w:val="0"/>
          <w:numId w:val="32"/>
        </w:numPr>
        <w:spacing w:after="240"/>
        <w:ind w:hanging="720"/>
        <w:rPr>
          <w:lang w:eastAsia="cs-CZ"/>
        </w:rPr>
      </w:pPr>
      <w:r>
        <w:rPr>
          <w:lang w:eastAsia="cs-CZ"/>
        </w:rPr>
        <w:t xml:space="preserve">Rozvíjet </w:t>
      </w:r>
      <w:r w:rsidRPr="001A56E2">
        <w:rPr>
          <w:b/>
          <w:bCs/>
          <w:lang w:eastAsia="cs-CZ"/>
        </w:rPr>
        <w:t xml:space="preserve">administrativní zázemí na </w:t>
      </w:r>
      <w:r>
        <w:rPr>
          <w:b/>
          <w:bCs/>
          <w:lang w:eastAsia="cs-CZ"/>
        </w:rPr>
        <w:t>výzkumných organizacích</w:t>
      </w:r>
      <w:r>
        <w:rPr>
          <w:lang w:eastAsia="cs-CZ"/>
        </w:rPr>
        <w:t>, které bude výzkumníkům napomáhat</w:t>
      </w:r>
      <w:r w:rsidR="009B66B5">
        <w:rPr>
          <w:lang w:eastAsia="cs-CZ"/>
        </w:rPr>
        <w:t xml:space="preserve"> s </w:t>
      </w:r>
      <w:r>
        <w:rPr>
          <w:lang w:eastAsia="cs-CZ"/>
        </w:rPr>
        <w:t>přípravou</w:t>
      </w:r>
      <w:r w:rsidR="009B66B5">
        <w:rPr>
          <w:lang w:eastAsia="cs-CZ"/>
        </w:rPr>
        <w:t xml:space="preserve"> a </w:t>
      </w:r>
      <w:r>
        <w:rPr>
          <w:lang w:eastAsia="cs-CZ"/>
        </w:rPr>
        <w:t xml:space="preserve">realizací mezinárodních projektů </w:t>
      </w:r>
      <w:r w:rsidR="003E4489">
        <w:rPr>
          <w:lang w:eastAsia="cs-CZ"/>
        </w:rPr>
        <w:t>VaVaI</w:t>
      </w:r>
      <w:r w:rsidR="009B66B5">
        <w:rPr>
          <w:lang w:eastAsia="cs-CZ"/>
        </w:rPr>
        <w:t xml:space="preserve"> a </w:t>
      </w:r>
      <w:r>
        <w:rPr>
          <w:lang w:eastAsia="cs-CZ"/>
        </w:rPr>
        <w:t>dalších mezinárodních aktivit. Součástí je také zajištění</w:t>
      </w:r>
      <w:r w:rsidR="009B66B5">
        <w:rPr>
          <w:lang w:eastAsia="cs-CZ"/>
        </w:rPr>
        <w:t xml:space="preserve"> a </w:t>
      </w:r>
      <w:r>
        <w:rPr>
          <w:lang w:eastAsia="cs-CZ"/>
        </w:rPr>
        <w:t>rozvoj odpovídajících kompetencí administrativních pracovníků.</w:t>
      </w:r>
    </w:p>
    <w:p w14:paraId="534F0BA6" w14:textId="77777777" w:rsidR="00E11B4F" w:rsidRPr="007D4A55" w:rsidRDefault="00E11B4F" w:rsidP="00E11B4F">
      <w:pPr>
        <w:pStyle w:val="Nadpis2"/>
      </w:pPr>
      <w:bookmarkStart w:id="86" w:name="_Toc114572362"/>
      <w:r w:rsidRPr="007D4A55">
        <w:lastRenderedPageBreak/>
        <w:t xml:space="preserve">Doporučení </w:t>
      </w:r>
      <w:r>
        <w:t>pro</w:t>
      </w:r>
      <w:r w:rsidRPr="007D4A55">
        <w:t xml:space="preserve"> </w:t>
      </w:r>
      <w:r>
        <w:t xml:space="preserve">rozvoj </w:t>
      </w:r>
      <w:r w:rsidRPr="007D4A55">
        <w:t>ŠKOLENÍ A KONZULTACÍ</w:t>
      </w:r>
      <w:bookmarkEnd w:id="86"/>
      <w:r w:rsidRPr="007D4A55">
        <w:t xml:space="preserve"> </w:t>
      </w:r>
    </w:p>
    <w:p w14:paraId="1A7ED3F8" w14:textId="77777777" w:rsidR="00E11B4F" w:rsidRDefault="00E11B4F" w:rsidP="00E11B4F">
      <w:pPr>
        <w:rPr>
          <w:b/>
          <w:bCs/>
        </w:rPr>
      </w:pPr>
      <w:r w:rsidRPr="007D4A55">
        <w:rPr>
          <w:b/>
          <w:bCs/>
        </w:rPr>
        <w:t>Národní úroveň</w:t>
      </w:r>
    </w:p>
    <w:p w14:paraId="0E96A3D1" w14:textId="77777777" w:rsidR="00E11B4F" w:rsidRDefault="00E11B4F" w:rsidP="00E11B4F">
      <w:pPr>
        <w:pStyle w:val="Odstavecseseznamem"/>
        <w:numPr>
          <w:ilvl w:val="0"/>
          <w:numId w:val="31"/>
        </w:numPr>
        <w:spacing w:after="240"/>
        <w:ind w:left="567" w:hanging="567"/>
      </w:pPr>
      <w:r>
        <w:t xml:space="preserve">Rozvíjet aktivity projektů sdílených činností </w:t>
      </w:r>
      <w:r w:rsidRPr="007B2642">
        <w:rPr>
          <w:b/>
          <w:bCs/>
        </w:rPr>
        <w:t>CZERA</w:t>
      </w:r>
      <w:r w:rsidR="009B66B5">
        <w:rPr>
          <w:b/>
          <w:bCs/>
        </w:rPr>
        <w:t xml:space="preserve"> a </w:t>
      </w:r>
      <w:r w:rsidRPr="007B2642">
        <w:rPr>
          <w:b/>
          <w:bCs/>
        </w:rPr>
        <w:t>CZELO</w:t>
      </w:r>
      <w:r>
        <w:t xml:space="preserve"> </w:t>
      </w:r>
      <w:r w:rsidR="008225F5">
        <w:t>po</w:t>
      </w:r>
      <w:r>
        <w:t>dle potřeb</w:t>
      </w:r>
      <w:r w:rsidR="009B66B5">
        <w:t xml:space="preserve"> a </w:t>
      </w:r>
      <w:r>
        <w:t>doporučení výzkumné komunity</w:t>
      </w:r>
      <w:r w:rsidR="009B66B5">
        <w:t xml:space="preserve"> a </w:t>
      </w:r>
      <w:r>
        <w:t>veřejné správy. Současně je účelné nadále posilovat spolupráci</w:t>
      </w:r>
      <w:r w:rsidR="009B66B5">
        <w:t xml:space="preserve"> a </w:t>
      </w:r>
      <w:r>
        <w:t xml:space="preserve">synergie mezi těmito projekty. </w:t>
      </w:r>
    </w:p>
    <w:p w14:paraId="441750C8" w14:textId="77777777" w:rsidR="00E11B4F" w:rsidRDefault="00E11B4F" w:rsidP="00E11B4F">
      <w:pPr>
        <w:pStyle w:val="Odstavecseseznamem"/>
        <w:numPr>
          <w:ilvl w:val="0"/>
          <w:numId w:val="31"/>
        </w:numPr>
        <w:spacing w:after="240"/>
        <w:ind w:left="567" w:hanging="567"/>
      </w:pPr>
      <w:r>
        <w:t>Pokračovat</w:t>
      </w:r>
      <w:r w:rsidR="009B66B5">
        <w:t xml:space="preserve"> v </w:t>
      </w:r>
      <w:r>
        <w:t xml:space="preserve">podpoře </w:t>
      </w:r>
      <w:r w:rsidRPr="00DC25F6">
        <w:rPr>
          <w:rFonts w:cs="Calibri"/>
          <w:b/>
          <w:bCs/>
        </w:rPr>
        <w:t>rozvoje zázemí</w:t>
      </w:r>
      <w:r w:rsidR="009B66B5">
        <w:rPr>
          <w:rFonts w:cs="Calibri"/>
          <w:b/>
          <w:bCs/>
        </w:rPr>
        <w:t xml:space="preserve"> a </w:t>
      </w:r>
      <w:r w:rsidRPr="00DC25F6">
        <w:rPr>
          <w:rFonts w:cs="Calibri"/>
          <w:b/>
          <w:bCs/>
        </w:rPr>
        <w:t xml:space="preserve">kapacit </w:t>
      </w:r>
      <w:r>
        <w:rPr>
          <w:rFonts w:cs="Calibri"/>
          <w:b/>
          <w:bCs/>
        </w:rPr>
        <w:t xml:space="preserve">výzkumných organizací pro internacionalizaci </w:t>
      </w:r>
      <w:r w:rsidRPr="00200A96">
        <w:rPr>
          <w:rFonts w:cs="Calibri"/>
        </w:rPr>
        <w:t>(</w:t>
      </w:r>
      <w:r>
        <w:rPr>
          <w:rFonts w:cs="Calibri"/>
        </w:rPr>
        <w:t>OP JAK)</w:t>
      </w:r>
      <w:r w:rsidR="009B66B5">
        <w:rPr>
          <w:rFonts w:cs="Calibri"/>
        </w:rPr>
        <w:t xml:space="preserve"> a </w:t>
      </w:r>
      <w:r>
        <w:rPr>
          <w:rFonts w:cs="Calibri"/>
        </w:rPr>
        <w:t xml:space="preserve">tuto podporu zacílit na aktuální potřeby výzkumného systému. </w:t>
      </w:r>
    </w:p>
    <w:p w14:paraId="4D82E9EA" w14:textId="77777777" w:rsidR="00E11B4F" w:rsidRPr="00D24D21" w:rsidRDefault="00E11B4F" w:rsidP="00E11B4F">
      <w:pPr>
        <w:pStyle w:val="Odstavecseseznamem"/>
        <w:numPr>
          <w:ilvl w:val="0"/>
          <w:numId w:val="31"/>
        </w:numPr>
        <w:spacing w:after="240"/>
        <w:ind w:left="567" w:hanging="567"/>
        <w:rPr>
          <w:rFonts w:eastAsiaTheme="minorEastAsia"/>
        </w:rPr>
      </w:pPr>
      <w:r w:rsidRPr="00D24D21">
        <w:rPr>
          <w:rFonts w:cs="Calibri"/>
        </w:rPr>
        <w:t xml:space="preserve">Dále </w:t>
      </w:r>
      <w:r w:rsidRPr="00411CD3">
        <w:rPr>
          <w:rFonts w:cs="Calibri"/>
          <w:b/>
          <w:bCs/>
        </w:rPr>
        <w:t>propagovat</w:t>
      </w:r>
      <w:r w:rsidR="009B66B5">
        <w:rPr>
          <w:rFonts w:cs="Calibri"/>
          <w:b/>
          <w:bCs/>
        </w:rPr>
        <w:t xml:space="preserve"> a </w:t>
      </w:r>
      <w:r w:rsidRPr="00411CD3">
        <w:rPr>
          <w:rFonts w:cs="Calibri"/>
          <w:b/>
          <w:bCs/>
        </w:rPr>
        <w:t>využívat možnosti</w:t>
      </w:r>
      <w:r w:rsidR="009B66B5">
        <w:rPr>
          <w:rFonts w:cs="Calibri"/>
          <w:b/>
          <w:bCs/>
        </w:rPr>
        <w:t xml:space="preserve"> a </w:t>
      </w:r>
      <w:r w:rsidRPr="00411CD3">
        <w:rPr>
          <w:rFonts w:cs="Calibri"/>
          <w:b/>
          <w:bCs/>
        </w:rPr>
        <w:t xml:space="preserve">nástroje, které nabízí </w:t>
      </w:r>
      <w:r w:rsidR="00C032C8" w:rsidRPr="00C032C8">
        <w:rPr>
          <w:rFonts w:cs="Calibri"/>
          <w:b/>
        </w:rPr>
        <w:t>RP Horizont Evropa</w:t>
      </w:r>
      <w:r w:rsidR="009B66B5">
        <w:rPr>
          <w:rFonts w:cs="Calibri"/>
          <w:b/>
          <w:bCs/>
        </w:rPr>
        <w:t xml:space="preserve"> v </w:t>
      </w:r>
      <w:r w:rsidRPr="00411CD3">
        <w:rPr>
          <w:rFonts w:cs="Calibri"/>
          <w:b/>
          <w:bCs/>
        </w:rPr>
        <w:t>oblasti “Rozšiřování účasti</w:t>
      </w:r>
      <w:r w:rsidR="009B66B5">
        <w:rPr>
          <w:rFonts w:cs="Calibri"/>
          <w:b/>
          <w:bCs/>
        </w:rPr>
        <w:t xml:space="preserve"> a </w:t>
      </w:r>
      <w:r w:rsidRPr="00411CD3">
        <w:rPr>
          <w:rFonts w:cs="Calibri"/>
          <w:b/>
          <w:bCs/>
        </w:rPr>
        <w:t>posilování ERA”</w:t>
      </w:r>
      <w:r>
        <w:rPr>
          <w:rFonts w:cs="Calibri"/>
        </w:rPr>
        <w:t>.</w:t>
      </w:r>
      <w:r w:rsidRPr="00D24D21">
        <w:rPr>
          <w:rFonts w:ascii="Raleway" w:eastAsia="Raleway" w:hAnsi="Raleway" w:cs="Raleway"/>
          <w:sz w:val="24"/>
          <w:szCs w:val="24"/>
        </w:rPr>
        <w:t xml:space="preserve"> </w:t>
      </w:r>
      <w:r w:rsidRPr="00D24D21">
        <w:rPr>
          <w:rFonts w:eastAsiaTheme="minorEastAsia"/>
        </w:rPr>
        <w:t>K hlavním cílům této horizontální části patří zintenziv</w:t>
      </w:r>
      <w:r w:rsidR="003141E1">
        <w:rPr>
          <w:rFonts w:eastAsiaTheme="minorEastAsia"/>
        </w:rPr>
        <w:t>nění spolupráce</w:t>
      </w:r>
      <w:r w:rsidR="009B66B5">
        <w:rPr>
          <w:rFonts w:eastAsiaTheme="minorEastAsia"/>
        </w:rPr>
        <w:t xml:space="preserve"> v </w:t>
      </w:r>
      <w:r w:rsidRPr="00D24D21">
        <w:rPr>
          <w:rFonts w:eastAsiaTheme="minorEastAsia"/>
        </w:rPr>
        <w:t>celé Evropě</w:t>
      </w:r>
      <w:r w:rsidR="003141E1">
        <w:rPr>
          <w:rFonts w:eastAsiaTheme="minorEastAsia"/>
        </w:rPr>
        <w:t>,</w:t>
      </w:r>
      <w:r w:rsidRPr="00D24D21">
        <w:rPr>
          <w:rFonts w:eastAsiaTheme="minorEastAsia"/>
        </w:rPr>
        <w:t xml:space="preserve"> zejména otevřením evropských sítí výzkumu</w:t>
      </w:r>
      <w:r w:rsidR="009B66B5">
        <w:rPr>
          <w:rFonts w:eastAsiaTheme="minorEastAsia"/>
        </w:rPr>
        <w:t xml:space="preserve"> a </w:t>
      </w:r>
      <w:r w:rsidRPr="00D24D21">
        <w:rPr>
          <w:rFonts w:eastAsiaTheme="minorEastAsia"/>
        </w:rPr>
        <w:t>inovací</w:t>
      </w:r>
      <w:r w:rsidR="003141E1">
        <w:rPr>
          <w:rFonts w:eastAsiaTheme="minorEastAsia"/>
        </w:rPr>
        <w:t>,</w:t>
      </w:r>
      <w:r w:rsidR="009B66B5">
        <w:rPr>
          <w:rFonts w:eastAsiaTheme="minorEastAsia"/>
        </w:rPr>
        <w:t xml:space="preserve"> a </w:t>
      </w:r>
      <w:r w:rsidRPr="00D24D21">
        <w:rPr>
          <w:rFonts w:eastAsiaTheme="minorEastAsia"/>
        </w:rPr>
        <w:t>přispět ke zkvalitnění kapacit</w:t>
      </w:r>
      <w:r w:rsidR="009B66B5">
        <w:rPr>
          <w:rFonts w:eastAsiaTheme="minorEastAsia"/>
        </w:rPr>
        <w:t xml:space="preserve"> v </w:t>
      </w:r>
      <w:r w:rsidRPr="00D24D21">
        <w:rPr>
          <w:rFonts w:eastAsiaTheme="minorEastAsia"/>
        </w:rPr>
        <w:t>oblasti řízení výzkumu</w:t>
      </w:r>
      <w:r w:rsidR="009B66B5">
        <w:rPr>
          <w:rFonts w:eastAsiaTheme="minorEastAsia"/>
        </w:rPr>
        <w:t xml:space="preserve"> v </w:t>
      </w:r>
      <w:r w:rsidRPr="00D24D21">
        <w:rPr>
          <w:rFonts w:eastAsiaTheme="minorEastAsia"/>
        </w:rPr>
        <w:t>zemích způsobilých ucházet se</w:t>
      </w:r>
      <w:r w:rsidR="009B66B5">
        <w:rPr>
          <w:rFonts w:eastAsiaTheme="minorEastAsia"/>
        </w:rPr>
        <w:t xml:space="preserve"> o </w:t>
      </w:r>
      <w:r w:rsidRPr="00D24D21">
        <w:rPr>
          <w:rFonts w:eastAsiaTheme="minorEastAsia"/>
        </w:rPr>
        <w:t>granty pro rozšiřování účasti</w:t>
      </w:r>
      <w:r>
        <w:rPr>
          <w:rFonts w:eastAsiaTheme="minorEastAsia"/>
        </w:rPr>
        <w:t>.</w:t>
      </w:r>
      <w:r w:rsidRPr="00D24D21">
        <w:rPr>
          <w:rFonts w:eastAsiaTheme="minorEastAsia"/>
        </w:rPr>
        <w:t xml:space="preserve">  </w:t>
      </w:r>
    </w:p>
    <w:p w14:paraId="32548702" w14:textId="1CF860BC" w:rsidR="00E11B4F" w:rsidRPr="003234C8" w:rsidRDefault="00E11B4F" w:rsidP="00E11B4F">
      <w:pPr>
        <w:pStyle w:val="Odstavecseseznamem"/>
        <w:numPr>
          <w:ilvl w:val="0"/>
          <w:numId w:val="31"/>
        </w:numPr>
        <w:spacing w:after="240"/>
        <w:ind w:left="567" w:hanging="567"/>
        <w:rPr>
          <w:b/>
          <w:bCs/>
        </w:rPr>
      </w:pPr>
      <w:r>
        <w:t xml:space="preserve">Prohlubovat </w:t>
      </w:r>
      <w:r w:rsidRPr="00411CD3">
        <w:rPr>
          <w:b/>
          <w:bCs/>
        </w:rPr>
        <w:t>spolupráci organizací</w:t>
      </w:r>
      <w:r w:rsidR="009B66B5">
        <w:rPr>
          <w:b/>
          <w:bCs/>
        </w:rPr>
        <w:t xml:space="preserve"> a </w:t>
      </w:r>
      <w:r>
        <w:rPr>
          <w:b/>
          <w:bCs/>
        </w:rPr>
        <w:t>týmů</w:t>
      </w:r>
      <w:r w:rsidRPr="00411CD3">
        <w:rPr>
          <w:b/>
          <w:bCs/>
        </w:rPr>
        <w:t xml:space="preserve"> zajišťujících informační</w:t>
      </w:r>
      <w:r w:rsidR="009B66B5">
        <w:rPr>
          <w:b/>
          <w:bCs/>
        </w:rPr>
        <w:t xml:space="preserve"> a </w:t>
      </w:r>
      <w:r w:rsidRPr="00411CD3">
        <w:rPr>
          <w:b/>
          <w:bCs/>
        </w:rPr>
        <w:t>konzultační podporu</w:t>
      </w:r>
      <w:r>
        <w:t xml:space="preserve"> pro </w:t>
      </w:r>
      <w:r w:rsidR="008225F5">
        <w:t>RP</w:t>
      </w:r>
      <w:r>
        <w:t xml:space="preserve"> navzájem mezi sebou. V této souvislosti je účelné zvážit možnost obnovení finanční podpory</w:t>
      </w:r>
      <w:r w:rsidR="009B66B5">
        <w:t xml:space="preserve"> a </w:t>
      </w:r>
      <w:r>
        <w:t>pokračování aktivit neformální sítě NINET</w:t>
      </w:r>
      <w:r w:rsidR="009B66B5">
        <w:t xml:space="preserve"> s </w:t>
      </w:r>
      <w:r>
        <w:t xml:space="preserve">ohledem na postupné ukončování </w:t>
      </w:r>
      <w:r w:rsidRPr="00411CD3">
        <w:rPr>
          <w:rFonts w:cs="Calibri"/>
        </w:rPr>
        <w:t xml:space="preserve">projektů Inter-Excellence </w:t>
      </w:r>
      <w:r w:rsidR="003141E1">
        <w:rPr>
          <w:rFonts w:cs="Calibri"/>
        </w:rPr>
        <w:t xml:space="preserve">podprogramu </w:t>
      </w:r>
      <w:r w:rsidRPr="00411CD3">
        <w:rPr>
          <w:rFonts w:cs="Calibri"/>
        </w:rPr>
        <w:t>Inter-Inform</w:t>
      </w:r>
      <w:r>
        <w:rPr>
          <w:rFonts w:cs="Calibri"/>
        </w:rPr>
        <w:t xml:space="preserve">. Možností je rovněž </w:t>
      </w:r>
      <w:r w:rsidRPr="00411CD3">
        <w:rPr>
          <w:rFonts w:cs="Calibri"/>
        </w:rPr>
        <w:t xml:space="preserve">transformace sítě NINET na platformu pro spolupráci oddělení projektové podpory </w:t>
      </w:r>
      <w:r w:rsidR="008225F5">
        <w:rPr>
          <w:rFonts w:cs="Calibri"/>
        </w:rPr>
        <w:t>RP</w:t>
      </w:r>
      <w:r w:rsidR="008225F5" w:rsidRPr="00411CD3">
        <w:rPr>
          <w:rFonts w:cs="Calibri"/>
        </w:rPr>
        <w:t xml:space="preserve"> </w:t>
      </w:r>
      <w:r w:rsidRPr="00411CD3">
        <w:rPr>
          <w:rFonts w:cs="Calibri"/>
        </w:rPr>
        <w:t xml:space="preserve">na jednotlivých pracovištích </w:t>
      </w:r>
      <w:r>
        <w:rPr>
          <w:rFonts w:cs="Calibri"/>
        </w:rPr>
        <w:t>výzkumných organizací</w:t>
      </w:r>
      <w:r w:rsidR="009B66B5">
        <w:rPr>
          <w:rFonts w:cs="Calibri"/>
        </w:rPr>
        <w:t xml:space="preserve"> v </w:t>
      </w:r>
      <w:r w:rsidRPr="00411CD3">
        <w:rPr>
          <w:rFonts w:cs="Calibri"/>
        </w:rPr>
        <w:t>ČR</w:t>
      </w:r>
      <w:r>
        <w:rPr>
          <w:rFonts w:cs="Calibri"/>
        </w:rPr>
        <w:t>.</w:t>
      </w:r>
    </w:p>
    <w:p w14:paraId="7FA3D101" w14:textId="77777777" w:rsidR="003234C8" w:rsidRPr="00411CD3" w:rsidRDefault="003234C8" w:rsidP="003234C8">
      <w:pPr>
        <w:pStyle w:val="Odstavecseseznamem"/>
        <w:spacing w:after="240"/>
        <w:ind w:left="567"/>
        <w:rPr>
          <w:b/>
          <w:bCs/>
        </w:rPr>
      </w:pPr>
    </w:p>
    <w:p w14:paraId="6FCC18C3" w14:textId="77777777" w:rsidR="00E11B4F" w:rsidRPr="007D4A55" w:rsidRDefault="00E11B4F" w:rsidP="00E11B4F">
      <w:pPr>
        <w:rPr>
          <w:b/>
          <w:bCs/>
        </w:rPr>
      </w:pPr>
      <w:r w:rsidRPr="0B611335">
        <w:rPr>
          <w:b/>
          <w:bCs/>
        </w:rPr>
        <w:t>Institucionální úroveň</w:t>
      </w:r>
    </w:p>
    <w:p w14:paraId="03DEE429" w14:textId="77777777" w:rsidR="00E11B4F" w:rsidRPr="00A427EE" w:rsidRDefault="00E11B4F" w:rsidP="00E11B4F">
      <w:pPr>
        <w:pStyle w:val="Odstavecseseznamem"/>
        <w:numPr>
          <w:ilvl w:val="0"/>
          <w:numId w:val="32"/>
        </w:numPr>
        <w:spacing w:after="240"/>
        <w:ind w:hanging="720"/>
        <w:rPr>
          <w:lang w:eastAsia="cs-CZ"/>
        </w:rPr>
      </w:pPr>
      <w:r w:rsidRPr="00DF7764">
        <w:rPr>
          <w:lang w:eastAsia="cs-CZ"/>
        </w:rPr>
        <w:t>Využívat</w:t>
      </w:r>
      <w:r w:rsidRPr="00DF7764">
        <w:t xml:space="preserve"> možnosti zlepšení kvality návrhů projektů od subjektů ze způsobilých zemí, zejména prostřednictvím aktivit zaměřených na </w:t>
      </w:r>
      <w:r w:rsidRPr="00822D4B">
        <w:rPr>
          <w:b/>
          <w:bCs/>
        </w:rPr>
        <w:t>odbornou kontrolu připravovaných návrhů</w:t>
      </w:r>
      <w:r w:rsidR="009B66B5">
        <w:rPr>
          <w:b/>
          <w:bCs/>
        </w:rPr>
        <w:t xml:space="preserve"> a </w:t>
      </w:r>
      <w:r w:rsidRPr="008C3BD4">
        <w:rPr>
          <w:lang w:eastAsia="cs-CZ"/>
        </w:rPr>
        <w:t>poradenství</w:t>
      </w:r>
      <w:r w:rsidRPr="00DF7764">
        <w:rPr>
          <w:lang w:eastAsia="cs-CZ"/>
        </w:rPr>
        <w:t xml:space="preserve"> (pre-proposal check).</w:t>
      </w:r>
    </w:p>
    <w:p w14:paraId="18E39AFD" w14:textId="77777777" w:rsidR="00E11B4F" w:rsidRDefault="00E11B4F" w:rsidP="00E11B4F">
      <w:pPr>
        <w:pStyle w:val="Odstavecseseznamem"/>
        <w:numPr>
          <w:ilvl w:val="0"/>
          <w:numId w:val="32"/>
        </w:numPr>
        <w:spacing w:after="240"/>
        <w:ind w:hanging="720"/>
      </w:pPr>
      <w:r w:rsidRPr="009D5438">
        <w:rPr>
          <w:lang w:eastAsia="cs-CZ"/>
        </w:rPr>
        <w:t>Průběžně</w:t>
      </w:r>
      <w:r w:rsidRPr="009D5438">
        <w:t xml:space="preserve"> </w:t>
      </w:r>
      <w:r>
        <w:rPr>
          <w:b/>
          <w:bCs/>
        </w:rPr>
        <w:t xml:space="preserve">informovat </w:t>
      </w:r>
      <w:r w:rsidRPr="00822D4B">
        <w:rPr>
          <w:b/>
          <w:bCs/>
        </w:rPr>
        <w:t>pracovníky</w:t>
      </w:r>
      <w:r>
        <w:rPr>
          <w:b/>
          <w:bCs/>
        </w:rPr>
        <w:t xml:space="preserve"> výzkumných organizací</w:t>
      </w:r>
      <w:r w:rsidR="009B66B5">
        <w:rPr>
          <w:b/>
          <w:bCs/>
        </w:rPr>
        <w:t xml:space="preserve"> o </w:t>
      </w:r>
      <w:r>
        <w:t>výzvách Horizontu Evropa</w:t>
      </w:r>
      <w:r w:rsidR="009B66B5">
        <w:t xml:space="preserve"> a </w:t>
      </w:r>
      <w:r>
        <w:t xml:space="preserve">možnostech pro rozvoj mezinárodní </w:t>
      </w:r>
      <w:r w:rsidR="008225F5">
        <w:t>ve VaVaI</w:t>
      </w:r>
      <w:r w:rsidR="009B66B5">
        <w:t xml:space="preserve"> v </w:t>
      </w:r>
      <w:r>
        <w:t xml:space="preserve">různých fázích kariérního rozvoje. </w:t>
      </w:r>
    </w:p>
    <w:p w14:paraId="6EBDA82F" w14:textId="77777777" w:rsidR="00E11B4F" w:rsidRPr="00A41CD7" w:rsidRDefault="00E11B4F" w:rsidP="00E11B4F">
      <w:pPr>
        <w:pStyle w:val="Odstavecseseznamem"/>
        <w:numPr>
          <w:ilvl w:val="0"/>
          <w:numId w:val="32"/>
        </w:numPr>
        <w:spacing w:after="240"/>
        <w:ind w:hanging="720"/>
        <w:rPr>
          <w:lang w:eastAsia="cs-CZ"/>
        </w:rPr>
      </w:pPr>
      <w:r>
        <w:rPr>
          <w:lang w:eastAsia="cs-CZ"/>
        </w:rPr>
        <w:t xml:space="preserve">Podporovat </w:t>
      </w:r>
      <w:r w:rsidRPr="00526C90">
        <w:rPr>
          <w:b/>
          <w:bCs/>
          <w:lang w:eastAsia="cs-CZ"/>
        </w:rPr>
        <w:t>zapojení projektových manažerů</w:t>
      </w:r>
      <w:r w:rsidR="009B66B5">
        <w:rPr>
          <w:b/>
          <w:bCs/>
          <w:lang w:eastAsia="cs-CZ"/>
        </w:rPr>
        <w:t xml:space="preserve"> a </w:t>
      </w:r>
      <w:r w:rsidRPr="00526C90">
        <w:rPr>
          <w:b/>
          <w:bCs/>
          <w:lang w:eastAsia="cs-CZ"/>
        </w:rPr>
        <w:t>administrátorů do relevantních pracovních skupin</w:t>
      </w:r>
      <w:r>
        <w:rPr>
          <w:lang w:eastAsia="cs-CZ"/>
        </w:rPr>
        <w:t xml:space="preserve">, např. </w:t>
      </w:r>
      <w:r w:rsidRPr="009D5438">
        <w:rPr>
          <w:rFonts w:cs="Calibri"/>
        </w:rPr>
        <w:t>pracovní skupiny projektových manažerek</w:t>
      </w:r>
      <w:r w:rsidR="009B66B5">
        <w:rPr>
          <w:rFonts w:cs="Calibri"/>
        </w:rPr>
        <w:t xml:space="preserve"> a </w:t>
      </w:r>
      <w:r w:rsidRPr="009D5438">
        <w:rPr>
          <w:rFonts w:cs="Calibri"/>
        </w:rPr>
        <w:t>manažerů</w:t>
      </w:r>
      <w:r w:rsidR="009B66B5">
        <w:rPr>
          <w:rFonts w:cs="Calibri"/>
        </w:rPr>
        <w:t xml:space="preserve"> z </w:t>
      </w:r>
      <w:r w:rsidRPr="009D5438">
        <w:rPr>
          <w:rFonts w:cs="Calibri"/>
        </w:rPr>
        <w:t>vysokých škol</w:t>
      </w:r>
      <w:r w:rsidR="009B66B5">
        <w:rPr>
          <w:rFonts w:cs="Calibri"/>
        </w:rPr>
        <w:t xml:space="preserve"> a </w:t>
      </w:r>
      <w:r w:rsidRPr="009D5438">
        <w:rPr>
          <w:rFonts w:cs="Calibri"/>
        </w:rPr>
        <w:t>ústavů AV</w:t>
      </w:r>
      <w:r w:rsidR="00C853D7">
        <w:rPr>
          <w:rFonts w:cs="Calibri"/>
        </w:rPr>
        <w:t xml:space="preserve"> </w:t>
      </w:r>
      <w:r w:rsidRPr="009D5438">
        <w:rPr>
          <w:rFonts w:cs="Calibri"/>
        </w:rPr>
        <w:t>ČR</w:t>
      </w:r>
      <w:r w:rsidR="009B66B5">
        <w:rPr>
          <w:rFonts w:cs="Calibri"/>
        </w:rPr>
        <w:t xml:space="preserve"> a </w:t>
      </w:r>
      <w:r w:rsidRPr="009D5438">
        <w:rPr>
          <w:rFonts w:cs="Calibri"/>
        </w:rPr>
        <w:t>CZARMA</w:t>
      </w:r>
      <w:r>
        <w:rPr>
          <w:rFonts w:cs="Calibri"/>
        </w:rPr>
        <w:t>.</w:t>
      </w:r>
    </w:p>
    <w:p w14:paraId="7CEA0FD4" w14:textId="77777777" w:rsidR="00E11B4F" w:rsidRDefault="00E11B4F" w:rsidP="00E11B4F">
      <w:pPr>
        <w:pStyle w:val="Odstavecseseznamem"/>
        <w:numPr>
          <w:ilvl w:val="0"/>
          <w:numId w:val="32"/>
        </w:numPr>
        <w:spacing w:after="240"/>
        <w:ind w:hanging="720"/>
      </w:pPr>
      <w:r>
        <w:rPr>
          <w:lang w:eastAsia="cs-CZ"/>
        </w:rPr>
        <w:t>Sdílet informace</w:t>
      </w:r>
      <w:r w:rsidR="009B66B5">
        <w:rPr>
          <w:lang w:eastAsia="cs-CZ"/>
        </w:rPr>
        <w:t xml:space="preserve"> a </w:t>
      </w:r>
      <w:r>
        <w:rPr>
          <w:lang w:eastAsia="cs-CZ"/>
        </w:rPr>
        <w:t>zkušenosti</w:t>
      </w:r>
      <w:r w:rsidR="009B66B5">
        <w:rPr>
          <w:lang w:eastAsia="cs-CZ"/>
        </w:rPr>
        <w:t xml:space="preserve"> a </w:t>
      </w:r>
      <w:r>
        <w:rPr>
          <w:lang w:eastAsia="cs-CZ"/>
        </w:rPr>
        <w:t xml:space="preserve">průběžně </w:t>
      </w:r>
      <w:r w:rsidRPr="00B24A26">
        <w:rPr>
          <w:b/>
          <w:bCs/>
          <w:lang w:eastAsia="cs-CZ"/>
        </w:rPr>
        <w:t>poskytovat zpětno</w:t>
      </w:r>
      <w:r w:rsidR="003141E1">
        <w:rPr>
          <w:b/>
          <w:bCs/>
          <w:lang w:eastAsia="cs-CZ"/>
        </w:rPr>
        <w:t xml:space="preserve">u vazbu </w:t>
      </w:r>
      <w:r w:rsidRPr="00B24A26">
        <w:rPr>
          <w:b/>
          <w:bCs/>
          <w:lang w:eastAsia="cs-CZ"/>
        </w:rPr>
        <w:t>organizacím</w:t>
      </w:r>
      <w:r w:rsidR="009B66B5">
        <w:rPr>
          <w:b/>
          <w:bCs/>
          <w:lang w:eastAsia="cs-CZ"/>
        </w:rPr>
        <w:t xml:space="preserve"> a </w:t>
      </w:r>
      <w:r w:rsidRPr="00B24A26">
        <w:rPr>
          <w:b/>
          <w:bCs/>
          <w:lang w:eastAsia="cs-CZ"/>
        </w:rPr>
        <w:t>týmům poskytujícím informační</w:t>
      </w:r>
      <w:r w:rsidR="009B66B5">
        <w:rPr>
          <w:b/>
          <w:bCs/>
          <w:lang w:eastAsia="cs-CZ"/>
        </w:rPr>
        <w:t xml:space="preserve"> a </w:t>
      </w:r>
      <w:r w:rsidRPr="00B24A26">
        <w:rPr>
          <w:b/>
          <w:bCs/>
          <w:lang w:eastAsia="cs-CZ"/>
        </w:rPr>
        <w:t>konzultační podporu</w:t>
      </w:r>
      <w:r>
        <w:rPr>
          <w:lang w:eastAsia="cs-CZ"/>
        </w:rPr>
        <w:t>. Součástí je</w:t>
      </w:r>
      <w:r w:rsidR="009B66B5">
        <w:rPr>
          <w:lang w:eastAsia="cs-CZ"/>
        </w:rPr>
        <w:t xml:space="preserve"> i </w:t>
      </w:r>
      <w:r>
        <w:rPr>
          <w:lang w:eastAsia="cs-CZ"/>
        </w:rPr>
        <w:t>sdílení informací mezi výzkumnými organizacemi navzájem</w:t>
      </w:r>
      <w:r w:rsidR="009B66B5">
        <w:rPr>
          <w:lang w:eastAsia="cs-CZ"/>
        </w:rPr>
        <w:t xml:space="preserve"> s </w:t>
      </w:r>
      <w:r>
        <w:rPr>
          <w:lang w:eastAsia="cs-CZ"/>
        </w:rPr>
        <w:t>cílem zvýšit kvalitu poskytování služeb všech zúčastněných stran, což může přispět</w:t>
      </w:r>
      <w:r w:rsidR="009B66B5">
        <w:rPr>
          <w:lang w:eastAsia="cs-CZ"/>
        </w:rPr>
        <w:t xml:space="preserve"> k </w:t>
      </w:r>
      <w:r>
        <w:rPr>
          <w:lang w:eastAsia="cs-CZ"/>
        </w:rPr>
        <w:t>zvýšení atraktivity českého výzkumného prostředí pro zahraniční partnery</w:t>
      </w:r>
      <w:r w:rsidR="009B66B5">
        <w:rPr>
          <w:lang w:eastAsia="cs-CZ"/>
        </w:rPr>
        <w:t xml:space="preserve"> a </w:t>
      </w:r>
      <w:r>
        <w:rPr>
          <w:lang w:eastAsia="cs-CZ"/>
        </w:rPr>
        <w:t>výzkumníky.</w:t>
      </w:r>
    </w:p>
    <w:p w14:paraId="3A6E227D" w14:textId="77777777" w:rsidR="00E11B4F" w:rsidRDefault="00E11B4F" w:rsidP="00E11B4F">
      <w:pPr>
        <w:pStyle w:val="Odstavecseseznamem"/>
        <w:numPr>
          <w:ilvl w:val="0"/>
          <w:numId w:val="32"/>
        </w:numPr>
        <w:spacing w:after="240"/>
        <w:ind w:hanging="720"/>
        <w:rPr>
          <w:lang w:eastAsia="cs-CZ"/>
        </w:rPr>
      </w:pPr>
      <w:r>
        <w:rPr>
          <w:lang w:eastAsia="cs-CZ"/>
        </w:rPr>
        <w:lastRenderedPageBreak/>
        <w:t xml:space="preserve">Podporovat </w:t>
      </w:r>
      <w:r w:rsidRPr="000D0033">
        <w:rPr>
          <w:b/>
          <w:bCs/>
          <w:lang w:eastAsia="cs-CZ"/>
        </w:rPr>
        <w:t>účast zaměstnanců na relevantních školicích, vzdělávacích</w:t>
      </w:r>
      <w:r w:rsidR="009B66B5">
        <w:rPr>
          <w:b/>
          <w:bCs/>
          <w:lang w:eastAsia="cs-CZ"/>
        </w:rPr>
        <w:t xml:space="preserve"> a </w:t>
      </w:r>
      <w:r w:rsidRPr="000D0033">
        <w:rPr>
          <w:b/>
          <w:bCs/>
          <w:lang w:eastAsia="cs-CZ"/>
        </w:rPr>
        <w:t>networkingových aktivitách</w:t>
      </w:r>
      <w:r>
        <w:rPr>
          <w:lang w:eastAsia="cs-CZ"/>
        </w:rPr>
        <w:t xml:space="preserve"> (v pracovních skupinách). S ohledem na řízení projektů mezinárodní spolupráce je účelná zejména podpora rozvoje projektových</w:t>
      </w:r>
      <w:r w:rsidR="009B66B5">
        <w:rPr>
          <w:lang w:eastAsia="cs-CZ"/>
        </w:rPr>
        <w:t xml:space="preserve"> a </w:t>
      </w:r>
      <w:r>
        <w:rPr>
          <w:lang w:eastAsia="cs-CZ"/>
        </w:rPr>
        <w:t>manažerských dovedností</w:t>
      </w:r>
      <w:r w:rsidR="003141E1">
        <w:rPr>
          <w:lang w:eastAsia="cs-CZ"/>
        </w:rPr>
        <w:t>.</w:t>
      </w:r>
      <w:r>
        <w:rPr>
          <w:lang w:eastAsia="cs-CZ"/>
        </w:rPr>
        <w:t xml:space="preserve"> </w:t>
      </w:r>
    </w:p>
    <w:p w14:paraId="2E2DF399" w14:textId="77777777" w:rsidR="00E11B4F" w:rsidRPr="007D4A55" w:rsidRDefault="00E11B4F" w:rsidP="00E11B4F">
      <w:pPr>
        <w:pStyle w:val="Nadpis2"/>
      </w:pPr>
      <w:bookmarkStart w:id="87" w:name="_Toc114572363"/>
      <w:r w:rsidRPr="007D4A55">
        <w:t xml:space="preserve">Doporučení </w:t>
      </w:r>
      <w:r>
        <w:t>pro</w:t>
      </w:r>
      <w:r w:rsidRPr="007D4A55">
        <w:t xml:space="preserve"> </w:t>
      </w:r>
      <w:r>
        <w:t>posilování</w:t>
      </w:r>
      <w:r w:rsidRPr="007D4A55">
        <w:t xml:space="preserve"> SÍTÍ A VAZEB pro </w:t>
      </w:r>
      <w:r>
        <w:t>mezinárodní spolupráci</w:t>
      </w:r>
      <w:bookmarkEnd w:id="87"/>
    </w:p>
    <w:p w14:paraId="33E6F46C" w14:textId="77777777" w:rsidR="00E11B4F" w:rsidRDefault="00E11B4F" w:rsidP="00E11B4F">
      <w:pPr>
        <w:rPr>
          <w:b/>
          <w:bCs/>
        </w:rPr>
      </w:pPr>
      <w:r w:rsidRPr="007D4A55">
        <w:rPr>
          <w:b/>
          <w:bCs/>
        </w:rPr>
        <w:t>Národní úroveň</w:t>
      </w:r>
    </w:p>
    <w:p w14:paraId="3E3BA3C8" w14:textId="77777777" w:rsidR="00E11B4F" w:rsidRDefault="00E11B4F" w:rsidP="00E11B4F">
      <w:pPr>
        <w:pStyle w:val="Odstavecseseznamem"/>
        <w:numPr>
          <w:ilvl w:val="0"/>
          <w:numId w:val="31"/>
        </w:numPr>
        <w:spacing w:after="240"/>
        <w:ind w:left="567" w:hanging="567"/>
      </w:pPr>
      <w:r>
        <w:t xml:space="preserve">Podporovat </w:t>
      </w:r>
      <w:r w:rsidRPr="007F7FF7">
        <w:rPr>
          <w:b/>
          <w:bCs/>
        </w:rPr>
        <w:t>komunikaci, pravidelnou spolupráci</w:t>
      </w:r>
      <w:r w:rsidR="009B66B5">
        <w:rPr>
          <w:b/>
          <w:bCs/>
        </w:rPr>
        <w:t xml:space="preserve"> a </w:t>
      </w:r>
      <w:r w:rsidRPr="007F7FF7">
        <w:rPr>
          <w:b/>
          <w:bCs/>
        </w:rPr>
        <w:t>sdílení informací</w:t>
      </w:r>
      <w:r w:rsidR="009B66B5">
        <w:rPr>
          <w:b/>
          <w:bCs/>
        </w:rPr>
        <w:t xml:space="preserve"> a </w:t>
      </w:r>
      <w:r w:rsidRPr="007F7FF7">
        <w:rPr>
          <w:b/>
          <w:bCs/>
        </w:rPr>
        <w:t>zkušeností</w:t>
      </w:r>
      <w:r w:rsidR="009B66B5">
        <w:rPr>
          <w:b/>
          <w:bCs/>
        </w:rPr>
        <w:t xml:space="preserve"> o </w:t>
      </w:r>
      <w:r w:rsidRPr="007F7FF7">
        <w:rPr>
          <w:b/>
          <w:bCs/>
        </w:rPr>
        <w:t>možnostech synergického propojení programů/výzev</w:t>
      </w:r>
      <w:r>
        <w:t xml:space="preserve"> mezi poskytovateli, </w:t>
      </w:r>
      <w:r w:rsidR="008225F5">
        <w:t>NCP</w:t>
      </w:r>
      <w:r>
        <w:t xml:space="preserve"> pro </w:t>
      </w:r>
      <w:r w:rsidR="008225F5">
        <w:t>RP</w:t>
      </w:r>
      <w:r>
        <w:t>, příjemci (výzkumnými organizacemi, firmami atd.)</w:t>
      </w:r>
      <w:r w:rsidR="009B66B5">
        <w:t xml:space="preserve"> a </w:t>
      </w:r>
      <w:r w:rsidR="003108AE">
        <w:t>Evropskou komisí</w:t>
      </w:r>
      <w:r>
        <w:t>. Spolupráce mezi poskytovateli</w:t>
      </w:r>
      <w:r w:rsidR="009B66B5">
        <w:t xml:space="preserve"> a </w:t>
      </w:r>
      <w:r w:rsidR="008225F5">
        <w:t>NCP</w:t>
      </w:r>
      <w:r>
        <w:t xml:space="preserve"> umožní důkladné seznámení se</w:t>
      </w:r>
      <w:r w:rsidR="009B66B5">
        <w:t xml:space="preserve"> s </w:t>
      </w:r>
      <w:r>
        <w:t>pravidly konkrét</w:t>
      </w:r>
      <w:r w:rsidR="00813FB9">
        <w:t>ních programů</w:t>
      </w:r>
      <w:r w:rsidR="009B66B5">
        <w:t xml:space="preserve"> a </w:t>
      </w:r>
      <w:r w:rsidR="00813FB9">
        <w:t>umožní diskus</w:t>
      </w:r>
      <w:r>
        <w:t>i nad možností jejich synergického propojení. Zároveň zkušenosti jednoho poskytovatele mohou být využity pro nastavení synergie programu jiného poskytovatele. Příjemci vnáší praktický pohled na administraci daných projektů</w:t>
      </w:r>
      <w:r w:rsidR="009B66B5">
        <w:t xml:space="preserve"> a </w:t>
      </w:r>
      <w:r>
        <w:t>mohou podněcovat ke zjednodušením</w:t>
      </w:r>
      <w:r w:rsidR="009B66B5">
        <w:t xml:space="preserve"> a </w:t>
      </w:r>
      <w:r>
        <w:t>také</w:t>
      </w:r>
      <w:r w:rsidR="009B66B5">
        <w:t xml:space="preserve"> k </w:t>
      </w:r>
      <w:r>
        <w:t>synergiím</w:t>
      </w:r>
      <w:r w:rsidR="009B66B5">
        <w:t xml:space="preserve"> s </w:t>
      </w:r>
      <w:r>
        <w:t>novými programy. Komunikace</w:t>
      </w:r>
      <w:r w:rsidR="009B66B5">
        <w:t xml:space="preserve"> s </w:t>
      </w:r>
      <w:r w:rsidR="003108AE">
        <w:t>Evropskou komisí</w:t>
      </w:r>
      <w:r>
        <w:t xml:space="preserve"> je důležitá jako zpětná vazba konkrétních překážek při nastavování synergií</w:t>
      </w:r>
      <w:r w:rsidR="009B66B5">
        <w:t xml:space="preserve"> a </w:t>
      </w:r>
      <w:r>
        <w:t xml:space="preserve">měla by být podnětem pro širší celoevropskou diskuzi. Taková diskuze může vyústit do změny/návrhu nové legislativy, vzniku podpůrného/vysvětlujícího dokumentu (př. guidelines) apod. Důležité je proto zapojení do již existujících skupin, např. Seal of Excellence Community of Practice. </w:t>
      </w:r>
    </w:p>
    <w:p w14:paraId="1107139D" w14:textId="77777777" w:rsidR="00E11B4F" w:rsidRDefault="00E11B4F" w:rsidP="00E11B4F">
      <w:pPr>
        <w:pStyle w:val="Odstavecseseznamem"/>
        <w:numPr>
          <w:ilvl w:val="0"/>
          <w:numId w:val="31"/>
        </w:numPr>
        <w:spacing w:after="240"/>
        <w:ind w:left="567" w:hanging="567"/>
      </w:pPr>
      <w:r>
        <w:t xml:space="preserve">Aktivně </w:t>
      </w:r>
      <w:r w:rsidRPr="00967496">
        <w:rPr>
          <w:b/>
          <w:bCs/>
        </w:rPr>
        <w:t>zapojit zástupce relevantních poskytovatelů do expertních skupin pro přípravu národních pozic</w:t>
      </w:r>
      <w:r w:rsidR="009B66B5">
        <w:t xml:space="preserve"> k </w:t>
      </w:r>
      <w:r w:rsidR="00813FB9">
        <w:t>návrhům</w:t>
      </w:r>
      <w:r>
        <w:t xml:space="preserve"> pracovních programů</w:t>
      </w:r>
      <w:r w:rsidR="008225F5">
        <w:t xml:space="preserve"> RP</w:t>
      </w:r>
      <w:r>
        <w:t>, které umožní poskytovatelům dát zpětnou vazbu</w:t>
      </w:r>
      <w:r w:rsidR="009B66B5">
        <w:t xml:space="preserve"> k </w:t>
      </w:r>
      <w:r>
        <w:t>danému návrhu</w:t>
      </w:r>
      <w:r w:rsidR="009B66B5">
        <w:t xml:space="preserve"> a </w:t>
      </w:r>
      <w:r>
        <w:t>zároveň se včas připravit na chystané podmínky synergické výzvy. Pro komunikaci NCP</w:t>
      </w:r>
      <w:r w:rsidR="009B66B5">
        <w:t xml:space="preserve"> a </w:t>
      </w:r>
      <w:r>
        <w:t xml:space="preserve">poskytovatelů by mohla být využita </w:t>
      </w:r>
      <w:r>
        <w:rPr>
          <w:lang w:eastAsia="cs-CZ"/>
        </w:rPr>
        <w:t>existující aktivita neformální pracovní skupiny</w:t>
      </w:r>
      <w:r w:rsidR="009B66B5">
        <w:rPr>
          <w:lang w:eastAsia="cs-CZ"/>
        </w:rPr>
        <w:t xml:space="preserve"> k </w:t>
      </w:r>
      <w:r>
        <w:rPr>
          <w:lang w:eastAsia="cs-CZ"/>
        </w:rPr>
        <w:t xml:space="preserve">synergiím, která </w:t>
      </w:r>
      <w:r>
        <w:t>již dvakrát uspořádala setkání</w:t>
      </w:r>
      <w:r w:rsidR="009B66B5">
        <w:t xml:space="preserve"> s </w:t>
      </w:r>
      <w:r>
        <w:t>národními poskytovateli (tzv. Synergies open)</w:t>
      </w:r>
      <w:r w:rsidR="009B66B5">
        <w:t xml:space="preserve"> s </w:t>
      </w:r>
      <w:r>
        <w:t>cílem informovat je</w:t>
      </w:r>
      <w:r w:rsidR="009B66B5">
        <w:t xml:space="preserve"> o </w:t>
      </w:r>
      <w:r>
        <w:t>synergiích.</w:t>
      </w:r>
    </w:p>
    <w:p w14:paraId="57882D59" w14:textId="10F4B91B" w:rsidR="00E11B4F" w:rsidRDefault="00E11B4F" w:rsidP="00E11B4F">
      <w:pPr>
        <w:pStyle w:val="Odstavecseseznamem"/>
        <w:numPr>
          <w:ilvl w:val="0"/>
          <w:numId w:val="31"/>
        </w:numPr>
        <w:spacing w:after="240"/>
        <w:ind w:left="567" w:hanging="567"/>
        <w:rPr>
          <w:rFonts w:cs="Calibri"/>
        </w:rPr>
      </w:pPr>
      <w:r>
        <w:rPr>
          <w:rFonts w:cs="Calibri"/>
        </w:rPr>
        <w:t xml:space="preserve">Poskytovat </w:t>
      </w:r>
      <w:r w:rsidRPr="00967496">
        <w:rPr>
          <w:rFonts w:cs="Calibri"/>
        </w:rPr>
        <w:t xml:space="preserve">systémovou </w:t>
      </w:r>
      <w:r w:rsidRPr="00967496">
        <w:rPr>
          <w:rFonts w:cs="Calibri"/>
          <w:b/>
          <w:bCs/>
        </w:rPr>
        <w:t>podporu národním klastrovým organizacím</w:t>
      </w:r>
      <w:r w:rsidR="009B66B5">
        <w:rPr>
          <w:rFonts w:cs="Calibri"/>
          <w:b/>
          <w:bCs/>
        </w:rPr>
        <w:t xml:space="preserve"> a </w:t>
      </w:r>
      <w:r w:rsidRPr="00967496">
        <w:rPr>
          <w:rFonts w:cs="Calibri"/>
          <w:b/>
          <w:bCs/>
        </w:rPr>
        <w:t>technologickým platformám</w:t>
      </w:r>
      <w:r w:rsidRPr="00967496">
        <w:rPr>
          <w:rFonts w:cs="Calibri"/>
        </w:rPr>
        <w:t>, které zahrnují širší spektrum žadatelů</w:t>
      </w:r>
      <w:r w:rsidR="009B66B5">
        <w:rPr>
          <w:rFonts w:cs="Calibri"/>
        </w:rPr>
        <w:t xml:space="preserve"> a </w:t>
      </w:r>
      <w:r w:rsidRPr="00967496">
        <w:rPr>
          <w:rFonts w:cs="Calibri"/>
        </w:rPr>
        <w:t>jsou zároveň vhodn</w:t>
      </w:r>
      <w:r>
        <w:rPr>
          <w:rFonts w:cs="Calibri"/>
        </w:rPr>
        <w:t>ým</w:t>
      </w:r>
      <w:r w:rsidR="009B66B5">
        <w:rPr>
          <w:rFonts w:cs="Calibri"/>
        </w:rPr>
        <w:t xml:space="preserve"> a </w:t>
      </w:r>
      <w:r w:rsidRPr="00967496">
        <w:rPr>
          <w:rFonts w:cs="Calibri"/>
        </w:rPr>
        <w:t>reprezentativn</w:t>
      </w:r>
      <w:r>
        <w:rPr>
          <w:rFonts w:cs="Calibri"/>
        </w:rPr>
        <w:t>ím</w:t>
      </w:r>
      <w:r w:rsidRPr="00967496">
        <w:rPr>
          <w:rFonts w:cs="Calibri"/>
        </w:rPr>
        <w:t xml:space="preserve"> partnerem směrem</w:t>
      </w:r>
      <w:r w:rsidR="009B66B5">
        <w:rPr>
          <w:rFonts w:cs="Calibri"/>
        </w:rPr>
        <w:t xml:space="preserve"> k </w:t>
      </w:r>
      <w:r w:rsidRPr="00967496">
        <w:rPr>
          <w:rFonts w:cs="Calibri"/>
        </w:rPr>
        <w:t>analogickým evropským asociacím</w:t>
      </w:r>
      <w:r w:rsidR="009B66B5">
        <w:rPr>
          <w:rFonts w:cs="Calibri"/>
        </w:rPr>
        <w:t xml:space="preserve"> a </w:t>
      </w:r>
      <w:r w:rsidRPr="00967496">
        <w:rPr>
          <w:rFonts w:cs="Calibri"/>
        </w:rPr>
        <w:t>platformám</w:t>
      </w:r>
      <w:r>
        <w:rPr>
          <w:rFonts w:cs="Calibri"/>
        </w:rPr>
        <w:t xml:space="preserve"> pro zapojení do evropských partnerství.</w:t>
      </w:r>
    </w:p>
    <w:p w14:paraId="176E085E" w14:textId="77777777" w:rsidR="003234C8" w:rsidRDefault="003234C8" w:rsidP="003234C8">
      <w:pPr>
        <w:pStyle w:val="Odstavecseseznamem"/>
        <w:spacing w:after="240"/>
        <w:ind w:left="567"/>
        <w:rPr>
          <w:rFonts w:cs="Calibri"/>
        </w:rPr>
      </w:pPr>
    </w:p>
    <w:p w14:paraId="1E409BD5" w14:textId="77777777" w:rsidR="00E11B4F" w:rsidRPr="00DF6FD4" w:rsidRDefault="00E11B4F" w:rsidP="00E11B4F">
      <w:pPr>
        <w:pStyle w:val="Odstavecseseznamem"/>
        <w:numPr>
          <w:ilvl w:val="0"/>
          <w:numId w:val="31"/>
        </w:numPr>
        <w:spacing w:after="240"/>
        <w:ind w:left="567" w:hanging="567"/>
      </w:pPr>
      <w:r>
        <w:rPr>
          <w:rFonts w:cs="Calibri"/>
        </w:rPr>
        <w:t>Stimulovat klastry, technologické platformy</w:t>
      </w:r>
      <w:r w:rsidR="009B66B5">
        <w:rPr>
          <w:rFonts w:cs="Calibri"/>
        </w:rPr>
        <w:t xml:space="preserve"> a </w:t>
      </w:r>
      <w:r>
        <w:rPr>
          <w:rFonts w:cs="Calibri"/>
        </w:rPr>
        <w:t>asociace</w:t>
      </w:r>
      <w:r w:rsidR="009B66B5">
        <w:rPr>
          <w:rFonts w:cs="Calibri"/>
        </w:rPr>
        <w:t xml:space="preserve"> k </w:t>
      </w:r>
      <w:r w:rsidRPr="00F12AD3">
        <w:rPr>
          <w:rFonts w:cs="Calibri"/>
          <w:b/>
          <w:bCs/>
        </w:rPr>
        <w:t>rozšíření</w:t>
      </w:r>
      <w:r w:rsidR="009B66B5">
        <w:rPr>
          <w:rFonts w:cs="Calibri"/>
          <w:b/>
          <w:bCs/>
        </w:rPr>
        <w:t xml:space="preserve"> a </w:t>
      </w:r>
      <w:r w:rsidRPr="00F12AD3">
        <w:rPr>
          <w:rFonts w:cs="Calibri"/>
          <w:b/>
          <w:bCs/>
        </w:rPr>
        <w:t xml:space="preserve">posílení kvality kontaktů na důležité evropské </w:t>
      </w:r>
      <w:r w:rsidR="008225F5">
        <w:rPr>
          <w:rFonts w:cs="Calibri"/>
          <w:b/>
          <w:bCs/>
        </w:rPr>
        <w:t>stakeholdery</w:t>
      </w:r>
      <w:r w:rsidR="008225F5" w:rsidRPr="3E8665BB">
        <w:rPr>
          <w:rFonts w:cs="Calibri"/>
        </w:rPr>
        <w:t xml:space="preserve"> </w:t>
      </w:r>
      <w:r w:rsidRPr="3E8665BB">
        <w:rPr>
          <w:rFonts w:cs="Calibri"/>
        </w:rPr>
        <w:t xml:space="preserve">při vyhledávání partnerů do konsorcií. </w:t>
      </w:r>
      <w:r>
        <w:rPr>
          <w:rFonts w:cs="Calibri"/>
        </w:rPr>
        <w:t xml:space="preserve">Tradičním nástrojem jsou speciální </w:t>
      </w:r>
      <w:r w:rsidRPr="3E8665BB">
        <w:rPr>
          <w:rFonts w:cs="Calibri"/>
        </w:rPr>
        <w:t>partnerské burzy</w:t>
      </w:r>
      <w:r w:rsidR="009B66B5">
        <w:rPr>
          <w:rFonts w:cs="Calibri"/>
        </w:rPr>
        <w:t xml:space="preserve"> a </w:t>
      </w:r>
      <w:r w:rsidRPr="3E8665BB">
        <w:rPr>
          <w:rFonts w:cs="Calibri"/>
        </w:rPr>
        <w:t>nástroje pro vyhledávání kontaktů pro konsorcia (např. Crowdhelix)</w:t>
      </w:r>
      <w:r>
        <w:rPr>
          <w:rFonts w:cs="Calibri"/>
        </w:rPr>
        <w:t>, pro navazování strategických partnerství je však nezbytné cílit na asociace</w:t>
      </w:r>
      <w:r w:rsidR="009B66B5">
        <w:rPr>
          <w:rFonts w:cs="Calibri"/>
        </w:rPr>
        <w:t xml:space="preserve"> a </w:t>
      </w:r>
      <w:r>
        <w:rPr>
          <w:rFonts w:cs="Calibri"/>
        </w:rPr>
        <w:t>platformy, které aktivně půso</w:t>
      </w:r>
      <w:r w:rsidR="00813FB9">
        <w:rPr>
          <w:rFonts w:cs="Calibri"/>
        </w:rPr>
        <w:t>bí</w:t>
      </w:r>
      <w:r w:rsidR="009B66B5">
        <w:rPr>
          <w:rFonts w:cs="Calibri"/>
        </w:rPr>
        <w:t xml:space="preserve"> v </w:t>
      </w:r>
      <w:r w:rsidR="00813FB9">
        <w:rPr>
          <w:rFonts w:cs="Calibri"/>
        </w:rPr>
        <w:t xml:space="preserve">evropských partnerstvích. </w:t>
      </w:r>
      <w:r>
        <w:rPr>
          <w:rFonts w:cs="Calibri"/>
        </w:rPr>
        <w:t>P</w:t>
      </w:r>
      <w:r w:rsidRPr="00F12AD3">
        <w:rPr>
          <w:rFonts w:cs="Calibri"/>
        </w:rPr>
        <w:t>omocnou roli při navazování kontakt</w:t>
      </w:r>
      <w:r>
        <w:rPr>
          <w:rFonts w:cs="Calibri"/>
        </w:rPr>
        <w:t>ů</w:t>
      </w:r>
      <w:r w:rsidR="009B66B5">
        <w:rPr>
          <w:rFonts w:cs="Calibri"/>
        </w:rPr>
        <w:t xml:space="preserve"> s </w:t>
      </w:r>
      <w:r w:rsidRPr="00F12AD3">
        <w:rPr>
          <w:rFonts w:cs="Calibri"/>
        </w:rPr>
        <w:t>asociacemi spojenými</w:t>
      </w:r>
      <w:r w:rsidR="009B66B5">
        <w:rPr>
          <w:rFonts w:cs="Calibri"/>
        </w:rPr>
        <w:t xml:space="preserve"> s </w:t>
      </w:r>
      <w:r w:rsidRPr="00F12AD3">
        <w:rPr>
          <w:rFonts w:cs="Calibri"/>
        </w:rPr>
        <w:t xml:space="preserve">tímto typem partnerství mohou sehrát např. sítě NCP pro jednotlivé oblasti </w:t>
      </w:r>
      <w:r w:rsidR="000B6319">
        <w:rPr>
          <w:rFonts w:cs="Calibri"/>
        </w:rPr>
        <w:t>RP</w:t>
      </w:r>
      <w:r w:rsidRPr="00F12AD3">
        <w:rPr>
          <w:rFonts w:cs="Calibri"/>
        </w:rPr>
        <w:t xml:space="preserve">, (NCP networks, podpořené </w:t>
      </w:r>
      <w:r w:rsidR="003108AE">
        <w:rPr>
          <w:rFonts w:cs="Calibri"/>
        </w:rPr>
        <w:t>Evropskou komisí</w:t>
      </w:r>
      <w:r w:rsidRPr="00F12AD3">
        <w:rPr>
          <w:rFonts w:cs="Calibri"/>
        </w:rPr>
        <w:t xml:space="preserve"> prostřednictvím CSA projektů)</w:t>
      </w:r>
      <w:r w:rsidR="00813FB9">
        <w:rPr>
          <w:rFonts w:cs="Calibri"/>
        </w:rPr>
        <w:t>,</w:t>
      </w:r>
      <w:r w:rsidRPr="00F12AD3">
        <w:rPr>
          <w:rFonts w:cs="Calibri"/>
        </w:rPr>
        <w:t xml:space="preserve"> které</w:t>
      </w:r>
      <w:r w:rsidR="009B66B5">
        <w:rPr>
          <w:rFonts w:cs="Calibri"/>
        </w:rPr>
        <w:t xml:space="preserve"> v </w:t>
      </w:r>
      <w:r w:rsidRPr="00F12AD3">
        <w:rPr>
          <w:rFonts w:cs="Calibri"/>
        </w:rPr>
        <w:t>rámci svých aktivit mají</w:t>
      </w:r>
      <w:r w:rsidR="009B66B5">
        <w:rPr>
          <w:rFonts w:cs="Calibri"/>
        </w:rPr>
        <w:t xml:space="preserve"> i </w:t>
      </w:r>
      <w:r w:rsidRPr="00F12AD3">
        <w:rPr>
          <w:rFonts w:cs="Calibri"/>
        </w:rPr>
        <w:t>komunikaci</w:t>
      </w:r>
      <w:r w:rsidR="009B66B5">
        <w:rPr>
          <w:rFonts w:cs="Calibri"/>
        </w:rPr>
        <w:t xml:space="preserve"> s </w:t>
      </w:r>
      <w:r w:rsidRPr="00F12AD3">
        <w:rPr>
          <w:rFonts w:cs="Calibri"/>
        </w:rPr>
        <w:t>příslušnými asociacemi.</w:t>
      </w:r>
    </w:p>
    <w:p w14:paraId="2FA6EE75" w14:textId="0C63F885" w:rsidR="00DF6FD4" w:rsidRPr="00CE050E" w:rsidRDefault="006059A5" w:rsidP="00E11B4F">
      <w:pPr>
        <w:pStyle w:val="Odstavecseseznamem"/>
        <w:numPr>
          <w:ilvl w:val="0"/>
          <w:numId w:val="31"/>
        </w:numPr>
        <w:spacing w:after="240"/>
        <w:ind w:left="567" w:hanging="567"/>
      </w:pPr>
      <w:r>
        <w:lastRenderedPageBreak/>
        <w:t xml:space="preserve">Podporovat aktivní účast </w:t>
      </w:r>
      <w:r w:rsidR="003234C8">
        <w:t xml:space="preserve">a zapojení do </w:t>
      </w:r>
      <w:r w:rsidR="00DF6FD4" w:rsidRPr="00DF6FD4">
        <w:t>mezinárodních organizací</w:t>
      </w:r>
      <w:r w:rsidR="00352D46">
        <w:t>ch</w:t>
      </w:r>
      <w:r w:rsidR="003234C8">
        <w:t xml:space="preserve"> výzkumu, vývoje a inovací</w:t>
      </w:r>
      <w:r w:rsidR="009B66B5">
        <w:t xml:space="preserve"> a </w:t>
      </w:r>
      <w:r w:rsidR="003234C8">
        <w:t xml:space="preserve">konsorcií </w:t>
      </w:r>
      <w:r w:rsidR="003234C8" w:rsidRPr="00DF6FD4">
        <w:t>ERIC</w:t>
      </w:r>
      <w:r w:rsidR="003234C8">
        <w:t xml:space="preserve"> – European</w:t>
      </w:r>
      <w:r w:rsidR="0094254B" w:rsidRPr="0094254B">
        <w:t xml:space="preserve"> Research Infrastructure Consortium</w:t>
      </w:r>
      <w:r w:rsidR="00427559">
        <w:t>. Zapo</w:t>
      </w:r>
      <w:r w:rsidR="000D346B">
        <w:t xml:space="preserve">jení </w:t>
      </w:r>
      <w:r w:rsidR="002C6770">
        <w:t>do</w:t>
      </w:r>
      <w:r w:rsidR="002E665D">
        <w:t xml:space="preserve"> relevantních organizací</w:t>
      </w:r>
      <w:r w:rsidR="009B66B5">
        <w:t xml:space="preserve"> a </w:t>
      </w:r>
      <w:r w:rsidR="002E665D">
        <w:t>sítí je důležitým</w:t>
      </w:r>
      <w:r w:rsidR="00DC5359">
        <w:t xml:space="preserve"> </w:t>
      </w:r>
      <w:r w:rsidR="009A2D38">
        <w:t>předpoklad</w:t>
      </w:r>
      <w:r w:rsidR="00BC587D">
        <w:t>em</w:t>
      </w:r>
      <w:r w:rsidR="00744C42">
        <w:t xml:space="preserve"> pro další rozvoj</w:t>
      </w:r>
      <w:r w:rsidR="00DF6FD4" w:rsidRPr="00DF6FD4">
        <w:t xml:space="preserve"> mezinárodní spolupráce</w:t>
      </w:r>
      <w:r w:rsidR="00BC587D">
        <w:t xml:space="preserve"> ve VaVaI.</w:t>
      </w:r>
    </w:p>
    <w:p w14:paraId="3216BB32" w14:textId="77777777" w:rsidR="00E11B4F" w:rsidRPr="007D4A55" w:rsidRDefault="00E11B4F" w:rsidP="00E11B4F">
      <w:pPr>
        <w:keepNext/>
        <w:rPr>
          <w:b/>
          <w:bCs/>
        </w:rPr>
      </w:pPr>
      <w:r w:rsidRPr="007D4A55">
        <w:rPr>
          <w:b/>
          <w:bCs/>
        </w:rPr>
        <w:t>Institucionální úroveň</w:t>
      </w:r>
    </w:p>
    <w:p w14:paraId="2D184BF3" w14:textId="77777777" w:rsidR="00E11B4F" w:rsidRDefault="00E11B4F" w:rsidP="00E11B4F">
      <w:pPr>
        <w:pStyle w:val="Odstavecseseznamem"/>
        <w:numPr>
          <w:ilvl w:val="0"/>
          <w:numId w:val="32"/>
        </w:numPr>
        <w:spacing w:after="240"/>
        <w:ind w:hanging="720"/>
        <w:rPr>
          <w:lang w:eastAsia="cs-CZ"/>
        </w:rPr>
      </w:pPr>
      <w:r>
        <w:rPr>
          <w:lang w:eastAsia="cs-CZ"/>
        </w:rPr>
        <w:t xml:space="preserve">Využívat nástroje </w:t>
      </w:r>
      <w:r w:rsidRPr="006927CC">
        <w:rPr>
          <w:b/>
          <w:bCs/>
          <w:lang w:eastAsia="cs-CZ"/>
        </w:rPr>
        <w:t xml:space="preserve">mezinárodní mobility </w:t>
      </w:r>
      <w:r w:rsidRPr="006927CC">
        <w:rPr>
          <w:b/>
          <w:bCs/>
        </w:rPr>
        <w:t>Akce Marie Skłodowska-Curie (MSCA)</w:t>
      </w:r>
      <w:r>
        <w:t xml:space="preserve"> pro rozvoj spolupráce</w:t>
      </w:r>
      <w:r w:rsidR="009B66B5">
        <w:t xml:space="preserve"> s </w:t>
      </w:r>
      <w:r>
        <w:t>předními zahraničními výzkumnými pracovišti pro posílení</w:t>
      </w:r>
      <w:r w:rsidRPr="003749E1">
        <w:t xml:space="preserve"> internacionalizace českého akademického prostředí</w:t>
      </w:r>
      <w:r>
        <w:t>, rozvoj kariéry zejména mladých výzkumných pracovníků</w:t>
      </w:r>
      <w:r w:rsidR="009B66B5">
        <w:t xml:space="preserve"> a </w:t>
      </w:r>
      <w:r>
        <w:t>posílení</w:t>
      </w:r>
      <w:r w:rsidRPr="003749E1">
        <w:t xml:space="preserve"> znalostní základn</w:t>
      </w:r>
      <w:r>
        <w:t>y na domácích výzkumných pracovištích.</w:t>
      </w:r>
    </w:p>
    <w:p w14:paraId="18267A81" w14:textId="77777777" w:rsidR="00E11B4F" w:rsidRDefault="00E11B4F" w:rsidP="00E11B4F">
      <w:pPr>
        <w:pStyle w:val="Odstavecseseznamem"/>
        <w:numPr>
          <w:ilvl w:val="0"/>
          <w:numId w:val="32"/>
        </w:numPr>
        <w:spacing w:after="240"/>
        <w:ind w:hanging="720"/>
        <w:rPr>
          <w:lang w:eastAsia="cs-CZ"/>
        </w:rPr>
      </w:pPr>
      <w:r>
        <w:rPr>
          <w:lang w:eastAsia="cs-CZ"/>
        </w:rPr>
        <w:t>Posilovat mezinárodní spolupráci</w:t>
      </w:r>
      <w:r w:rsidR="009B66B5">
        <w:rPr>
          <w:lang w:eastAsia="cs-CZ"/>
        </w:rPr>
        <w:t xml:space="preserve"> a </w:t>
      </w:r>
      <w:r w:rsidRPr="006927CC">
        <w:rPr>
          <w:b/>
          <w:bCs/>
          <w:lang w:eastAsia="cs-CZ"/>
        </w:rPr>
        <w:t>strategickou spolupráci</w:t>
      </w:r>
      <w:r w:rsidR="009B66B5">
        <w:rPr>
          <w:b/>
          <w:bCs/>
          <w:lang w:eastAsia="cs-CZ"/>
        </w:rPr>
        <w:t xml:space="preserve"> v </w:t>
      </w:r>
      <w:r w:rsidRPr="006927CC">
        <w:rPr>
          <w:b/>
          <w:bCs/>
          <w:lang w:eastAsia="cs-CZ"/>
        </w:rPr>
        <w:t>oblasti vzdělávání</w:t>
      </w:r>
      <w:r w:rsidR="009B66B5">
        <w:rPr>
          <w:lang w:eastAsia="cs-CZ"/>
        </w:rPr>
        <w:t xml:space="preserve"> a </w:t>
      </w:r>
      <w:r>
        <w:rPr>
          <w:lang w:eastAsia="cs-CZ"/>
        </w:rPr>
        <w:t>prohlubovat vazby domácích vysokých škol se zahraničními univerzitami. Snahou je vytvořit</w:t>
      </w:r>
      <w:r w:rsidR="009B66B5">
        <w:rPr>
          <w:lang w:eastAsia="cs-CZ"/>
        </w:rPr>
        <w:t xml:space="preserve"> a </w:t>
      </w:r>
      <w:r>
        <w:rPr>
          <w:lang w:eastAsia="cs-CZ"/>
        </w:rPr>
        <w:t>rozvíjet strategická partnerství se zahraničními vysokými školami</w:t>
      </w:r>
      <w:r w:rsidR="009B66B5">
        <w:rPr>
          <w:lang w:eastAsia="cs-CZ"/>
        </w:rPr>
        <w:t xml:space="preserve"> v </w:t>
      </w:r>
      <w:r>
        <w:rPr>
          <w:lang w:eastAsia="cs-CZ"/>
        </w:rPr>
        <w:t>obou rovinách fungování vysokých škol – vzdělávací</w:t>
      </w:r>
      <w:r w:rsidR="009B66B5">
        <w:rPr>
          <w:lang w:eastAsia="cs-CZ"/>
        </w:rPr>
        <w:t xml:space="preserve"> i </w:t>
      </w:r>
      <w:r>
        <w:rPr>
          <w:lang w:eastAsia="cs-CZ"/>
        </w:rPr>
        <w:t>výzkumné.</w:t>
      </w:r>
    </w:p>
    <w:p w14:paraId="17365672" w14:textId="77777777" w:rsidR="00E11B4F" w:rsidRPr="007D4A55" w:rsidRDefault="00E11B4F" w:rsidP="00E11B4F">
      <w:pPr>
        <w:pStyle w:val="Nadpis2"/>
      </w:pPr>
      <w:bookmarkStart w:id="88" w:name="_Toc114572364"/>
      <w:r w:rsidRPr="007D4A55">
        <w:t xml:space="preserve">Doporučení </w:t>
      </w:r>
      <w:r>
        <w:t>pro</w:t>
      </w:r>
      <w:r w:rsidRPr="007D4A55">
        <w:t xml:space="preserve"> rozvoj KAPACIT pro mezinárodní spolupráci</w:t>
      </w:r>
      <w:bookmarkEnd w:id="88"/>
    </w:p>
    <w:p w14:paraId="1A9F1401" w14:textId="77777777" w:rsidR="00E11B4F" w:rsidRDefault="00E11B4F" w:rsidP="00E11B4F">
      <w:pPr>
        <w:rPr>
          <w:b/>
          <w:bCs/>
        </w:rPr>
      </w:pPr>
      <w:r w:rsidRPr="0B611335">
        <w:rPr>
          <w:b/>
          <w:bCs/>
        </w:rPr>
        <w:t>Národní úroveň</w:t>
      </w:r>
    </w:p>
    <w:p w14:paraId="63CF33DE" w14:textId="77777777" w:rsidR="00E11B4F" w:rsidRDefault="00E11B4F" w:rsidP="00E11B4F">
      <w:pPr>
        <w:pStyle w:val="Odstavecseseznamem"/>
        <w:numPr>
          <w:ilvl w:val="0"/>
          <w:numId w:val="31"/>
        </w:numPr>
        <w:spacing w:after="240"/>
        <w:ind w:left="567" w:hanging="567"/>
      </w:pPr>
      <w:r>
        <w:t xml:space="preserve">Propagovat </w:t>
      </w:r>
      <w:r w:rsidRPr="00FC75CE">
        <w:rPr>
          <w:b/>
          <w:bCs/>
        </w:rPr>
        <w:t>úspěšné projekty</w:t>
      </w:r>
      <w:r>
        <w:t xml:space="preserve"> </w:t>
      </w:r>
      <w:r w:rsidR="000B6319">
        <w:t>RP</w:t>
      </w:r>
      <w:r>
        <w:t xml:space="preserve"> (např. sekce</w:t>
      </w:r>
      <w:r w:rsidRPr="662E54F4">
        <w:t xml:space="preserve"> Success stories</w:t>
      </w:r>
      <w:r>
        <w:t xml:space="preserve"> na portále horizontevropa.cz)</w:t>
      </w:r>
      <w:r w:rsidR="009B66B5">
        <w:t xml:space="preserve"> a </w:t>
      </w:r>
      <w:r>
        <w:t>podporovat aktivní sdílení těchto zkušeností ve výzkumné komunitě.</w:t>
      </w:r>
      <w:r w:rsidRPr="00D45EFC">
        <w:t xml:space="preserve"> </w:t>
      </w:r>
      <w:r>
        <w:t>Prohlubovat spolupráci</w:t>
      </w:r>
      <w:r w:rsidR="009B66B5">
        <w:t xml:space="preserve"> s </w:t>
      </w:r>
      <w:r>
        <w:t>experty</w:t>
      </w:r>
      <w:r w:rsidR="009B66B5">
        <w:t xml:space="preserve"> a </w:t>
      </w:r>
      <w:r>
        <w:t xml:space="preserve">zástupci organizací, které jsou příjemci grantů </w:t>
      </w:r>
      <w:r w:rsidR="000B6319">
        <w:t>RP</w:t>
      </w:r>
      <w:r>
        <w:t xml:space="preserve"> (tato zpětná vazba umožňuje efektivně propojit pravidla</w:t>
      </w:r>
      <w:r w:rsidR="009B66B5">
        <w:t xml:space="preserve"> a </w:t>
      </w:r>
      <w:r>
        <w:t>požadavky</w:t>
      </w:r>
      <w:r w:rsidR="009B66B5">
        <w:t xml:space="preserve"> a </w:t>
      </w:r>
      <w:r>
        <w:t>praktické zkušenosti).</w:t>
      </w:r>
    </w:p>
    <w:p w14:paraId="1F05ACC2" w14:textId="77777777" w:rsidR="00E11B4F" w:rsidRPr="0069474D" w:rsidRDefault="00E11B4F" w:rsidP="00E11B4F">
      <w:pPr>
        <w:pStyle w:val="Odstavecseseznamem"/>
        <w:numPr>
          <w:ilvl w:val="0"/>
          <w:numId w:val="31"/>
        </w:numPr>
        <w:spacing w:after="240"/>
        <w:ind w:left="567" w:hanging="567"/>
        <w:rPr>
          <w:rFonts w:cs="Calibri"/>
        </w:rPr>
      </w:pPr>
      <w:r>
        <w:t xml:space="preserve">Posílit </w:t>
      </w:r>
      <w:r w:rsidRPr="007419BE">
        <w:rPr>
          <w:b/>
          <w:bCs/>
        </w:rPr>
        <w:t>podporu výzkumu MSP</w:t>
      </w:r>
      <w:r w:rsidR="009B66B5">
        <w:rPr>
          <w:b/>
          <w:bCs/>
        </w:rPr>
        <w:t xml:space="preserve"> a </w:t>
      </w:r>
      <w:r w:rsidRPr="007419BE">
        <w:rPr>
          <w:b/>
          <w:bCs/>
        </w:rPr>
        <w:t>tec</w:t>
      </w:r>
      <w:r w:rsidR="00375889">
        <w:rPr>
          <w:b/>
          <w:bCs/>
        </w:rPr>
        <w:t>hnologických start-upů ve fázi Proof-of-C</w:t>
      </w:r>
      <w:r w:rsidRPr="007419BE">
        <w:rPr>
          <w:b/>
          <w:bCs/>
        </w:rPr>
        <w:t>oncept</w:t>
      </w:r>
      <w:r>
        <w:t xml:space="preserve">, tj. výzkumu </w:t>
      </w:r>
      <w:r w:rsidRPr="0069474D">
        <w:rPr>
          <w:rFonts w:cs="Calibri"/>
        </w:rPr>
        <w:t>praktického ověření určité přelomové myšlenky nebo konceptu</w:t>
      </w:r>
      <w:r w:rsidR="009B66B5">
        <w:rPr>
          <w:rFonts w:cs="Calibri"/>
        </w:rPr>
        <w:t xml:space="preserve"> a </w:t>
      </w:r>
      <w:r w:rsidRPr="0069474D">
        <w:rPr>
          <w:rFonts w:cs="Calibri"/>
        </w:rPr>
        <w:t xml:space="preserve">jeho proveditelnosti. </w:t>
      </w:r>
      <w:r>
        <w:rPr>
          <w:rFonts w:cs="Calibri"/>
        </w:rPr>
        <w:t>Taková podpora může zvýšit připravenost podniků pro realizaci výzkumných</w:t>
      </w:r>
      <w:r w:rsidR="009B66B5">
        <w:rPr>
          <w:rFonts w:cs="Calibri"/>
        </w:rPr>
        <w:t xml:space="preserve"> a </w:t>
      </w:r>
      <w:r>
        <w:rPr>
          <w:rFonts w:cs="Calibri"/>
        </w:rPr>
        <w:t>inovačních aktivit</w:t>
      </w:r>
      <w:r w:rsidR="009B66B5">
        <w:rPr>
          <w:rFonts w:cs="Calibri"/>
        </w:rPr>
        <w:t xml:space="preserve"> s </w:t>
      </w:r>
      <w:r>
        <w:rPr>
          <w:rFonts w:cs="Calibri"/>
        </w:rPr>
        <w:t>vysokým potenciálem pro uplatnění</w:t>
      </w:r>
      <w:r w:rsidR="009B66B5">
        <w:rPr>
          <w:rFonts w:cs="Calibri"/>
        </w:rPr>
        <w:t xml:space="preserve"> v </w:t>
      </w:r>
      <w:r>
        <w:rPr>
          <w:rFonts w:cs="Calibri"/>
        </w:rPr>
        <w:t>mezinárodních projektech.</w:t>
      </w:r>
    </w:p>
    <w:p w14:paraId="37C1518A" w14:textId="77777777" w:rsidR="00E11B4F" w:rsidRDefault="00E11B4F" w:rsidP="00E11B4F">
      <w:pPr>
        <w:pStyle w:val="Odstavecseseznamem"/>
        <w:numPr>
          <w:ilvl w:val="0"/>
          <w:numId w:val="31"/>
        </w:numPr>
        <w:spacing w:after="240"/>
        <w:ind w:left="567" w:hanging="567"/>
        <w:rPr>
          <w:rFonts w:eastAsia="Times New Roman" w:cs="Calibri"/>
          <w:lang w:eastAsia="cs-CZ"/>
        </w:rPr>
      </w:pPr>
      <w:r w:rsidRPr="00B13201">
        <w:rPr>
          <w:rFonts w:eastAsia="Times New Roman" w:cs="Calibri"/>
          <w:lang w:eastAsia="cs-CZ"/>
        </w:rPr>
        <w:t>Zvýšit obecnou informovanost u české výzkumné komunity</w:t>
      </w:r>
      <w:r w:rsidR="009B66B5">
        <w:rPr>
          <w:rFonts w:eastAsia="Times New Roman" w:cs="Calibri"/>
          <w:lang w:eastAsia="cs-CZ"/>
        </w:rPr>
        <w:t xml:space="preserve"> o </w:t>
      </w:r>
      <w:r>
        <w:rPr>
          <w:rFonts w:eastAsia="Times New Roman" w:cs="Calibri"/>
          <w:lang w:eastAsia="cs-CZ"/>
        </w:rPr>
        <w:t xml:space="preserve">podmínkách mobilit výzkumníků, zejm. </w:t>
      </w:r>
      <w:r w:rsidRPr="00B13201">
        <w:rPr>
          <w:rFonts w:eastAsia="Times New Roman" w:cs="Calibri"/>
          <w:lang w:eastAsia="cs-CZ"/>
        </w:rPr>
        <w:t>ohledně práv, povinností</w:t>
      </w:r>
      <w:r w:rsidR="009B66B5">
        <w:rPr>
          <w:rFonts w:eastAsia="Times New Roman" w:cs="Calibri"/>
          <w:lang w:eastAsia="cs-CZ"/>
        </w:rPr>
        <w:t xml:space="preserve"> a </w:t>
      </w:r>
      <w:r w:rsidRPr="00FF2E49">
        <w:rPr>
          <w:rFonts w:eastAsia="Times New Roman" w:cs="Calibri"/>
          <w:b/>
          <w:bCs/>
          <w:lang w:eastAsia="cs-CZ"/>
        </w:rPr>
        <w:t>možností podpory mobilních rodičů</w:t>
      </w:r>
      <w:r w:rsidR="009B66B5">
        <w:rPr>
          <w:rFonts w:eastAsia="Times New Roman" w:cs="Calibri"/>
          <w:lang w:eastAsia="cs-CZ"/>
        </w:rPr>
        <w:t xml:space="preserve"> a </w:t>
      </w:r>
      <w:r w:rsidRPr="00B13201">
        <w:rPr>
          <w:rFonts w:eastAsia="Times New Roman" w:cs="Calibri"/>
          <w:lang w:eastAsia="cs-CZ"/>
        </w:rPr>
        <w:t>vytvořit podrobné informační materiály pro odchozí</w:t>
      </w:r>
      <w:r w:rsidR="009B66B5">
        <w:rPr>
          <w:rFonts w:eastAsia="Times New Roman" w:cs="Calibri"/>
          <w:lang w:eastAsia="cs-CZ"/>
        </w:rPr>
        <w:t xml:space="preserve"> k </w:t>
      </w:r>
      <w:r w:rsidRPr="00B13201">
        <w:rPr>
          <w:rFonts w:eastAsia="Times New Roman" w:cs="Calibri"/>
          <w:lang w:eastAsia="cs-CZ"/>
        </w:rPr>
        <w:t>různým životním situacím.</w:t>
      </w:r>
    </w:p>
    <w:p w14:paraId="0E61E46B" w14:textId="77777777" w:rsidR="00E11B4F" w:rsidRPr="00B13201" w:rsidRDefault="00E11B4F" w:rsidP="00E11B4F">
      <w:pPr>
        <w:pStyle w:val="Odstavecseseznamem"/>
        <w:numPr>
          <w:ilvl w:val="0"/>
          <w:numId w:val="31"/>
        </w:numPr>
        <w:spacing w:after="240"/>
        <w:ind w:left="567" w:hanging="567"/>
        <w:rPr>
          <w:rFonts w:eastAsia="Times New Roman" w:cs="Calibri"/>
          <w:lang w:eastAsia="cs-CZ"/>
        </w:rPr>
      </w:pPr>
      <w:r>
        <w:rPr>
          <w:rFonts w:eastAsia="Times New Roman" w:cs="Calibri"/>
          <w:lang w:eastAsia="cs-CZ"/>
        </w:rPr>
        <w:t>Stimulovat základní, střední</w:t>
      </w:r>
      <w:r w:rsidR="009B66B5">
        <w:rPr>
          <w:rFonts w:eastAsia="Times New Roman" w:cs="Calibri"/>
          <w:lang w:eastAsia="cs-CZ"/>
        </w:rPr>
        <w:t xml:space="preserve"> a </w:t>
      </w:r>
      <w:r>
        <w:rPr>
          <w:rFonts w:eastAsia="Times New Roman" w:cs="Calibri"/>
          <w:lang w:eastAsia="cs-CZ"/>
        </w:rPr>
        <w:t>vysoké školy</w:t>
      </w:r>
      <w:r w:rsidR="009B66B5">
        <w:rPr>
          <w:rFonts w:eastAsia="Times New Roman" w:cs="Calibri"/>
          <w:lang w:eastAsia="cs-CZ"/>
        </w:rPr>
        <w:t xml:space="preserve"> k </w:t>
      </w:r>
      <w:r>
        <w:rPr>
          <w:rFonts w:eastAsia="Times New Roman" w:cs="Calibri"/>
          <w:lang w:eastAsia="cs-CZ"/>
        </w:rPr>
        <w:t xml:space="preserve">významnému zvýšení </w:t>
      </w:r>
      <w:r w:rsidRPr="00E6637C">
        <w:rPr>
          <w:rFonts w:eastAsia="Times New Roman" w:cs="Calibri"/>
          <w:b/>
          <w:bCs/>
          <w:lang w:eastAsia="cs-CZ"/>
        </w:rPr>
        <w:t>kvality jazykových schopností absolventů</w:t>
      </w:r>
      <w:r>
        <w:rPr>
          <w:rFonts w:eastAsia="Times New Roman" w:cs="Calibri"/>
          <w:lang w:eastAsia="cs-CZ"/>
        </w:rPr>
        <w:t>. S tím souvisí</w:t>
      </w:r>
      <w:r w:rsidR="009B66B5">
        <w:rPr>
          <w:rFonts w:eastAsia="Times New Roman" w:cs="Calibri"/>
          <w:lang w:eastAsia="cs-CZ"/>
        </w:rPr>
        <w:t xml:space="preserve"> i </w:t>
      </w:r>
      <w:r>
        <w:rPr>
          <w:rFonts w:eastAsia="Times New Roman" w:cs="Calibri"/>
          <w:lang w:eastAsia="cs-CZ"/>
        </w:rPr>
        <w:t>pokračování</w:t>
      </w:r>
      <w:r w:rsidR="009B66B5">
        <w:rPr>
          <w:rFonts w:eastAsia="Times New Roman" w:cs="Calibri"/>
          <w:lang w:eastAsia="cs-CZ"/>
        </w:rPr>
        <w:t xml:space="preserve"> v </w:t>
      </w:r>
      <w:r>
        <w:rPr>
          <w:rFonts w:eastAsia="Times New Roman" w:cs="Calibri"/>
          <w:lang w:eastAsia="cs-CZ"/>
        </w:rPr>
        <w:t>aktivní podpoře mezinárodních mobilit žáků</w:t>
      </w:r>
      <w:r w:rsidR="009B66B5">
        <w:rPr>
          <w:rFonts w:eastAsia="Times New Roman" w:cs="Calibri"/>
          <w:lang w:eastAsia="cs-CZ"/>
        </w:rPr>
        <w:t xml:space="preserve"> a </w:t>
      </w:r>
      <w:r>
        <w:rPr>
          <w:rFonts w:eastAsia="Times New Roman" w:cs="Calibri"/>
          <w:lang w:eastAsia="cs-CZ"/>
        </w:rPr>
        <w:t xml:space="preserve">studentů. </w:t>
      </w:r>
    </w:p>
    <w:p w14:paraId="62974F8A" w14:textId="77777777" w:rsidR="00E11B4F" w:rsidRDefault="00E11B4F" w:rsidP="00E11B4F">
      <w:pPr>
        <w:rPr>
          <w:b/>
          <w:bCs/>
        </w:rPr>
      </w:pPr>
      <w:r w:rsidRPr="0B611335">
        <w:rPr>
          <w:b/>
          <w:bCs/>
        </w:rPr>
        <w:t>Institucionální úroveň</w:t>
      </w:r>
    </w:p>
    <w:p w14:paraId="61D34FA6" w14:textId="77777777" w:rsidR="00E11B4F" w:rsidRDefault="00E11B4F" w:rsidP="00E11B4F">
      <w:pPr>
        <w:pStyle w:val="Odstavecseseznamem"/>
        <w:numPr>
          <w:ilvl w:val="0"/>
          <w:numId w:val="32"/>
        </w:numPr>
        <w:spacing w:after="240"/>
        <w:ind w:hanging="720"/>
      </w:pPr>
      <w:r>
        <w:t xml:space="preserve">Podporovat </w:t>
      </w:r>
      <w:r w:rsidRPr="006116EC">
        <w:rPr>
          <w:b/>
          <w:bCs/>
        </w:rPr>
        <w:t>mezinárodní mobilitu</w:t>
      </w:r>
      <w:r>
        <w:t xml:space="preserve"> vysokoškolských studentů</w:t>
      </w:r>
      <w:r w:rsidR="009B66B5">
        <w:t xml:space="preserve"> a </w:t>
      </w:r>
      <w:r>
        <w:t>výzkumných pracovníků</w:t>
      </w:r>
      <w:r w:rsidR="00104962">
        <w:t>,</w:t>
      </w:r>
      <w:r w:rsidR="009B66B5">
        <w:t xml:space="preserve"> a </w:t>
      </w:r>
      <w:r>
        <w:t xml:space="preserve">posilovat tak internacionalizaci prostředí ve výzkumných organizacích. </w:t>
      </w:r>
    </w:p>
    <w:p w14:paraId="5389EBD4" w14:textId="60DFE617" w:rsidR="00B020F6" w:rsidRDefault="00E11B4F" w:rsidP="00511B46">
      <w:pPr>
        <w:pStyle w:val="Odstavecseseznamem"/>
        <w:numPr>
          <w:ilvl w:val="0"/>
          <w:numId w:val="32"/>
        </w:numPr>
        <w:spacing w:after="240"/>
        <w:ind w:hanging="720"/>
      </w:pPr>
      <w:r>
        <w:t xml:space="preserve">Aktivně </w:t>
      </w:r>
      <w:r w:rsidRPr="003234C8">
        <w:rPr>
          <w:b/>
          <w:bCs/>
        </w:rPr>
        <w:t>vyhledávat nadějné vědecké talenty</w:t>
      </w:r>
      <w:r w:rsidR="009B66B5">
        <w:t xml:space="preserve"> a </w:t>
      </w:r>
      <w:r>
        <w:t>systematicky podporovat jejich kariérní rozvoj. Součástí je</w:t>
      </w:r>
      <w:r w:rsidR="009B66B5">
        <w:t xml:space="preserve"> i </w:t>
      </w:r>
      <w:r>
        <w:t>podpora mezinárodní mobility těchto talentů.</w:t>
      </w:r>
    </w:p>
    <w:p w14:paraId="6D2903FF" w14:textId="77777777" w:rsidR="00B020F6" w:rsidRDefault="00B020F6" w:rsidP="005515AB">
      <w:pPr>
        <w:pStyle w:val="Nadpis1"/>
      </w:pPr>
      <w:bookmarkStart w:id="89" w:name="_Toc114572365"/>
      <w:r>
        <w:lastRenderedPageBreak/>
        <w:t>Literatura</w:t>
      </w:r>
      <w:r w:rsidR="009B66B5">
        <w:t xml:space="preserve"> a </w:t>
      </w:r>
      <w:r>
        <w:t>zdroje</w:t>
      </w:r>
      <w:bookmarkEnd w:id="89"/>
    </w:p>
    <w:p w14:paraId="598B41A0" w14:textId="77777777" w:rsidR="00C86777" w:rsidRPr="00244420" w:rsidRDefault="00C86777" w:rsidP="00244420">
      <w:pPr>
        <w:pStyle w:val="Odstavecseseznamem"/>
        <w:numPr>
          <w:ilvl w:val="0"/>
          <w:numId w:val="33"/>
        </w:numPr>
        <w:spacing w:after="160" w:line="259" w:lineRule="auto"/>
        <w:jc w:val="left"/>
        <w:rPr>
          <w:rFonts w:asciiTheme="minorHAnsi" w:eastAsia="Cambria" w:hAnsiTheme="minorHAnsi" w:cstheme="minorHAnsi"/>
          <w:color w:val="000000" w:themeColor="text1"/>
        </w:rPr>
      </w:pPr>
      <w:r w:rsidRPr="00244420">
        <w:rPr>
          <w:rFonts w:asciiTheme="minorHAnsi" w:eastAsia="Cambria" w:hAnsiTheme="minorHAnsi" w:cstheme="minorHAnsi"/>
          <w:color w:val="000000" w:themeColor="text1"/>
          <w:lang w:val="en-US"/>
        </w:rPr>
        <w:t>[1]</w:t>
      </w:r>
      <w:r w:rsidRPr="00244420">
        <w:rPr>
          <w:rFonts w:asciiTheme="minorHAnsi" w:eastAsia="Cambria" w:hAnsiTheme="minorHAnsi" w:cstheme="minorHAnsi"/>
          <w:color w:val="000000" w:themeColor="text1"/>
        </w:rPr>
        <w:t xml:space="preserve"> Fresco, L. O., Martinuzzi, A., &amp; Wiman, A. (2016). Commitment and Coherence. Essential Ingredients for Success in Science and Innovation. Ex-Post Evaluation of the 7th EU Framework Programme (2007-2013). Dostupné z: </w:t>
      </w:r>
      <w:hyperlink r:id="rId54" w:history="1">
        <w:r w:rsidRPr="00244420">
          <w:rPr>
            <w:rStyle w:val="Hypertextovodkaz"/>
            <w:rFonts w:asciiTheme="minorHAnsi" w:eastAsia="Cambria" w:hAnsiTheme="minorHAnsi" w:cstheme="minorHAnsi"/>
          </w:rPr>
          <w:t>https://op.europa.eu/en/publication-detail/-/publication/7e74df87-ebb0-11e8-b690-01aa75ed71a1/language-en/format-PDF/source-80689114</w:t>
        </w:r>
      </w:hyperlink>
    </w:p>
    <w:p w14:paraId="4E6177DB" w14:textId="77777777" w:rsidR="00C86777" w:rsidRPr="00244420" w:rsidRDefault="00C86777" w:rsidP="00244420">
      <w:pPr>
        <w:pStyle w:val="Odstavecseseznamem"/>
        <w:numPr>
          <w:ilvl w:val="0"/>
          <w:numId w:val="33"/>
        </w:numPr>
        <w:spacing w:after="160" w:line="259" w:lineRule="auto"/>
        <w:rPr>
          <w:rFonts w:asciiTheme="minorHAnsi" w:eastAsia="Cambria" w:hAnsiTheme="minorHAnsi" w:cstheme="minorHAnsi"/>
          <w:color w:val="000000" w:themeColor="text1"/>
        </w:rPr>
      </w:pPr>
      <w:r w:rsidRPr="00244420">
        <w:rPr>
          <w:rFonts w:asciiTheme="minorHAnsi" w:eastAsia="Cambria" w:hAnsiTheme="minorHAnsi" w:cstheme="minorHAnsi"/>
          <w:color w:val="000000" w:themeColor="text1"/>
          <w:lang w:val="de-DE"/>
        </w:rPr>
        <w:t>[2]</w:t>
      </w:r>
      <w:r w:rsidRPr="00244420">
        <w:rPr>
          <w:rFonts w:asciiTheme="minorHAnsi" w:eastAsia="Cambria" w:hAnsiTheme="minorHAnsi" w:cstheme="minorHAnsi"/>
          <w:color w:val="000000" w:themeColor="text1"/>
        </w:rPr>
        <w:t xml:space="preserve"> Rauch, M., &amp; Sommer-Ulrich, J. (2012). Participation of the Central and Eastern European EU Member States in the 7th Framework Programme: Analysis, Evaluation, Recommendations. Commissioned by the Federal Ministry of Education and Research (BMBF), 2012. URL: </w:t>
      </w:r>
      <w:hyperlink r:id="rId55" w:history="1">
        <w:r w:rsidRPr="00244420">
          <w:rPr>
            <w:rStyle w:val="Hypertextovodkaz"/>
            <w:rFonts w:asciiTheme="minorHAnsi" w:eastAsia="Cambria" w:hAnsiTheme="minorHAnsi" w:cstheme="minorHAnsi"/>
          </w:rPr>
          <w:t>http://www.bmbf.de/pubRD/MOEZ_summary_final.pdf</w:t>
        </w:r>
      </w:hyperlink>
      <w:r w:rsidRPr="00244420">
        <w:rPr>
          <w:rFonts w:asciiTheme="minorHAnsi" w:eastAsia="Cambria" w:hAnsiTheme="minorHAnsi" w:cstheme="minorHAnsi"/>
          <w:color w:val="000000" w:themeColor="text1"/>
        </w:rPr>
        <w:t>.</w:t>
      </w:r>
    </w:p>
    <w:p w14:paraId="0C3FF982" w14:textId="77777777" w:rsidR="00C86777" w:rsidRPr="00244420" w:rsidRDefault="00C86777" w:rsidP="00244420">
      <w:pPr>
        <w:pStyle w:val="Odstavecseseznamem"/>
        <w:numPr>
          <w:ilvl w:val="0"/>
          <w:numId w:val="33"/>
        </w:numPr>
        <w:spacing w:after="160" w:line="259" w:lineRule="auto"/>
        <w:rPr>
          <w:rFonts w:asciiTheme="minorHAnsi" w:eastAsia="Cambria" w:hAnsiTheme="minorHAnsi" w:cstheme="minorHAnsi"/>
          <w:color w:val="000000" w:themeColor="text1"/>
        </w:rPr>
      </w:pPr>
      <w:r w:rsidRPr="00244420">
        <w:rPr>
          <w:rFonts w:asciiTheme="minorHAnsi" w:eastAsia="Cambria" w:hAnsiTheme="minorHAnsi" w:cstheme="minorHAnsi"/>
          <w:color w:val="000000" w:themeColor="text1"/>
        </w:rPr>
        <w:t>[3] European Commission, Directorate-General for Research and Innovation, Interim evaluation of Horizon 2020: Commission staff working document. Publications Office; 2017. Available from: doi/10.2777/220768.</w:t>
      </w:r>
    </w:p>
    <w:p w14:paraId="0D53A7C0" w14:textId="77777777" w:rsidR="00C86777" w:rsidRPr="00244420" w:rsidRDefault="00C86777" w:rsidP="00244420">
      <w:pPr>
        <w:pStyle w:val="Odstavecseseznamem"/>
        <w:numPr>
          <w:ilvl w:val="0"/>
          <w:numId w:val="33"/>
        </w:numPr>
        <w:spacing w:after="0" w:line="259" w:lineRule="auto"/>
        <w:jc w:val="left"/>
        <w:rPr>
          <w:rFonts w:asciiTheme="minorHAnsi" w:eastAsia="Cambria" w:hAnsiTheme="minorHAnsi" w:cstheme="minorHAnsi"/>
          <w:color w:val="000000" w:themeColor="text1"/>
        </w:rPr>
      </w:pPr>
      <w:r w:rsidRPr="00244420">
        <w:rPr>
          <w:rFonts w:asciiTheme="minorHAnsi" w:eastAsia="Cambria" w:hAnsiTheme="minorHAnsi" w:cstheme="minorHAnsi"/>
          <w:color w:val="000000" w:themeColor="text1"/>
        </w:rPr>
        <w:t>[</w:t>
      </w:r>
      <w:r w:rsidR="003A688B" w:rsidRPr="00244420">
        <w:rPr>
          <w:rFonts w:asciiTheme="minorHAnsi" w:eastAsia="Cambria" w:hAnsiTheme="minorHAnsi" w:cstheme="minorHAnsi"/>
          <w:color w:val="000000" w:themeColor="text1"/>
        </w:rPr>
        <w:t>4</w:t>
      </w:r>
      <w:r w:rsidRPr="00244420">
        <w:rPr>
          <w:rFonts w:asciiTheme="minorHAnsi" w:eastAsia="Cambria" w:hAnsiTheme="minorHAnsi" w:cstheme="minorHAnsi"/>
          <w:color w:val="000000" w:themeColor="text1"/>
        </w:rPr>
        <w:t>] Overcoming innovation gaps in the EU-13 Member States | Th</w:t>
      </w:r>
      <w:r w:rsidR="000B1893" w:rsidRPr="00244420">
        <w:rPr>
          <w:rFonts w:asciiTheme="minorHAnsi" w:eastAsia="Cambria" w:hAnsiTheme="minorHAnsi" w:cstheme="minorHAnsi"/>
          <w:color w:val="000000" w:themeColor="text1"/>
        </w:rPr>
        <w:t xml:space="preserve">ink Tank | European Parliament </w:t>
      </w:r>
      <w:r w:rsidRPr="00244420">
        <w:rPr>
          <w:rFonts w:asciiTheme="minorHAnsi" w:eastAsia="Cambria" w:hAnsiTheme="minorHAnsi" w:cstheme="minorHAnsi"/>
          <w:color w:val="000000" w:themeColor="text1"/>
        </w:rPr>
        <w:t xml:space="preserve">[online]. Dostupné z: </w:t>
      </w:r>
      <w:hyperlink r:id="rId56" w:history="1">
        <w:r w:rsidRPr="00244420">
          <w:rPr>
            <w:rStyle w:val="Hypertextovodkaz"/>
            <w:rFonts w:asciiTheme="minorHAnsi" w:eastAsia="Cambria" w:hAnsiTheme="minorHAnsi" w:cstheme="minorHAnsi"/>
          </w:rPr>
          <w:t>https://www.europarl.europa.eu/thinktank/en/document/EPRS_STU(2018)614537</w:t>
        </w:r>
      </w:hyperlink>
    </w:p>
    <w:p w14:paraId="5D573B14" w14:textId="77777777" w:rsidR="00C86777" w:rsidRPr="00244420" w:rsidRDefault="00C86777" w:rsidP="007F1BE7">
      <w:pPr>
        <w:pStyle w:val="Odstavecseseznamem"/>
        <w:numPr>
          <w:ilvl w:val="0"/>
          <w:numId w:val="33"/>
        </w:numPr>
        <w:spacing w:after="160" w:line="259" w:lineRule="auto"/>
        <w:jc w:val="left"/>
        <w:rPr>
          <w:rFonts w:asciiTheme="minorHAnsi" w:eastAsia="Cambria" w:hAnsiTheme="minorHAnsi" w:cstheme="minorHAnsi"/>
          <w:color w:val="000000" w:themeColor="text1"/>
        </w:rPr>
      </w:pPr>
      <w:r w:rsidRPr="00244420">
        <w:rPr>
          <w:rFonts w:asciiTheme="minorHAnsi" w:eastAsia="Cambria" w:hAnsiTheme="minorHAnsi" w:cstheme="minorHAnsi"/>
          <w:color w:val="000000" w:themeColor="text1"/>
        </w:rPr>
        <w:t>[</w:t>
      </w:r>
      <w:r w:rsidR="003A688B" w:rsidRPr="00244420">
        <w:rPr>
          <w:rFonts w:asciiTheme="minorHAnsi" w:eastAsia="Cambria" w:hAnsiTheme="minorHAnsi" w:cstheme="minorHAnsi"/>
          <w:color w:val="000000" w:themeColor="text1"/>
        </w:rPr>
        <w:t>5</w:t>
      </w:r>
      <w:r w:rsidRPr="00244420">
        <w:rPr>
          <w:rFonts w:asciiTheme="minorHAnsi" w:eastAsia="Cambria" w:hAnsiTheme="minorHAnsi" w:cstheme="minorHAnsi"/>
          <w:color w:val="000000" w:themeColor="text1"/>
        </w:rPr>
        <w:t>] Frank</w:t>
      </w:r>
      <w:r w:rsidR="007F1BE7">
        <w:rPr>
          <w:rFonts w:asciiTheme="minorHAnsi" w:eastAsia="Cambria" w:hAnsiTheme="minorHAnsi" w:cstheme="minorHAnsi"/>
          <w:color w:val="000000" w:themeColor="text1"/>
        </w:rPr>
        <w:t>,</w:t>
      </w:r>
      <w:r w:rsidRPr="00244420">
        <w:rPr>
          <w:rFonts w:asciiTheme="minorHAnsi" w:eastAsia="Cambria" w:hAnsiTheme="minorHAnsi" w:cstheme="minorHAnsi"/>
          <w:color w:val="000000" w:themeColor="text1"/>
        </w:rPr>
        <w:t xml:space="preserve"> D.</w:t>
      </w:r>
      <w:r w:rsidRPr="00244420">
        <w:rPr>
          <w:rFonts w:asciiTheme="minorHAnsi" w:eastAsia="Segoe UI" w:hAnsiTheme="minorHAnsi" w:cstheme="minorHAnsi"/>
          <w:color w:val="000000" w:themeColor="text1"/>
        </w:rPr>
        <w:t>: Účast ČR</w:t>
      </w:r>
      <w:r w:rsidR="009B66B5">
        <w:rPr>
          <w:rFonts w:asciiTheme="minorHAnsi" w:eastAsia="Segoe UI" w:hAnsiTheme="minorHAnsi" w:cstheme="minorHAnsi"/>
          <w:color w:val="000000" w:themeColor="text1"/>
        </w:rPr>
        <w:t xml:space="preserve"> v </w:t>
      </w:r>
      <w:r w:rsidRPr="00244420">
        <w:rPr>
          <w:rFonts w:asciiTheme="minorHAnsi" w:eastAsia="Segoe UI" w:hAnsiTheme="minorHAnsi" w:cstheme="minorHAnsi"/>
          <w:color w:val="000000" w:themeColor="text1"/>
        </w:rPr>
        <w:t>programu H2020</w:t>
      </w:r>
      <w:r w:rsidR="009B66B5">
        <w:rPr>
          <w:rFonts w:asciiTheme="minorHAnsi" w:eastAsia="Segoe UI" w:hAnsiTheme="minorHAnsi" w:cstheme="minorHAnsi"/>
          <w:color w:val="000000" w:themeColor="text1"/>
        </w:rPr>
        <w:t xml:space="preserve"> a v </w:t>
      </w:r>
      <w:r w:rsidRPr="00244420">
        <w:rPr>
          <w:rFonts w:asciiTheme="minorHAnsi" w:eastAsia="Segoe UI" w:hAnsiTheme="minorHAnsi" w:cstheme="minorHAnsi"/>
          <w:color w:val="000000" w:themeColor="text1"/>
        </w:rPr>
        <w:t>programu Euratom 2014-202</w:t>
      </w:r>
      <w:r w:rsidRPr="00244420">
        <w:rPr>
          <w:rFonts w:asciiTheme="minorHAnsi" w:eastAsia="Cambria" w:hAnsiTheme="minorHAnsi" w:cstheme="minorHAnsi"/>
          <w:color w:val="000000" w:themeColor="text1"/>
        </w:rPr>
        <w:t>, 7. zpráva</w:t>
      </w:r>
      <w:r w:rsidR="009B66B5">
        <w:rPr>
          <w:rFonts w:asciiTheme="minorHAnsi" w:eastAsia="Cambria" w:hAnsiTheme="minorHAnsi" w:cstheme="minorHAnsi"/>
          <w:color w:val="000000" w:themeColor="text1"/>
        </w:rPr>
        <w:t xml:space="preserve"> k </w:t>
      </w:r>
      <w:r w:rsidRPr="00244420">
        <w:rPr>
          <w:rFonts w:asciiTheme="minorHAnsi" w:eastAsia="Cambria" w:hAnsiTheme="minorHAnsi" w:cstheme="minorHAnsi"/>
          <w:color w:val="000000" w:themeColor="text1"/>
        </w:rPr>
        <w:t>červnu 2021, ECHO příloha 3-4/2021, Technologické centrum AV ČR | Časopisy. [online]. Copyright © Technologické centrum AV ČR [cit. 22.</w:t>
      </w:r>
      <w:r w:rsidR="007F1BE7">
        <w:rPr>
          <w:rFonts w:asciiTheme="minorHAnsi" w:eastAsia="Cambria" w:hAnsiTheme="minorHAnsi" w:cstheme="minorHAnsi"/>
          <w:color w:val="000000" w:themeColor="text1"/>
        </w:rPr>
        <w:t xml:space="preserve"> </w:t>
      </w:r>
      <w:r w:rsidRPr="00244420">
        <w:rPr>
          <w:rFonts w:asciiTheme="minorHAnsi" w:eastAsia="Cambria" w:hAnsiTheme="minorHAnsi" w:cstheme="minorHAnsi"/>
          <w:color w:val="000000" w:themeColor="text1"/>
        </w:rPr>
        <w:t>07.</w:t>
      </w:r>
      <w:r w:rsidR="007F1BE7">
        <w:rPr>
          <w:rFonts w:asciiTheme="minorHAnsi" w:eastAsia="Cambria" w:hAnsiTheme="minorHAnsi" w:cstheme="minorHAnsi"/>
          <w:color w:val="000000" w:themeColor="text1"/>
        </w:rPr>
        <w:t xml:space="preserve"> </w:t>
      </w:r>
      <w:r w:rsidRPr="00244420">
        <w:rPr>
          <w:rFonts w:asciiTheme="minorHAnsi" w:eastAsia="Cambria" w:hAnsiTheme="minorHAnsi" w:cstheme="minorHAnsi"/>
          <w:color w:val="000000" w:themeColor="text1"/>
        </w:rPr>
        <w:t xml:space="preserve">2022]. Dostupné z: </w:t>
      </w:r>
      <w:hyperlink r:id="rId57" w:history="1">
        <w:r w:rsidRPr="00244420">
          <w:rPr>
            <w:rStyle w:val="Hypertextovodkaz"/>
            <w:rFonts w:asciiTheme="minorHAnsi" w:eastAsia="Cambria" w:hAnsiTheme="minorHAnsi" w:cstheme="minorHAnsi"/>
          </w:rPr>
          <w:t>https://www.tc.cz/cs/publikace/periodika/seznam-periodik/echo/echo-3-4-2021</w:t>
        </w:r>
      </w:hyperlink>
    </w:p>
    <w:p w14:paraId="76824F4B" w14:textId="77777777" w:rsidR="00C86777" w:rsidRPr="00244420" w:rsidRDefault="00C86777" w:rsidP="00244420">
      <w:pPr>
        <w:pStyle w:val="Odstavecseseznamem"/>
        <w:numPr>
          <w:ilvl w:val="0"/>
          <w:numId w:val="33"/>
        </w:numPr>
        <w:spacing w:after="160" w:line="259" w:lineRule="auto"/>
        <w:rPr>
          <w:rFonts w:asciiTheme="minorHAnsi" w:eastAsia="Cambria" w:hAnsiTheme="minorHAnsi" w:cstheme="minorHAnsi"/>
          <w:color w:val="000000" w:themeColor="text1"/>
        </w:rPr>
      </w:pPr>
      <w:r w:rsidRPr="00244420">
        <w:rPr>
          <w:rFonts w:asciiTheme="minorHAnsi" w:eastAsia="Cambria" w:hAnsiTheme="minorHAnsi" w:cstheme="minorHAnsi"/>
          <w:color w:val="000000" w:themeColor="text1"/>
        </w:rPr>
        <w:t>[</w:t>
      </w:r>
      <w:r w:rsidR="003A688B" w:rsidRPr="00244420">
        <w:rPr>
          <w:rFonts w:asciiTheme="minorHAnsi" w:eastAsia="Cambria" w:hAnsiTheme="minorHAnsi" w:cstheme="minorHAnsi"/>
          <w:color w:val="000000" w:themeColor="text1"/>
        </w:rPr>
        <w:t>6</w:t>
      </w:r>
      <w:r w:rsidRPr="00244420">
        <w:rPr>
          <w:rFonts w:asciiTheme="minorHAnsi" w:eastAsia="Cambria" w:hAnsiTheme="minorHAnsi" w:cstheme="minorHAnsi"/>
          <w:color w:val="000000" w:themeColor="text1"/>
        </w:rPr>
        <w:t>] Albrecht</w:t>
      </w:r>
      <w:r w:rsidR="007F1BE7">
        <w:rPr>
          <w:rFonts w:asciiTheme="minorHAnsi" w:eastAsia="Cambria" w:hAnsiTheme="minorHAnsi" w:cstheme="minorHAnsi"/>
          <w:color w:val="000000" w:themeColor="text1"/>
        </w:rPr>
        <w:t>,</w:t>
      </w:r>
      <w:r w:rsidRPr="00244420">
        <w:rPr>
          <w:rFonts w:asciiTheme="minorHAnsi" w:eastAsia="Cambria" w:hAnsiTheme="minorHAnsi" w:cstheme="minorHAnsi"/>
          <w:color w:val="000000" w:themeColor="text1"/>
        </w:rPr>
        <w:t xml:space="preserve"> V</w:t>
      </w:r>
      <w:r w:rsidR="007F1BE7">
        <w:rPr>
          <w:rFonts w:asciiTheme="minorHAnsi" w:eastAsia="Cambria" w:hAnsiTheme="minorHAnsi" w:cstheme="minorHAnsi"/>
          <w:color w:val="000000" w:themeColor="text1"/>
        </w:rPr>
        <w:t>.:</w:t>
      </w:r>
      <w:r w:rsidRPr="00244420">
        <w:rPr>
          <w:rFonts w:asciiTheme="minorHAnsi" w:eastAsia="Cambria" w:hAnsiTheme="minorHAnsi" w:cstheme="minorHAnsi"/>
          <w:color w:val="000000" w:themeColor="text1"/>
        </w:rPr>
        <w:t xml:space="preserve"> ECHO 1-2/2014, Editorial, Technologické centrum AV ČR | Časopisy. [online]. Copyright © Technologické centrum AV ČR [cit. 14. 06. 2022]. Dostupné z: </w:t>
      </w:r>
      <w:hyperlink r:id="rId58" w:history="1">
        <w:r w:rsidR="007F1BE7" w:rsidRPr="00722CB8">
          <w:rPr>
            <w:rStyle w:val="Hypertextovodkaz"/>
            <w:rFonts w:asciiTheme="minorHAnsi" w:eastAsia="Cambria" w:hAnsiTheme="minorHAnsi" w:cstheme="minorHAnsi"/>
          </w:rPr>
          <w:t>https://www.tc.cz/cs/publikace/periodika/seznam periodik/echo?FfPeriodicalPublicationItem_page=3</w:t>
        </w:r>
      </w:hyperlink>
    </w:p>
    <w:p w14:paraId="0028F912" w14:textId="77777777" w:rsidR="00C86777" w:rsidRPr="00244420" w:rsidRDefault="00C86777" w:rsidP="007F1BE7">
      <w:pPr>
        <w:pStyle w:val="Odstavecseseznamem"/>
        <w:numPr>
          <w:ilvl w:val="0"/>
          <w:numId w:val="33"/>
        </w:numPr>
        <w:spacing w:after="160" w:line="259" w:lineRule="auto"/>
        <w:jc w:val="left"/>
        <w:rPr>
          <w:rFonts w:asciiTheme="minorHAnsi" w:eastAsia="Cambria" w:hAnsiTheme="minorHAnsi" w:cstheme="minorHAnsi"/>
          <w:color w:val="000000" w:themeColor="text1"/>
        </w:rPr>
      </w:pPr>
      <w:r w:rsidRPr="00244420">
        <w:rPr>
          <w:rFonts w:asciiTheme="minorHAnsi" w:eastAsia="Cambria" w:hAnsiTheme="minorHAnsi" w:cstheme="minorHAnsi"/>
          <w:color w:val="000000" w:themeColor="text1"/>
        </w:rPr>
        <w:t>[</w:t>
      </w:r>
      <w:r w:rsidR="006A2C9B" w:rsidRPr="00244420">
        <w:rPr>
          <w:rFonts w:asciiTheme="minorHAnsi" w:eastAsia="Cambria" w:hAnsiTheme="minorHAnsi" w:cstheme="minorHAnsi"/>
          <w:color w:val="000000" w:themeColor="text1"/>
        </w:rPr>
        <w:t>7</w:t>
      </w:r>
      <w:r w:rsidRPr="00244420">
        <w:rPr>
          <w:rFonts w:asciiTheme="minorHAnsi" w:eastAsia="Cambria" w:hAnsiTheme="minorHAnsi" w:cstheme="minorHAnsi"/>
          <w:color w:val="000000" w:themeColor="text1"/>
        </w:rPr>
        <w:t>] Národní politika výzkumu, vývoje</w:t>
      </w:r>
      <w:r w:rsidR="009B66B5">
        <w:rPr>
          <w:rFonts w:asciiTheme="minorHAnsi" w:eastAsia="Cambria" w:hAnsiTheme="minorHAnsi" w:cstheme="minorHAnsi"/>
          <w:color w:val="000000" w:themeColor="text1"/>
        </w:rPr>
        <w:t xml:space="preserve"> a </w:t>
      </w:r>
      <w:r w:rsidRPr="00244420">
        <w:rPr>
          <w:rFonts w:asciiTheme="minorHAnsi" w:eastAsia="Cambria" w:hAnsiTheme="minorHAnsi" w:cstheme="minorHAnsi"/>
          <w:color w:val="000000" w:themeColor="text1"/>
        </w:rPr>
        <w:t>inovací České republiky 2021+ | Výzkum</w:t>
      </w:r>
      <w:r w:rsidR="009B66B5">
        <w:rPr>
          <w:rFonts w:asciiTheme="minorHAnsi" w:eastAsia="Cambria" w:hAnsiTheme="minorHAnsi" w:cstheme="minorHAnsi"/>
          <w:color w:val="000000" w:themeColor="text1"/>
        </w:rPr>
        <w:t xml:space="preserve"> a </w:t>
      </w:r>
      <w:r w:rsidRPr="00244420">
        <w:rPr>
          <w:rFonts w:asciiTheme="minorHAnsi" w:eastAsia="Cambria" w:hAnsiTheme="minorHAnsi" w:cstheme="minorHAnsi"/>
          <w:color w:val="000000" w:themeColor="text1"/>
        </w:rPr>
        <w:t>vývoj</w:t>
      </w:r>
      <w:r w:rsidR="009B66B5">
        <w:rPr>
          <w:rFonts w:asciiTheme="minorHAnsi" w:eastAsia="Cambria" w:hAnsiTheme="minorHAnsi" w:cstheme="minorHAnsi"/>
          <w:color w:val="000000" w:themeColor="text1"/>
        </w:rPr>
        <w:t xml:space="preserve"> v </w:t>
      </w:r>
      <w:r w:rsidR="001C0AA0">
        <w:rPr>
          <w:rFonts w:asciiTheme="minorHAnsi" w:eastAsia="Segoe UI" w:hAnsiTheme="minorHAnsi" w:cstheme="minorHAnsi"/>
          <w:color w:val="000000" w:themeColor="text1"/>
        </w:rPr>
        <w:t>ČR</w:t>
      </w:r>
      <w:r w:rsidRPr="00244420">
        <w:rPr>
          <w:rFonts w:asciiTheme="minorHAnsi" w:eastAsia="Segoe UI" w:hAnsiTheme="minorHAnsi" w:cstheme="minorHAnsi"/>
          <w:color w:val="000000" w:themeColor="text1"/>
        </w:rPr>
        <w:t>.</w:t>
      </w:r>
      <w:r w:rsidRPr="00244420">
        <w:rPr>
          <w:rFonts w:asciiTheme="minorHAnsi" w:eastAsia="Cambria" w:hAnsiTheme="minorHAnsi" w:cstheme="minorHAnsi"/>
          <w:color w:val="000000" w:themeColor="text1"/>
        </w:rPr>
        <w:t xml:space="preserve"> Výzkum</w:t>
      </w:r>
      <w:r w:rsidR="009B66B5">
        <w:rPr>
          <w:rFonts w:asciiTheme="minorHAnsi" w:eastAsia="Cambria" w:hAnsiTheme="minorHAnsi" w:cstheme="minorHAnsi"/>
          <w:color w:val="000000" w:themeColor="text1"/>
        </w:rPr>
        <w:t xml:space="preserve"> a </w:t>
      </w:r>
      <w:r w:rsidRPr="00244420">
        <w:rPr>
          <w:rFonts w:asciiTheme="minorHAnsi" w:eastAsia="Cambria" w:hAnsiTheme="minorHAnsi" w:cstheme="minorHAnsi"/>
          <w:color w:val="000000" w:themeColor="text1"/>
        </w:rPr>
        <w:t>vývoj</w:t>
      </w:r>
      <w:r w:rsidR="009B66B5">
        <w:rPr>
          <w:rFonts w:asciiTheme="minorHAnsi" w:eastAsia="Cambria" w:hAnsiTheme="minorHAnsi" w:cstheme="minorHAnsi"/>
          <w:color w:val="000000" w:themeColor="text1"/>
        </w:rPr>
        <w:t xml:space="preserve"> v </w:t>
      </w:r>
      <w:r w:rsidRPr="00244420">
        <w:rPr>
          <w:rFonts w:asciiTheme="minorHAnsi" w:eastAsia="Cambria" w:hAnsiTheme="minorHAnsi" w:cstheme="minorHAnsi"/>
          <w:color w:val="000000" w:themeColor="text1"/>
        </w:rPr>
        <w:t>ČR [online]. Copyright © 2015, Rada pro výzkum, vývoj</w:t>
      </w:r>
      <w:r w:rsidR="009B66B5">
        <w:rPr>
          <w:rFonts w:asciiTheme="minorHAnsi" w:eastAsia="Cambria" w:hAnsiTheme="minorHAnsi" w:cstheme="minorHAnsi"/>
          <w:color w:val="000000" w:themeColor="text1"/>
        </w:rPr>
        <w:t xml:space="preserve"> a </w:t>
      </w:r>
      <w:r w:rsidRPr="00244420">
        <w:rPr>
          <w:rFonts w:asciiTheme="minorHAnsi" w:eastAsia="Cambria" w:hAnsiTheme="minorHAnsi" w:cstheme="minorHAnsi"/>
          <w:color w:val="000000" w:themeColor="text1"/>
        </w:rPr>
        <w:t xml:space="preserve">inovace. Vytvořil Internet Projekt, a. s. [cit. 21.07.2022]. Dostupné z: </w:t>
      </w:r>
      <w:hyperlink r:id="rId59" w:history="1">
        <w:r w:rsidRPr="00244420">
          <w:rPr>
            <w:rStyle w:val="Hypertextovodkaz"/>
            <w:rFonts w:asciiTheme="minorHAnsi" w:eastAsia="Cambria" w:hAnsiTheme="minorHAnsi" w:cstheme="minorHAnsi"/>
          </w:rPr>
          <w:t>https://www.vyzkum.cz/FrontClanek.aspx?idsekce=913172</w:t>
        </w:r>
      </w:hyperlink>
    </w:p>
    <w:p w14:paraId="3EE7CEBA" w14:textId="77777777" w:rsidR="00C86777" w:rsidRPr="00244420" w:rsidRDefault="00C86777" w:rsidP="00244420">
      <w:pPr>
        <w:pStyle w:val="Odstavecseseznamem"/>
        <w:numPr>
          <w:ilvl w:val="0"/>
          <w:numId w:val="33"/>
        </w:numPr>
        <w:spacing w:after="0"/>
        <w:rPr>
          <w:rFonts w:asciiTheme="minorHAnsi" w:eastAsia="Cambria" w:hAnsiTheme="minorHAnsi" w:cstheme="minorHAnsi"/>
          <w:color w:val="000000" w:themeColor="text1"/>
        </w:rPr>
      </w:pPr>
      <w:r w:rsidRPr="00244420">
        <w:rPr>
          <w:rFonts w:asciiTheme="minorHAnsi" w:eastAsia="Cambria" w:hAnsiTheme="minorHAnsi" w:cstheme="minorHAnsi"/>
          <w:color w:val="000000" w:themeColor="text1"/>
        </w:rPr>
        <w:t>[</w:t>
      </w:r>
      <w:r w:rsidR="006A2C9B" w:rsidRPr="00244420">
        <w:rPr>
          <w:rFonts w:asciiTheme="minorHAnsi" w:eastAsia="Cambria" w:hAnsiTheme="minorHAnsi" w:cstheme="minorHAnsi"/>
          <w:color w:val="000000" w:themeColor="text1"/>
        </w:rPr>
        <w:t>8</w:t>
      </w:r>
      <w:r w:rsidRPr="00244420">
        <w:rPr>
          <w:rFonts w:asciiTheme="minorHAnsi" w:eastAsia="Cambria" w:hAnsiTheme="minorHAnsi" w:cstheme="minorHAnsi"/>
          <w:color w:val="000000" w:themeColor="text1"/>
        </w:rPr>
        <w:t xml:space="preserve">] Fisch, P., (2016b). Monetary distribution effects of Horizon 2020 – A first analysis, THINK Piece 1/2016, URL: </w:t>
      </w:r>
      <w:hyperlink r:id="rId60" w:history="1">
        <w:r w:rsidRPr="00244420">
          <w:rPr>
            <w:rStyle w:val="Hypertextovodkaz"/>
            <w:rFonts w:asciiTheme="minorHAnsi" w:eastAsia="Cambria" w:hAnsiTheme="minorHAnsi" w:cstheme="minorHAnsi"/>
          </w:rPr>
          <w:t>https://www.peter-fisch.eu/european-research-policy/think-pieces/1-2016-distributioneffects-h2020/</w:t>
        </w:r>
      </w:hyperlink>
    </w:p>
    <w:p w14:paraId="5DF28F56" w14:textId="77777777" w:rsidR="00C86777" w:rsidRPr="00244420" w:rsidRDefault="00C86777" w:rsidP="00244420">
      <w:pPr>
        <w:pStyle w:val="Odstavecseseznamem"/>
        <w:numPr>
          <w:ilvl w:val="0"/>
          <w:numId w:val="33"/>
        </w:numPr>
        <w:spacing w:after="160" w:line="259" w:lineRule="auto"/>
        <w:rPr>
          <w:rFonts w:asciiTheme="minorHAnsi" w:eastAsia="Cambria" w:hAnsiTheme="minorHAnsi" w:cstheme="minorHAnsi"/>
          <w:color w:val="000000" w:themeColor="text1"/>
        </w:rPr>
      </w:pPr>
      <w:r w:rsidRPr="00244420">
        <w:rPr>
          <w:rFonts w:asciiTheme="minorHAnsi" w:eastAsia="Cambria" w:hAnsiTheme="minorHAnsi" w:cstheme="minorHAnsi"/>
          <w:color w:val="000000" w:themeColor="text1"/>
        </w:rPr>
        <w:t>[</w:t>
      </w:r>
      <w:r w:rsidR="006A2C9B" w:rsidRPr="00244420">
        <w:rPr>
          <w:rFonts w:asciiTheme="minorHAnsi" w:eastAsia="Cambria" w:hAnsiTheme="minorHAnsi" w:cstheme="minorHAnsi"/>
          <w:color w:val="000000" w:themeColor="text1"/>
        </w:rPr>
        <w:t>9</w:t>
      </w:r>
      <w:r w:rsidRPr="00244420">
        <w:rPr>
          <w:rFonts w:asciiTheme="minorHAnsi" w:eastAsia="Cambria" w:hAnsiTheme="minorHAnsi" w:cstheme="minorHAnsi"/>
          <w:color w:val="000000" w:themeColor="text1"/>
        </w:rPr>
        <w:t>] Technologické centrum AV ČR | Publikace | PROGRAM HORIZONT 2020: Příběhy</w:t>
      </w:r>
      <w:r w:rsidR="009B66B5">
        <w:rPr>
          <w:rFonts w:asciiTheme="minorHAnsi" w:eastAsia="Cambria" w:hAnsiTheme="minorHAnsi" w:cstheme="minorHAnsi"/>
          <w:color w:val="000000" w:themeColor="text1"/>
        </w:rPr>
        <w:t xml:space="preserve"> a </w:t>
      </w:r>
      <w:r w:rsidRPr="00244420">
        <w:rPr>
          <w:rFonts w:asciiTheme="minorHAnsi" w:eastAsia="Cambria" w:hAnsiTheme="minorHAnsi" w:cstheme="minorHAnsi"/>
          <w:color w:val="000000" w:themeColor="text1"/>
        </w:rPr>
        <w:t>výsledky / stopy ČR</w:t>
      </w:r>
      <w:r w:rsidR="009B66B5">
        <w:rPr>
          <w:rFonts w:asciiTheme="minorHAnsi" w:eastAsia="Cambria" w:hAnsiTheme="minorHAnsi" w:cstheme="minorHAnsi"/>
          <w:color w:val="000000" w:themeColor="text1"/>
        </w:rPr>
        <w:t xml:space="preserve"> v </w:t>
      </w:r>
      <w:r w:rsidRPr="00244420">
        <w:rPr>
          <w:rFonts w:asciiTheme="minorHAnsi" w:eastAsia="Cambria" w:hAnsiTheme="minorHAnsi" w:cstheme="minorHAnsi"/>
          <w:color w:val="000000" w:themeColor="text1"/>
        </w:rPr>
        <w:t>programu HORIZONT 2020. [online]. Copyright © Technologické centrum AV ČR [cit. 19.</w:t>
      </w:r>
      <w:r w:rsidR="007F1BE7">
        <w:rPr>
          <w:rFonts w:asciiTheme="minorHAnsi" w:eastAsia="Cambria" w:hAnsiTheme="minorHAnsi" w:cstheme="minorHAnsi"/>
          <w:color w:val="000000" w:themeColor="text1"/>
        </w:rPr>
        <w:t xml:space="preserve"> </w:t>
      </w:r>
      <w:r w:rsidRPr="00244420">
        <w:rPr>
          <w:rFonts w:asciiTheme="minorHAnsi" w:eastAsia="Cambria" w:hAnsiTheme="minorHAnsi" w:cstheme="minorHAnsi"/>
          <w:color w:val="000000" w:themeColor="text1"/>
        </w:rPr>
        <w:t>07.</w:t>
      </w:r>
      <w:r w:rsidR="007F1BE7">
        <w:rPr>
          <w:rFonts w:asciiTheme="minorHAnsi" w:eastAsia="Cambria" w:hAnsiTheme="minorHAnsi" w:cstheme="minorHAnsi"/>
          <w:color w:val="000000" w:themeColor="text1"/>
        </w:rPr>
        <w:t xml:space="preserve"> </w:t>
      </w:r>
      <w:r w:rsidRPr="00244420">
        <w:rPr>
          <w:rFonts w:asciiTheme="minorHAnsi" w:eastAsia="Cambria" w:hAnsiTheme="minorHAnsi" w:cstheme="minorHAnsi"/>
          <w:color w:val="000000" w:themeColor="text1"/>
        </w:rPr>
        <w:t xml:space="preserve">2022]. Dostupné z: </w:t>
      </w:r>
      <w:hyperlink r:id="rId61" w:history="1">
        <w:r w:rsidRPr="00244420">
          <w:rPr>
            <w:rStyle w:val="Hypertextovodkaz"/>
            <w:rFonts w:asciiTheme="minorHAnsi" w:eastAsia="Cambria" w:hAnsiTheme="minorHAnsi" w:cstheme="minorHAnsi"/>
          </w:rPr>
          <w:t>https://www.tc.cz/cs/publikace/publikace/seznam-publikaci/program-horizont-2020-pribehy-a-vysledky-stopy-cr-v-programu?type=1</w:t>
        </w:r>
      </w:hyperlink>
    </w:p>
    <w:p w14:paraId="3D71AF55" w14:textId="77777777" w:rsidR="00C86777" w:rsidRPr="00244420" w:rsidRDefault="00C86777" w:rsidP="00244420">
      <w:pPr>
        <w:pStyle w:val="Odstavecseseznamem"/>
        <w:numPr>
          <w:ilvl w:val="0"/>
          <w:numId w:val="33"/>
        </w:numPr>
        <w:spacing w:after="160" w:line="259" w:lineRule="auto"/>
        <w:rPr>
          <w:rFonts w:asciiTheme="minorHAnsi" w:eastAsia="Cambria" w:hAnsiTheme="minorHAnsi" w:cstheme="minorHAnsi"/>
          <w:color w:val="000000" w:themeColor="text1"/>
        </w:rPr>
      </w:pPr>
      <w:r w:rsidRPr="00244420">
        <w:rPr>
          <w:rFonts w:asciiTheme="minorHAnsi" w:eastAsia="Cambria" w:hAnsiTheme="minorHAnsi" w:cstheme="minorHAnsi"/>
          <w:color w:val="000000" w:themeColor="text1"/>
        </w:rPr>
        <w:lastRenderedPageBreak/>
        <w:t>[</w:t>
      </w:r>
      <w:r w:rsidR="001E6D54" w:rsidRPr="00244420">
        <w:rPr>
          <w:rFonts w:asciiTheme="minorHAnsi" w:eastAsia="Cambria" w:hAnsiTheme="minorHAnsi" w:cstheme="minorHAnsi"/>
          <w:color w:val="000000" w:themeColor="text1"/>
        </w:rPr>
        <w:t>1</w:t>
      </w:r>
      <w:r w:rsidR="006A2C9B" w:rsidRPr="00244420">
        <w:rPr>
          <w:rFonts w:asciiTheme="minorHAnsi" w:eastAsia="Cambria" w:hAnsiTheme="minorHAnsi" w:cstheme="minorHAnsi"/>
          <w:color w:val="000000" w:themeColor="text1"/>
        </w:rPr>
        <w:t>0</w:t>
      </w:r>
      <w:r w:rsidRPr="00244420">
        <w:rPr>
          <w:rFonts w:asciiTheme="minorHAnsi" w:eastAsia="Segoe UI" w:hAnsiTheme="minorHAnsi" w:cstheme="minorHAnsi"/>
          <w:color w:val="000000" w:themeColor="text1"/>
        </w:rPr>
        <w:t>] ČR má řadu vícenásobných držitelů ERC grantů – stručná rekapitulace účasti ČR</w:t>
      </w:r>
      <w:r w:rsidR="009B66B5">
        <w:rPr>
          <w:rFonts w:asciiTheme="minorHAnsi" w:eastAsia="Segoe UI" w:hAnsiTheme="minorHAnsi" w:cstheme="minorHAnsi"/>
          <w:color w:val="000000" w:themeColor="text1"/>
        </w:rPr>
        <w:t xml:space="preserve"> v </w:t>
      </w:r>
      <w:r w:rsidRPr="00244420">
        <w:rPr>
          <w:rFonts w:asciiTheme="minorHAnsi" w:eastAsia="Segoe UI" w:hAnsiTheme="minorHAnsi" w:cstheme="minorHAnsi"/>
          <w:color w:val="000000" w:themeColor="text1"/>
        </w:rPr>
        <w:t>soutěžích</w:t>
      </w:r>
      <w:r w:rsidR="009B66B5">
        <w:rPr>
          <w:rFonts w:asciiTheme="minorHAnsi" w:eastAsia="Segoe UI" w:hAnsiTheme="minorHAnsi" w:cstheme="minorHAnsi"/>
          <w:color w:val="000000" w:themeColor="text1"/>
        </w:rPr>
        <w:t xml:space="preserve"> o </w:t>
      </w:r>
      <w:r w:rsidRPr="00244420">
        <w:rPr>
          <w:rFonts w:asciiTheme="minorHAnsi" w:eastAsia="Segoe UI" w:hAnsiTheme="minorHAnsi" w:cstheme="minorHAnsi"/>
          <w:color w:val="000000" w:themeColor="text1"/>
        </w:rPr>
        <w:t>granty Evropské výzkumné rady (ERC) - 7. RP</w:t>
      </w:r>
      <w:r w:rsidR="009B66B5">
        <w:rPr>
          <w:rFonts w:asciiTheme="minorHAnsi" w:eastAsia="Segoe UI" w:hAnsiTheme="minorHAnsi" w:cstheme="minorHAnsi"/>
          <w:color w:val="000000" w:themeColor="text1"/>
        </w:rPr>
        <w:t xml:space="preserve"> a </w:t>
      </w:r>
      <w:r w:rsidRPr="00244420">
        <w:rPr>
          <w:rFonts w:asciiTheme="minorHAnsi" w:eastAsia="Segoe UI" w:hAnsiTheme="minorHAnsi" w:cstheme="minorHAnsi"/>
          <w:color w:val="000000" w:themeColor="text1"/>
        </w:rPr>
        <w:t xml:space="preserve">H2020 (HE), | Portál Horizont Evropa. [online]. Copyright © 2022 Technologické centrum AV ČR [cit. 21.07.2022]. Dostupné z: </w:t>
      </w:r>
      <w:hyperlink r:id="rId62" w:history="1">
        <w:r w:rsidRPr="00244420">
          <w:rPr>
            <w:rStyle w:val="Hypertextovodkaz"/>
            <w:rFonts w:asciiTheme="minorHAnsi" w:eastAsia="Cambria" w:hAnsiTheme="minorHAnsi" w:cstheme="minorHAnsi"/>
          </w:rPr>
          <w:t>https://www.horizontevropa.cz/cs/mohlo-by-vas-zajimat/hodnoceni-ramcovych-programu/narodni-studie-monitoring/informace/yiifnews/1011/cr-ma-radu-vicenasobnych-drzitelu-erc...</w:t>
        </w:r>
      </w:hyperlink>
    </w:p>
    <w:p w14:paraId="4D602898" w14:textId="77777777" w:rsidR="00C86777" w:rsidRPr="00244420" w:rsidRDefault="00C86777" w:rsidP="00244420">
      <w:pPr>
        <w:pStyle w:val="Odstavecseseznamem"/>
        <w:numPr>
          <w:ilvl w:val="0"/>
          <w:numId w:val="33"/>
        </w:numPr>
        <w:spacing w:after="160" w:line="259" w:lineRule="auto"/>
        <w:rPr>
          <w:rFonts w:asciiTheme="minorHAnsi" w:eastAsia="Cambria" w:hAnsiTheme="minorHAnsi" w:cstheme="minorHAnsi"/>
          <w:color w:val="000000" w:themeColor="text1"/>
        </w:rPr>
      </w:pPr>
      <w:r w:rsidRPr="00244420">
        <w:rPr>
          <w:rFonts w:asciiTheme="minorHAnsi" w:eastAsia="Cambria" w:hAnsiTheme="minorHAnsi" w:cstheme="minorHAnsi"/>
          <w:color w:val="000000" w:themeColor="text1"/>
        </w:rPr>
        <w:t>[</w:t>
      </w:r>
      <w:r w:rsidR="001E6D54" w:rsidRPr="00244420">
        <w:rPr>
          <w:rFonts w:asciiTheme="minorHAnsi" w:eastAsia="Cambria" w:hAnsiTheme="minorHAnsi" w:cstheme="minorHAnsi"/>
          <w:color w:val="000000" w:themeColor="text1"/>
        </w:rPr>
        <w:t>1</w:t>
      </w:r>
      <w:r w:rsidR="006A2C9B" w:rsidRPr="00244420">
        <w:rPr>
          <w:rFonts w:asciiTheme="minorHAnsi" w:eastAsia="Cambria" w:hAnsiTheme="minorHAnsi" w:cstheme="minorHAnsi"/>
          <w:color w:val="000000" w:themeColor="text1"/>
        </w:rPr>
        <w:t>1</w:t>
      </w:r>
      <w:r w:rsidR="007F1BE7">
        <w:rPr>
          <w:rFonts w:asciiTheme="minorHAnsi" w:eastAsia="Cambria" w:hAnsiTheme="minorHAnsi" w:cstheme="minorHAnsi"/>
          <w:color w:val="000000" w:themeColor="text1"/>
        </w:rPr>
        <w:t xml:space="preserve">] </w:t>
      </w:r>
      <w:r w:rsidRPr="00244420">
        <w:rPr>
          <w:rFonts w:asciiTheme="minorHAnsi" w:eastAsia="Cambria" w:hAnsiTheme="minorHAnsi" w:cstheme="minorHAnsi"/>
          <w:color w:val="000000" w:themeColor="text1"/>
        </w:rPr>
        <w:t>Albrecht</w:t>
      </w:r>
      <w:r w:rsidR="007F1BE7">
        <w:rPr>
          <w:rFonts w:asciiTheme="minorHAnsi" w:eastAsia="Cambria" w:hAnsiTheme="minorHAnsi" w:cstheme="minorHAnsi"/>
          <w:color w:val="000000" w:themeColor="text1"/>
        </w:rPr>
        <w:t>, V.:</w:t>
      </w:r>
      <w:r w:rsidRPr="00244420">
        <w:rPr>
          <w:rFonts w:asciiTheme="minorHAnsi" w:eastAsia="Cambria" w:hAnsiTheme="minorHAnsi" w:cstheme="minorHAnsi"/>
          <w:color w:val="000000" w:themeColor="text1"/>
        </w:rPr>
        <w:t xml:space="preserve"> ECHO 3-4/2020, Editorial, Technologické centrum AV ČR | Časopisy. [online]. Copyright © Technologické centrum AV ČR [cit. 17.</w:t>
      </w:r>
      <w:r w:rsidR="001C0AA0">
        <w:rPr>
          <w:rFonts w:asciiTheme="minorHAnsi" w:eastAsia="Cambria" w:hAnsiTheme="minorHAnsi" w:cstheme="minorHAnsi"/>
          <w:color w:val="000000" w:themeColor="text1"/>
        </w:rPr>
        <w:t xml:space="preserve"> </w:t>
      </w:r>
      <w:r w:rsidRPr="00244420">
        <w:rPr>
          <w:rFonts w:asciiTheme="minorHAnsi" w:eastAsia="Cambria" w:hAnsiTheme="minorHAnsi" w:cstheme="minorHAnsi"/>
          <w:color w:val="000000" w:themeColor="text1"/>
        </w:rPr>
        <w:t>06.</w:t>
      </w:r>
      <w:r w:rsidR="001C0AA0">
        <w:rPr>
          <w:rFonts w:asciiTheme="minorHAnsi" w:eastAsia="Cambria" w:hAnsiTheme="minorHAnsi" w:cstheme="minorHAnsi"/>
          <w:color w:val="000000" w:themeColor="text1"/>
        </w:rPr>
        <w:t xml:space="preserve"> </w:t>
      </w:r>
      <w:r w:rsidRPr="00244420">
        <w:rPr>
          <w:rFonts w:asciiTheme="minorHAnsi" w:eastAsia="Cambria" w:hAnsiTheme="minorHAnsi" w:cstheme="minorHAnsi"/>
          <w:color w:val="000000" w:themeColor="text1"/>
        </w:rPr>
        <w:t xml:space="preserve">2022]. Dostupné z: </w:t>
      </w:r>
      <w:hyperlink r:id="rId63" w:history="1">
        <w:r w:rsidRPr="00244420">
          <w:rPr>
            <w:rStyle w:val="Hypertextovodkaz"/>
            <w:rFonts w:asciiTheme="minorHAnsi" w:eastAsia="Cambria" w:hAnsiTheme="minorHAnsi" w:cstheme="minorHAnsi"/>
          </w:rPr>
          <w:t>https://www.tc.cz/cs/publikace/periodika/seznam-periodik/echo</w:t>
        </w:r>
      </w:hyperlink>
    </w:p>
    <w:p w14:paraId="7D022B74" w14:textId="77777777" w:rsidR="00C86777" w:rsidRPr="00244420" w:rsidRDefault="00C86777" w:rsidP="00244420">
      <w:pPr>
        <w:pStyle w:val="Odstavecseseznamem"/>
        <w:numPr>
          <w:ilvl w:val="0"/>
          <w:numId w:val="33"/>
        </w:numPr>
        <w:spacing w:after="160" w:line="259" w:lineRule="auto"/>
        <w:rPr>
          <w:rFonts w:asciiTheme="minorHAnsi" w:eastAsia="Cambria" w:hAnsiTheme="minorHAnsi" w:cstheme="minorHAnsi"/>
          <w:color w:val="000000" w:themeColor="text1"/>
        </w:rPr>
      </w:pPr>
      <w:r w:rsidRPr="00244420">
        <w:rPr>
          <w:rFonts w:asciiTheme="minorHAnsi" w:eastAsia="Cambria" w:hAnsiTheme="minorHAnsi" w:cstheme="minorHAnsi"/>
          <w:color w:val="000000" w:themeColor="text1"/>
        </w:rPr>
        <w:t>[</w:t>
      </w:r>
      <w:r w:rsidR="001E6D54" w:rsidRPr="00244420">
        <w:rPr>
          <w:rFonts w:asciiTheme="minorHAnsi" w:eastAsia="Cambria" w:hAnsiTheme="minorHAnsi" w:cstheme="minorHAnsi"/>
          <w:color w:val="000000" w:themeColor="text1"/>
        </w:rPr>
        <w:t>1</w:t>
      </w:r>
      <w:r w:rsidR="006A2C9B" w:rsidRPr="00244420">
        <w:rPr>
          <w:rFonts w:asciiTheme="minorHAnsi" w:eastAsia="Cambria" w:hAnsiTheme="minorHAnsi" w:cstheme="minorHAnsi"/>
          <w:color w:val="000000" w:themeColor="text1"/>
        </w:rPr>
        <w:t>2</w:t>
      </w:r>
      <w:r w:rsidRPr="00244420">
        <w:rPr>
          <w:rFonts w:asciiTheme="minorHAnsi" w:eastAsia="Cambria" w:hAnsiTheme="minorHAnsi" w:cstheme="minorHAnsi"/>
          <w:color w:val="000000" w:themeColor="text1"/>
        </w:rPr>
        <w:t>] Pracn</w:t>
      </w:r>
      <w:r w:rsidR="007F1BE7">
        <w:rPr>
          <w:rFonts w:asciiTheme="minorHAnsi" w:eastAsia="Cambria" w:hAnsiTheme="minorHAnsi" w:cstheme="minorHAnsi"/>
          <w:color w:val="000000" w:themeColor="text1"/>
        </w:rPr>
        <w:t>a, P.</w:t>
      </w:r>
      <w:r w:rsidRPr="00244420">
        <w:rPr>
          <w:rFonts w:asciiTheme="minorHAnsi" w:eastAsia="Cambria" w:hAnsiTheme="minorHAnsi" w:cstheme="minorHAnsi"/>
          <w:color w:val="000000" w:themeColor="text1"/>
        </w:rPr>
        <w:t>, Čejková</w:t>
      </w:r>
      <w:r w:rsidR="007F1BE7">
        <w:rPr>
          <w:rFonts w:asciiTheme="minorHAnsi" w:eastAsia="Cambria" w:hAnsiTheme="minorHAnsi" w:cstheme="minorHAnsi"/>
          <w:color w:val="000000" w:themeColor="text1"/>
        </w:rPr>
        <w:t>, J.</w:t>
      </w:r>
      <w:r w:rsidRPr="00244420">
        <w:rPr>
          <w:rFonts w:asciiTheme="minorHAnsi" w:eastAsia="Cambria" w:hAnsiTheme="minorHAnsi" w:cstheme="minorHAnsi"/>
          <w:color w:val="000000" w:themeColor="text1"/>
        </w:rPr>
        <w:t>, Zápařková</w:t>
      </w:r>
      <w:r w:rsidR="007F1BE7">
        <w:rPr>
          <w:rFonts w:asciiTheme="minorHAnsi" w:eastAsia="Cambria" w:hAnsiTheme="minorHAnsi" w:cstheme="minorHAnsi"/>
          <w:color w:val="000000" w:themeColor="text1"/>
        </w:rPr>
        <w:t>, I.:</w:t>
      </w:r>
      <w:r w:rsidRPr="00244420">
        <w:rPr>
          <w:rFonts w:asciiTheme="minorHAnsi" w:eastAsia="Cambria" w:hAnsiTheme="minorHAnsi" w:cstheme="minorHAnsi"/>
          <w:color w:val="000000" w:themeColor="text1"/>
        </w:rPr>
        <w:t>, ZHODNOCENÍ ČESKÉ ÚČASTI VE VÝZVÁCH ERA-NET COFUND A JEJICH DALŠÍ PERSP</w:t>
      </w:r>
      <w:r w:rsidR="003108AE">
        <w:rPr>
          <w:rFonts w:asciiTheme="minorHAnsi" w:eastAsia="Cambria" w:hAnsiTheme="minorHAnsi" w:cstheme="minorHAnsi"/>
          <w:color w:val="000000" w:themeColor="text1"/>
        </w:rPr>
        <w:t>EK</w:t>
      </w:r>
      <w:r w:rsidRPr="00244420">
        <w:rPr>
          <w:rFonts w:asciiTheme="minorHAnsi" w:eastAsia="Cambria" w:hAnsiTheme="minorHAnsi" w:cstheme="minorHAnsi"/>
          <w:color w:val="000000" w:themeColor="text1"/>
        </w:rPr>
        <w:t>TIVA, ECHO 3-4/2020, Technologické centrum AV ČR | Časopisy. [online]. Copyright © Technologické centrum AV ČR [cit. 17.</w:t>
      </w:r>
      <w:r w:rsidR="001C0AA0">
        <w:rPr>
          <w:rFonts w:asciiTheme="minorHAnsi" w:eastAsia="Cambria" w:hAnsiTheme="minorHAnsi" w:cstheme="minorHAnsi"/>
          <w:color w:val="000000" w:themeColor="text1"/>
        </w:rPr>
        <w:t xml:space="preserve"> </w:t>
      </w:r>
      <w:r w:rsidRPr="00244420">
        <w:rPr>
          <w:rFonts w:asciiTheme="minorHAnsi" w:eastAsia="Cambria" w:hAnsiTheme="minorHAnsi" w:cstheme="minorHAnsi"/>
          <w:color w:val="000000" w:themeColor="text1"/>
        </w:rPr>
        <w:t>06.</w:t>
      </w:r>
      <w:r w:rsidR="001C0AA0">
        <w:rPr>
          <w:rFonts w:asciiTheme="minorHAnsi" w:eastAsia="Cambria" w:hAnsiTheme="minorHAnsi" w:cstheme="minorHAnsi"/>
          <w:color w:val="000000" w:themeColor="text1"/>
        </w:rPr>
        <w:t xml:space="preserve"> </w:t>
      </w:r>
      <w:r w:rsidRPr="00244420">
        <w:rPr>
          <w:rFonts w:asciiTheme="minorHAnsi" w:eastAsia="Cambria" w:hAnsiTheme="minorHAnsi" w:cstheme="minorHAnsi"/>
          <w:color w:val="000000" w:themeColor="text1"/>
        </w:rPr>
        <w:t xml:space="preserve">2022]. Dostupné z: </w:t>
      </w:r>
      <w:hyperlink r:id="rId64" w:history="1">
        <w:r w:rsidRPr="00244420">
          <w:rPr>
            <w:rStyle w:val="Hypertextovodkaz"/>
            <w:rFonts w:asciiTheme="minorHAnsi" w:eastAsia="Cambria" w:hAnsiTheme="minorHAnsi" w:cstheme="minorHAnsi"/>
          </w:rPr>
          <w:t>https://www.tc.cz/cs/publikace/periodika/seznam-periodik/echo</w:t>
        </w:r>
      </w:hyperlink>
    </w:p>
    <w:p w14:paraId="5749F1FB" w14:textId="77777777" w:rsidR="00C86777" w:rsidRPr="00244420" w:rsidRDefault="00C86777" w:rsidP="007F1BE7">
      <w:pPr>
        <w:pStyle w:val="Odstavecseseznamem"/>
        <w:numPr>
          <w:ilvl w:val="0"/>
          <w:numId w:val="33"/>
        </w:numPr>
        <w:spacing w:after="160" w:line="259" w:lineRule="auto"/>
        <w:jc w:val="left"/>
        <w:rPr>
          <w:rFonts w:asciiTheme="minorHAnsi" w:eastAsia="Cambria" w:hAnsiTheme="minorHAnsi" w:cstheme="minorHAnsi"/>
          <w:color w:val="000000" w:themeColor="text1"/>
        </w:rPr>
      </w:pPr>
      <w:r w:rsidRPr="00244420">
        <w:rPr>
          <w:rFonts w:asciiTheme="minorHAnsi" w:eastAsia="Cambria" w:hAnsiTheme="minorHAnsi" w:cstheme="minorHAnsi"/>
          <w:color w:val="000000" w:themeColor="text1"/>
        </w:rPr>
        <w:t>[</w:t>
      </w:r>
      <w:r w:rsidR="001E6D54" w:rsidRPr="00244420">
        <w:rPr>
          <w:rFonts w:asciiTheme="minorHAnsi" w:eastAsia="Cambria" w:hAnsiTheme="minorHAnsi" w:cstheme="minorHAnsi"/>
          <w:color w:val="000000" w:themeColor="text1"/>
        </w:rPr>
        <w:t>1</w:t>
      </w:r>
      <w:r w:rsidR="006A2C9B" w:rsidRPr="00244420">
        <w:rPr>
          <w:rFonts w:asciiTheme="minorHAnsi" w:eastAsia="Cambria" w:hAnsiTheme="minorHAnsi" w:cstheme="minorHAnsi"/>
          <w:color w:val="000000" w:themeColor="text1"/>
        </w:rPr>
        <w:t>3</w:t>
      </w:r>
      <w:r w:rsidRPr="00244420">
        <w:rPr>
          <w:rFonts w:asciiTheme="minorHAnsi" w:eastAsia="Cambria" w:hAnsiTheme="minorHAnsi" w:cstheme="minorHAnsi"/>
          <w:color w:val="000000" w:themeColor="text1"/>
        </w:rPr>
        <w:t>] Albrecht</w:t>
      </w:r>
      <w:r w:rsidR="007F1BE7">
        <w:rPr>
          <w:rFonts w:asciiTheme="minorHAnsi" w:eastAsia="Cambria" w:hAnsiTheme="minorHAnsi" w:cstheme="minorHAnsi"/>
          <w:color w:val="000000" w:themeColor="text1"/>
        </w:rPr>
        <w:t>, V.</w:t>
      </w:r>
      <w:r w:rsidRPr="00244420">
        <w:rPr>
          <w:rFonts w:asciiTheme="minorHAnsi" w:eastAsia="Cambria" w:hAnsiTheme="minorHAnsi" w:cstheme="minorHAnsi"/>
          <w:color w:val="000000" w:themeColor="text1"/>
        </w:rPr>
        <w:t xml:space="preserve"> (2012), Hodnocení excelence</w:t>
      </w:r>
      <w:r w:rsidR="009B66B5">
        <w:rPr>
          <w:rFonts w:asciiTheme="minorHAnsi" w:eastAsia="Cambria" w:hAnsiTheme="minorHAnsi" w:cstheme="minorHAnsi"/>
          <w:color w:val="000000" w:themeColor="text1"/>
        </w:rPr>
        <w:t xml:space="preserve"> v </w:t>
      </w:r>
      <w:r w:rsidRPr="00244420">
        <w:rPr>
          <w:rFonts w:asciiTheme="minorHAnsi" w:eastAsia="Cambria" w:hAnsiTheme="minorHAnsi" w:cstheme="minorHAnsi"/>
          <w:color w:val="000000" w:themeColor="text1"/>
        </w:rPr>
        <w:t xml:space="preserve">evropském kooperativním výzkumu, ECHO 2/2012, Technologické centrum AV ČR | Časopisy. [online]. Copyright © Technologické centrum AV ČR [cit. 13. 06. 2022]. Dostupné z: </w:t>
      </w:r>
      <w:hyperlink r:id="rId65" w:history="1">
        <w:r w:rsidRPr="00244420">
          <w:rPr>
            <w:rStyle w:val="Hypertextovodkaz"/>
            <w:rFonts w:asciiTheme="minorHAnsi" w:eastAsia="Cambria" w:hAnsiTheme="minorHAnsi" w:cstheme="minorHAnsi"/>
          </w:rPr>
          <w:t>https://www.tc.cz/cs/publikace/periodika/seznam-periodik/echo/vydani-cz?FfPeriodicalPublicationItem_page=4</w:t>
        </w:r>
      </w:hyperlink>
    </w:p>
    <w:p w14:paraId="4AD5194D" w14:textId="77777777" w:rsidR="00C86777" w:rsidRPr="00244420" w:rsidRDefault="00C86777" w:rsidP="00244420">
      <w:pPr>
        <w:pStyle w:val="Odstavecseseznamem"/>
        <w:numPr>
          <w:ilvl w:val="0"/>
          <w:numId w:val="33"/>
        </w:numPr>
        <w:spacing w:after="160" w:line="259" w:lineRule="auto"/>
        <w:jc w:val="left"/>
        <w:rPr>
          <w:rFonts w:asciiTheme="minorHAnsi" w:eastAsia="Cambria" w:hAnsiTheme="minorHAnsi" w:cstheme="minorHAnsi"/>
          <w:color w:val="000000" w:themeColor="text1"/>
        </w:rPr>
      </w:pPr>
      <w:r w:rsidRPr="00244420">
        <w:rPr>
          <w:rFonts w:asciiTheme="minorHAnsi" w:eastAsia="Cambria" w:hAnsiTheme="minorHAnsi" w:cstheme="minorHAnsi"/>
          <w:color w:val="000000" w:themeColor="text1"/>
        </w:rPr>
        <w:t>[</w:t>
      </w:r>
      <w:r w:rsidR="001E6D54" w:rsidRPr="00244420">
        <w:rPr>
          <w:rFonts w:asciiTheme="minorHAnsi" w:eastAsia="Cambria" w:hAnsiTheme="minorHAnsi" w:cstheme="minorHAnsi"/>
          <w:color w:val="000000" w:themeColor="text1"/>
        </w:rPr>
        <w:t>1</w:t>
      </w:r>
      <w:r w:rsidR="006A2C9B" w:rsidRPr="00244420">
        <w:rPr>
          <w:rFonts w:asciiTheme="minorHAnsi" w:eastAsia="Cambria" w:hAnsiTheme="minorHAnsi" w:cstheme="minorHAnsi"/>
          <w:color w:val="000000" w:themeColor="text1"/>
        </w:rPr>
        <w:t>4</w:t>
      </w:r>
      <w:r w:rsidRPr="00244420">
        <w:rPr>
          <w:rFonts w:asciiTheme="minorHAnsi" w:eastAsia="Cambria" w:hAnsiTheme="minorHAnsi" w:cstheme="minorHAnsi"/>
          <w:color w:val="000000" w:themeColor="text1"/>
        </w:rPr>
        <w:t>] Albrecht</w:t>
      </w:r>
      <w:r w:rsidR="007F1BE7">
        <w:rPr>
          <w:rFonts w:asciiTheme="minorHAnsi" w:eastAsia="Cambria" w:hAnsiTheme="minorHAnsi" w:cstheme="minorHAnsi"/>
          <w:color w:val="000000" w:themeColor="text1"/>
        </w:rPr>
        <w:t>,</w:t>
      </w:r>
      <w:r w:rsidRPr="00244420">
        <w:rPr>
          <w:rFonts w:asciiTheme="minorHAnsi" w:eastAsia="Cambria" w:hAnsiTheme="minorHAnsi" w:cstheme="minorHAnsi"/>
          <w:color w:val="000000" w:themeColor="text1"/>
        </w:rPr>
        <w:t xml:space="preserve"> V</w:t>
      </w:r>
      <w:r w:rsidR="007F1BE7">
        <w:rPr>
          <w:rFonts w:asciiTheme="minorHAnsi" w:eastAsia="Cambria" w:hAnsiTheme="minorHAnsi" w:cstheme="minorHAnsi"/>
          <w:color w:val="000000" w:themeColor="text1"/>
        </w:rPr>
        <w:t xml:space="preserve">.: </w:t>
      </w:r>
      <w:r w:rsidRPr="00244420">
        <w:rPr>
          <w:rFonts w:asciiTheme="minorHAnsi" w:eastAsia="Cambria" w:hAnsiTheme="minorHAnsi" w:cstheme="minorHAnsi"/>
          <w:color w:val="000000" w:themeColor="text1"/>
        </w:rPr>
        <w:t xml:space="preserve"> ECHO 3-4/2016 Klíč</w:t>
      </w:r>
      <w:r w:rsidR="009B66B5">
        <w:rPr>
          <w:rFonts w:asciiTheme="minorHAnsi" w:eastAsia="Cambria" w:hAnsiTheme="minorHAnsi" w:cstheme="minorHAnsi"/>
          <w:color w:val="000000" w:themeColor="text1"/>
        </w:rPr>
        <w:t xml:space="preserve"> k </w:t>
      </w:r>
      <w:r w:rsidRPr="00244420">
        <w:rPr>
          <w:rFonts w:asciiTheme="minorHAnsi" w:eastAsia="Cambria" w:hAnsiTheme="minorHAnsi" w:cstheme="minorHAnsi"/>
          <w:color w:val="000000" w:themeColor="text1"/>
        </w:rPr>
        <w:t>úspěchu</w:t>
      </w:r>
      <w:r w:rsidR="009B66B5">
        <w:rPr>
          <w:rFonts w:asciiTheme="minorHAnsi" w:eastAsia="Cambria" w:hAnsiTheme="minorHAnsi" w:cstheme="minorHAnsi"/>
          <w:color w:val="000000" w:themeColor="text1"/>
        </w:rPr>
        <w:t xml:space="preserve"> v </w:t>
      </w:r>
      <w:r w:rsidRPr="00244420">
        <w:rPr>
          <w:rFonts w:asciiTheme="minorHAnsi" w:eastAsia="Cambria" w:hAnsiTheme="minorHAnsi" w:cstheme="minorHAnsi"/>
          <w:color w:val="000000" w:themeColor="text1"/>
        </w:rPr>
        <w:t>rámcovém programu: spolupráce</w:t>
      </w:r>
      <w:r w:rsidR="009B66B5">
        <w:rPr>
          <w:rFonts w:asciiTheme="minorHAnsi" w:eastAsia="Cambria" w:hAnsiTheme="minorHAnsi" w:cstheme="minorHAnsi"/>
          <w:color w:val="000000" w:themeColor="text1"/>
        </w:rPr>
        <w:t xml:space="preserve"> s </w:t>
      </w:r>
      <w:r w:rsidRPr="00244420">
        <w:rPr>
          <w:rFonts w:asciiTheme="minorHAnsi" w:eastAsia="Cambria" w:hAnsiTheme="minorHAnsi" w:cstheme="minorHAnsi"/>
          <w:color w:val="000000" w:themeColor="text1"/>
        </w:rPr>
        <w:t>TOP15, Technologické centrum AV ČR | Časopisy. [online]. Copyright © Technologické c</w:t>
      </w:r>
      <w:r w:rsidR="00500C2E" w:rsidRPr="00244420">
        <w:rPr>
          <w:rFonts w:asciiTheme="minorHAnsi" w:eastAsia="Cambria" w:hAnsiTheme="minorHAnsi" w:cstheme="minorHAnsi"/>
          <w:color w:val="000000" w:themeColor="text1"/>
        </w:rPr>
        <w:t>entrum AV ČR [cit. 15.</w:t>
      </w:r>
      <w:r w:rsidR="007F1BE7">
        <w:rPr>
          <w:rFonts w:asciiTheme="minorHAnsi" w:eastAsia="Cambria" w:hAnsiTheme="minorHAnsi" w:cstheme="minorHAnsi"/>
          <w:color w:val="000000" w:themeColor="text1"/>
        </w:rPr>
        <w:t xml:space="preserve"> </w:t>
      </w:r>
      <w:r w:rsidR="00500C2E" w:rsidRPr="00244420">
        <w:rPr>
          <w:rFonts w:asciiTheme="minorHAnsi" w:eastAsia="Cambria" w:hAnsiTheme="minorHAnsi" w:cstheme="minorHAnsi"/>
          <w:color w:val="000000" w:themeColor="text1"/>
        </w:rPr>
        <w:t>06.</w:t>
      </w:r>
      <w:r w:rsidR="007F1BE7">
        <w:rPr>
          <w:rFonts w:asciiTheme="minorHAnsi" w:eastAsia="Cambria" w:hAnsiTheme="minorHAnsi" w:cstheme="minorHAnsi"/>
          <w:color w:val="000000" w:themeColor="text1"/>
        </w:rPr>
        <w:t xml:space="preserve"> </w:t>
      </w:r>
      <w:r w:rsidR="00500C2E" w:rsidRPr="00244420">
        <w:rPr>
          <w:rFonts w:asciiTheme="minorHAnsi" w:eastAsia="Cambria" w:hAnsiTheme="minorHAnsi" w:cstheme="minorHAnsi"/>
          <w:color w:val="000000" w:themeColor="text1"/>
        </w:rPr>
        <w:t xml:space="preserve">2022]. </w:t>
      </w:r>
      <w:r w:rsidRPr="00244420">
        <w:rPr>
          <w:rFonts w:asciiTheme="minorHAnsi" w:eastAsia="Cambria" w:hAnsiTheme="minorHAnsi" w:cstheme="minorHAnsi"/>
          <w:color w:val="000000" w:themeColor="text1"/>
        </w:rPr>
        <w:t xml:space="preserve">Dostupné z: </w:t>
      </w:r>
      <w:hyperlink r:id="rId66" w:history="1">
        <w:r w:rsidRPr="00244420">
          <w:rPr>
            <w:rStyle w:val="Hypertextovodkaz"/>
            <w:rFonts w:asciiTheme="minorHAnsi" w:eastAsia="Cambria" w:hAnsiTheme="minorHAnsi" w:cstheme="minorHAnsi"/>
          </w:rPr>
          <w:t>https://www.tc.cz/cs/publikace/periodika/seznam-periodik/echo?FfPeriodicalPublicationItem_page=2</w:t>
        </w:r>
      </w:hyperlink>
    </w:p>
    <w:p w14:paraId="6C38871F" w14:textId="77777777" w:rsidR="00C86777" w:rsidRPr="00244420" w:rsidRDefault="00C86777" w:rsidP="00244420">
      <w:pPr>
        <w:pStyle w:val="Odstavecseseznamem"/>
        <w:numPr>
          <w:ilvl w:val="0"/>
          <w:numId w:val="33"/>
        </w:numPr>
        <w:spacing w:after="160" w:line="259" w:lineRule="auto"/>
        <w:jc w:val="left"/>
        <w:rPr>
          <w:rFonts w:asciiTheme="minorHAnsi" w:eastAsia="Cambria" w:hAnsiTheme="minorHAnsi" w:cstheme="minorHAnsi"/>
          <w:color w:val="000000" w:themeColor="text1"/>
        </w:rPr>
      </w:pPr>
      <w:r w:rsidRPr="00244420">
        <w:rPr>
          <w:rFonts w:asciiTheme="minorHAnsi" w:eastAsia="Cambria" w:hAnsiTheme="minorHAnsi" w:cstheme="minorHAnsi"/>
          <w:color w:val="000000" w:themeColor="text1"/>
        </w:rPr>
        <w:t>[</w:t>
      </w:r>
      <w:r w:rsidR="001E6D54" w:rsidRPr="00244420">
        <w:rPr>
          <w:rFonts w:asciiTheme="minorHAnsi" w:eastAsia="Cambria" w:hAnsiTheme="minorHAnsi" w:cstheme="minorHAnsi"/>
          <w:color w:val="000000" w:themeColor="text1"/>
        </w:rPr>
        <w:t>1</w:t>
      </w:r>
      <w:r w:rsidR="006A2C9B" w:rsidRPr="00244420">
        <w:rPr>
          <w:rFonts w:asciiTheme="minorHAnsi" w:eastAsia="Cambria" w:hAnsiTheme="minorHAnsi" w:cstheme="minorHAnsi"/>
          <w:color w:val="000000" w:themeColor="text1"/>
        </w:rPr>
        <w:t>5</w:t>
      </w:r>
      <w:r w:rsidRPr="00244420">
        <w:rPr>
          <w:rFonts w:asciiTheme="minorHAnsi" w:eastAsia="Cambria" w:hAnsiTheme="minorHAnsi" w:cstheme="minorHAnsi"/>
          <w:color w:val="000000" w:themeColor="text1"/>
        </w:rPr>
        <w:t>] Albrecht</w:t>
      </w:r>
      <w:r w:rsidR="007F1BE7">
        <w:rPr>
          <w:rFonts w:asciiTheme="minorHAnsi" w:eastAsia="Cambria" w:hAnsiTheme="minorHAnsi" w:cstheme="minorHAnsi"/>
          <w:color w:val="000000" w:themeColor="text1"/>
        </w:rPr>
        <w:t>, V.</w:t>
      </w:r>
      <w:r w:rsidRPr="00244420">
        <w:rPr>
          <w:rFonts w:asciiTheme="minorHAnsi" w:eastAsia="Cambria" w:hAnsiTheme="minorHAnsi" w:cstheme="minorHAnsi"/>
          <w:color w:val="000000" w:themeColor="text1"/>
        </w:rPr>
        <w:t>: Jak zvýšit úspěšnost</w:t>
      </w:r>
      <w:r w:rsidR="009B66B5">
        <w:rPr>
          <w:rFonts w:asciiTheme="minorHAnsi" w:eastAsia="Cambria" w:hAnsiTheme="minorHAnsi" w:cstheme="minorHAnsi"/>
          <w:color w:val="000000" w:themeColor="text1"/>
        </w:rPr>
        <w:t xml:space="preserve"> v </w:t>
      </w:r>
      <w:r w:rsidRPr="00244420">
        <w:rPr>
          <w:rFonts w:asciiTheme="minorHAnsi" w:eastAsia="Cambria" w:hAnsiTheme="minorHAnsi" w:cstheme="minorHAnsi"/>
          <w:color w:val="000000" w:themeColor="text1"/>
        </w:rPr>
        <w:t>rámcovém programu? ECHO 6/2011, Technologické centrum AV ČR | Časopisy. [online]. Copyright © Technologické centrum AV ČR [cit. 13.</w:t>
      </w:r>
      <w:r w:rsidR="007F1BE7">
        <w:rPr>
          <w:rFonts w:asciiTheme="minorHAnsi" w:eastAsia="Cambria" w:hAnsiTheme="minorHAnsi" w:cstheme="minorHAnsi"/>
          <w:color w:val="000000" w:themeColor="text1"/>
        </w:rPr>
        <w:t xml:space="preserve"> </w:t>
      </w:r>
      <w:r w:rsidRPr="00244420">
        <w:rPr>
          <w:rFonts w:asciiTheme="minorHAnsi" w:eastAsia="Cambria" w:hAnsiTheme="minorHAnsi" w:cstheme="minorHAnsi"/>
          <w:color w:val="000000" w:themeColor="text1"/>
        </w:rPr>
        <w:t>06.</w:t>
      </w:r>
      <w:r w:rsidR="007F1BE7">
        <w:rPr>
          <w:rFonts w:asciiTheme="minorHAnsi" w:eastAsia="Cambria" w:hAnsiTheme="minorHAnsi" w:cstheme="minorHAnsi"/>
          <w:color w:val="000000" w:themeColor="text1"/>
        </w:rPr>
        <w:t xml:space="preserve"> </w:t>
      </w:r>
      <w:r w:rsidRPr="00244420">
        <w:rPr>
          <w:rFonts w:asciiTheme="minorHAnsi" w:eastAsia="Cambria" w:hAnsiTheme="minorHAnsi" w:cstheme="minorHAnsi"/>
          <w:color w:val="000000" w:themeColor="text1"/>
        </w:rPr>
        <w:t xml:space="preserve">2022]. Dostupné z: </w:t>
      </w:r>
      <w:hyperlink r:id="rId67" w:history="1">
        <w:r w:rsidRPr="00244420">
          <w:rPr>
            <w:rStyle w:val="Hypertextovodkaz"/>
            <w:rFonts w:asciiTheme="minorHAnsi" w:eastAsia="Cambria" w:hAnsiTheme="minorHAnsi" w:cstheme="minorHAnsi"/>
          </w:rPr>
          <w:t>https://www.tc.cz/cs/publikace/periodika/seznam-periodik/echo/prosinec-2011?FfPeriodicalPublicationItem_page=4</w:t>
        </w:r>
      </w:hyperlink>
    </w:p>
    <w:p w14:paraId="4FA49C88" w14:textId="77777777" w:rsidR="00C86777" w:rsidRPr="00244420" w:rsidRDefault="00C86777" w:rsidP="00244420">
      <w:pPr>
        <w:pStyle w:val="Odstavecseseznamem"/>
        <w:numPr>
          <w:ilvl w:val="0"/>
          <w:numId w:val="33"/>
        </w:numPr>
        <w:spacing w:after="0" w:line="257" w:lineRule="auto"/>
        <w:rPr>
          <w:rFonts w:asciiTheme="minorHAnsi" w:eastAsia="Cambria" w:hAnsiTheme="minorHAnsi" w:cstheme="minorHAnsi"/>
        </w:rPr>
      </w:pPr>
      <w:r w:rsidRPr="00244420">
        <w:rPr>
          <w:rFonts w:asciiTheme="minorHAnsi" w:eastAsia="Cambria" w:hAnsiTheme="minorHAnsi" w:cstheme="minorHAnsi"/>
        </w:rPr>
        <w:t>Arnold</w:t>
      </w:r>
      <w:r w:rsidR="007F1BE7">
        <w:rPr>
          <w:rFonts w:asciiTheme="minorHAnsi" w:eastAsia="Cambria" w:hAnsiTheme="minorHAnsi" w:cstheme="minorHAnsi"/>
        </w:rPr>
        <w:t>,</w:t>
      </w:r>
      <w:r w:rsidRPr="00244420">
        <w:rPr>
          <w:rFonts w:asciiTheme="minorHAnsi" w:eastAsia="Cambria" w:hAnsiTheme="minorHAnsi" w:cstheme="minorHAnsi"/>
        </w:rPr>
        <w:t xml:space="preserve"> E. (2012): Understanding the Long Term Impact of the Framework Programme. Research Evaluation  21, pp. 332-343</w:t>
      </w:r>
    </w:p>
    <w:p w14:paraId="7915F960" w14:textId="77777777" w:rsidR="00C86777" w:rsidRPr="00244420" w:rsidRDefault="00C86777" w:rsidP="001C0AA0">
      <w:pPr>
        <w:pStyle w:val="Odstavecseseznamem"/>
        <w:numPr>
          <w:ilvl w:val="0"/>
          <w:numId w:val="33"/>
        </w:numPr>
        <w:spacing w:after="0" w:line="257" w:lineRule="auto"/>
        <w:jc w:val="left"/>
        <w:rPr>
          <w:rFonts w:asciiTheme="minorHAnsi" w:hAnsiTheme="minorHAnsi" w:cstheme="minorHAnsi"/>
        </w:rPr>
      </w:pPr>
      <w:r w:rsidRPr="00244420">
        <w:rPr>
          <w:rFonts w:asciiTheme="minorHAnsi" w:eastAsia="Cambria" w:hAnsiTheme="minorHAnsi" w:cstheme="minorHAnsi"/>
        </w:rPr>
        <w:t xml:space="preserve">European Commission (2015): Seventh FP7 Monitoring Report, Monitoring Report 2013. Directorate-General for Research and Innovation, Luxembourg: Publications Offi ce of the European Union, 2015. ISBN 978-92-79-46323-5. </w:t>
      </w:r>
      <w:hyperlink r:id="rId68">
        <w:r w:rsidRPr="00244420">
          <w:rPr>
            <w:rStyle w:val="Hypertextovodkaz"/>
            <w:rFonts w:asciiTheme="minorHAnsi" w:eastAsia="Cambria" w:hAnsiTheme="minorHAnsi" w:cstheme="minorHAnsi"/>
          </w:rPr>
          <w:t>http://ec.europa.eu/research/evaluations/pdf/archive/fp7_monitoring_ reports/7th_fp7_monitoring_report.pdf</w:t>
        </w:r>
      </w:hyperlink>
    </w:p>
    <w:p w14:paraId="5B0CCE43" w14:textId="77777777" w:rsidR="00C86777" w:rsidRPr="00244420" w:rsidRDefault="00C86777" w:rsidP="00244420">
      <w:pPr>
        <w:pStyle w:val="Odstavecseseznamem"/>
        <w:numPr>
          <w:ilvl w:val="0"/>
          <w:numId w:val="33"/>
        </w:numPr>
        <w:spacing w:after="0" w:line="257" w:lineRule="auto"/>
        <w:rPr>
          <w:rFonts w:asciiTheme="minorHAnsi" w:hAnsiTheme="minorHAnsi" w:cstheme="minorHAnsi"/>
        </w:rPr>
      </w:pPr>
      <w:r w:rsidRPr="00244420">
        <w:rPr>
          <w:rFonts w:asciiTheme="minorHAnsi" w:eastAsia="Cambria" w:hAnsiTheme="minorHAnsi" w:cstheme="minorHAnsi"/>
        </w:rPr>
        <w:t xml:space="preserve">European Commission (2017), Directorate-General for Research and Innovation, </w:t>
      </w:r>
      <w:r w:rsidRPr="00244420">
        <w:rPr>
          <w:rFonts w:asciiTheme="minorHAnsi" w:eastAsia="Cambria" w:hAnsiTheme="minorHAnsi" w:cstheme="minorHAnsi"/>
          <w:i/>
          <w:iCs/>
        </w:rPr>
        <w:t>Interim evaluation of Horizon 2020 : Commission staff working document</w:t>
      </w:r>
      <w:r w:rsidRPr="00244420">
        <w:rPr>
          <w:rFonts w:asciiTheme="minorHAnsi" w:eastAsia="Cambria" w:hAnsiTheme="minorHAnsi" w:cstheme="minorHAnsi"/>
        </w:rPr>
        <w:t xml:space="preserve">, Publications Office, 2017. </w:t>
      </w:r>
      <w:hyperlink r:id="rId69">
        <w:r w:rsidRPr="00244420">
          <w:rPr>
            <w:rStyle w:val="Hypertextovodkaz"/>
            <w:rFonts w:asciiTheme="minorHAnsi" w:eastAsia="Cambria" w:hAnsiTheme="minorHAnsi" w:cstheme="minorHAnsi"/>
          </w:rPr>
          <w:t>https://data.europa.eu/doi/10.2777/220768</w:t>
        </w:r>
      </w:hyperlink>
    </w:p>
    <w:p w14:paraId="1551B9E2" w14:textId="77777777" w:rsidR="00C86777" w:rsidRPr="00244420" w:rsidRDefault="00C86777" w:rsidP="00244420">
      <w:pPr>
        <w:pStyle w:val="Odstavecseseznamem"/>
        <w:numPr>
          <w:ilvl w:val="0"/>
          <w:numId w:val="33"/>
        </w:numPr>
        <w:spacing w:after="0" w:line="257" w:lineRule="auto"/>
        <w:rPr>
          <w:rFonts w:asciiTheme="minorHAnsi" w:hAnsiTheme="minorHAnsi" w:cstheme="minorHAnsi"/>
        </w:rPr>
      </w:pPr>
      <w:r w:rsidRPr="00244420">
        <w:rPr>
          <w:rFonts w:asciiTheme="minorHAnsi" w:eastAsia="Cambria" w:hAnsiTheme="minorHAnsi" w:cstheme="minorHAnsi"/>
        </w:rPr>
        <w:lastRenderedPageBreak/>
        <w:t xml:space="preserve">European Commission (2018), Directorate-General for Research and Innovation, Puukka, J., Spreading excellence and widening participation in Horizon 2020 : analysis of FP participation patterns and research and innovation performance of eligible countries, Publications Office, 2018, </w:t>
      </w:r>
      <w:hyperlink r:id="rId70">
        <w:r w:rsidRPr="00244420">
          <w:rPr>
            <w:rStyle w:val="Hypertextovodkaz"/>
            <w:rFonts w:asciiTheme="minorHAnsi" w:eastAsia="Cambria" w:hAnsiTheme="minorHAnsi" w:cstheme="minorHAnsi"/>
          </w:rPr>
          <w:t>https://data.europa.eu/doi/10.2777/42382</w:t>
        </w:r>
      </w:hyperlink>
    </w:p>
    <w:p w14:paraId="7B54C8E6" w14:textId="77777777" w:rsidR="00C86777" w:rsidRPr="00244420" w:rsidRDefault="00C86777" w:rsidP="00244420">
      <w:pPr>
        <w:pStyle w:val="Odstavecseseznamem"/>
        <w:numPr>
          <w:ilvl w:val="0"/>
          <w:numId w:val="33"/>
        </w:numPr>
        <w:spacing w:after="0" w:line="257" w:lineRule="auto"/>
        <w:rPr>
          <w:rFonts w:asciiTheme="minorHAnsi" w:hAnsiTheme="minorHAnsi" w:cstheme="minorHAnsi"/>
        </w:rPr>
      </w:pPr>
      <w:r w:rsidRPr="00244420">
        <w:rPr>
          <w:rFonts w:asciiTheme="minorHAnsi" w:eastAsia="Cambria" w:hAnsiTheme="minorHAnsi" w:cstheme="minorHAnsi"/>
        </w:rPr>
        <w:t xml:space="preserve">European Commission (2019), Directorate-General for Research and Innovation, </w:t>
      </w:r>
      <w:r w:rsidRPr="00244420">
        <w:rPr>
          <w:rFonts w:asciiTheme="minorHAnsi" w:eastAsia="Cambria" w:hAnsiTheme="minorHAnsi" w:cstheme="minorHAnsi"/>
          <w:i/>
          <w:iCs/>
        </w:rPr>
        <w:t>Assessment of the Union added value and the economic impact of the EU Framework Programmes : final report</w:t>
      </w:r>
      <w:r w:rsidRPr="00244420">
        <w:rPr>
          <w:rFonts w:asciiTheme="minorHAnsi" w:eastAsia="Cambria" w:hAnsiTheme="minorHAnsi" w:cstheme="minorHAnsi"/>
        </w:rPr>
        <w:t xml:space="preserve">, Publications Office, 2019. </w:t>
      </w:r>
      <w:hyperlink r:id="rId71">
        <w:r w:rsidRPr="00244420">
          <w:rPr>
            <w:rStyle w:val="Hypertextovodkaz"/>
            <w:rFonts w:asciiTheme="minorHAnsi" w:eastAsia="Cambria" w:hAnsiTheme="minorHAnsi" w:cstheme="minorHAnsi"/>
          </w:rPr>
          <w:t>https://data.europa.eu/doi/10.2777/065997</w:t>
        </w:r>
      </w:hyperlink>
    </w:p>
    <w:p w14:paraId="7EAC096D" w14:textId="77777777" w:rsidR="00C86777" w:rsidRPr="00244420" w:rsidRDefault="00C86777" w:rsidP="00244420">
      <w:pPr>
        <w:pStyle w:val="Odstavecseseznamem"/>
        <w:numPr>
          <w:ilvl w:val="0"/>
          <w:numId w:val="33"/>
        </w:numPr>
        <w:spacing w:after="0" w:line="257" w:lineRule="auto"/>
        <w:jc w:val="left"/>
        <w:rPr>
          <w:rFonts w:asciiTheme="minorHAnsi" w:hAnsiTheme="minorHAnsi" w:cstheme="minorHAnsi"/>
        </w:rPr>
      </w:pPr>
      <w:r w:rsidRPr="00244420">
        <w:rPr>
          <w:rFonts w:asciiTheme="minorHAnsi" w:eastAsia="Cambria" w:hAnsiTheme="minorHAnsi" w:cstheme="minorHAnsi"/>
        </w:rPr>
        <w:t>Fresco, L. O., Martinuzzi</w:t>
      </w:r>
      <w:r w:rsidR="007F1BE7">
        <w:rPr>
          <w:rFonts w:asciiTheme="minorHAnsi" w:eastAsia="Cambria" w:hAnsiTheme="minorHAnsi" w:cstheme="minorHAnsi"/>
        </w:rPr>
        <w:t>, A. et al</w:t>
      </w:r>
      <w:r w:rsidRPr="00244420">
        <w:rPr>
          <w:rFonts w:asciiTheme="minorHAnsi" w:eastAsia="Cambria" w:hAnsiTheme="minorHAnsi" w:cstheme="minorHAnsi"/>
        </w:rPr>
        <w:t xml:space="preserve">. (2015). Commitment and Coherence – Ex-Post Evaluation of the 7th EU Framework Programme. DOI: 10.13140/RG.2.1.4192.0083. </w:t>
      </w:r>
      <w:hyperlink r:id="rId72">
        <w:r w:rsidRPr="00244420">
          <w:rPr>
            <w:rStyle w:val="Hypertextovodkaz"/>
            <w:rFonts w:asciiTheme="minorHAnsi" w:eastAsia="Cambria" w:hAnsiTheme="minorHAnsi" w:cstheme="minorHAnsi"/>
          </w:rPr>
          <w:t>https://ec.europa.eu/research/evaluations/pdf/fp7_fi nal_evaluation_ expert_group_report.pdf</w:t>
        </w:r>
      </w:hyperlink>
    </w:p>
    <w:p w14:paraId="28F28DC4" w14:textId="77777777" w:rsidR="00C86777" w:rsidRPr="00244420" w:rsidRDefault="00C86777" w:rsidP="00244420">
      <w:pPr>
        <w:pStyle w:val="Odstavecseseznamem"/>
        <w:numPr>
          <w:ilvl w:val="0"/>
          <w:numId w:val="33"/>
        </w:numPr>
        <w:spacing w:after="0" w:line="257" w:lineRule="auto"/>
        <w:jc w:val="left"/>
        <w:rPr>
          <w:rFonts w:asciiTheme="minorHAnsi" w:eastAsia="Cambria" w:hAnsiTheme="minorHAnsi" w:cstheme="minorHAnsi"/>
        </w:rPr>
      </w:pPr>
      <w:r w:rsidRPr="00244420">
        <w:rPr>
          <w:rFonts w:asciiTheme="minorHAnsi" w:eastAsia="Cambria" w:hAnsiTheme="minorHAnsi" w:cstheme="minorHAnsi"/>
        </w:rPr>
        <w:t>Glanzel, W. (2001). National characteristics in international scientific co-authorship. Scientometrics, 51, 69–115.</w:t>
      </w:r>
    </w:p>
    <w:p w14:paraId="7C3552B8" w14:textId="77777777" w:rsidR="00C86777" w:rsidRPr="00244420" w:rsidRDefault="00C86777" w:rsidP="00244420">
      <w:pPr>
        <w:pStyle w:val="Odstavecseseznamem"/>
        <w:numPr>
          <w:ilvl w:val="0"/>
          <w:numId w:val="33"/>
        </w:numPr>
        <w:spacing w:after="0" w:line="257" w:lineRule="auto"/>
        <w:rPr>
          <w:rFonts w:asciiTheme="minorHAnsi" w:hAnsiTheme="minorHAnsi" w:cstheme="minorHAnsi"/>
        </w:rPr>
      </w:pPr>
      <w:r w:rsidRPr="00244420">
        <w:rPr>
          <w:rFonts w:asciiTheme="minorHAnsi" w:eastAsia="Cambria" w:hAnsiTheme="minorHAnsi" w:cstheme="minorHAnsi"/>
        </w:rPr>
        <w:t>Godø, H., Langfeldt, L., Kaloudis, A. (2009): In Need of</w:t>
      </w:r>
      <w:r w:rsidR="009B66B5">
        <w:rPr>
          <w:rFonts w:asciiTheme="minorHAnsi" w:eastAsia="Cambria" w:hAnsiTheme="minorHAnsi" w:cstheme="minorHAnsi"/>
        </w:rPr>
        <w:t xml:space="preserve"> a </w:t>
      </w:r>
      <w:r w:rsidRPr="00244420">
        <w:rPr>
          <w:rFonts w:asciiTheme="minorHAnsi" w:eastAsia="Cambria" w:hAnsiTheme="minorHAnsi" w:cstheme="minorHAnsi"/>
        </w:rPr>
        <w:t xml:space="preserve">Better Framework for Success: An evaluation of the Norwegian participation in the EU 6th Framework Programme (2003–2006) and the first part of the EU 7th Framework Programme (2007–2008). NIFU STEP rapport;2009-22 </w:t>
      </w:r>
      <w:hyperlink r:id="rId73">
        <w:r w:rsidRPr="00244420">
          <w:rPr>
            <w:rStyle w:val="Hypertextovodkaz"/>
            <w:rFonts w:asciiTheme="minorHAnsi" w:eastAsia="Cambria" w:hAnsiTheme="minorHAnsi" w:cstheme="minorHAnsi"/>
          </w:rPr>
          <w:t>https://nifu.brage.unit.no/nifu-xmlui/handle/11250/279816</w:t>
        </w:r>
      </w:hyperlink>
    </w:p>
    <w:p w14:paraId="24B357BA" w14:textId="77777777" w:rsidR="00C86777" w:rsidRPr="00244420" w:rsidRDefault="00C86777" w:rsidP="00244420">
      <w:pPr>
        <w:pStyle w:val="Odstavecseseznamem"/>
        <w:numPr>
          <w:ilvl w:val="0"/>
          <w:numId w:val="33"/>
        </w:numPr>
        <w:spacing w:after="0" w:line="257" w:lineRule="auto"/>
        <w:rPr>
          <w:rFonts w:asciiTheme="minorHAnsi" w:eastAsia="Cambria" w:hAnsiTheme="minorHAnsi" w:cstheme="minorHAnsi"/>
        </w:rPr>
      </w:pPr>
      <w:r w:rsidRPr="00244420">
        <w:rPr>
          <w:rFonts w:asciiTheme="minorHAnsi" w:eastAsia="Cambria" w:hAnsiTheme="minorHAnsi" w:cstheme="minorHAnsi"/>
        </w:rPr>
        <w:t xml:space="preserve">Ministry of Higher Education and Science (2015): Effects of participation in EU framework programmes for research and technological development – for researchers, institutions and private companies in Denmark. </w:t>
      </w:r>
      <w:r w:rsidRPr="00244420">
        <w:rPr>
          <w:rFonts w:asciiTheme="minorHAnsi" w:eastAsia="Cambria" w:hAnsiTheme="minorHAnsi" w:cstheme="minorHAnsi"/>
          <w:i/>
          <w:iCs/>
        </w:rPr>
        <w:t>Research and Innovation. Analysis and Evaluation</w:t>
      </w:r>
      <w:r w:rsidRPr="00244420">
        <w:rPr>
          <w:rFonts w:asciiTheme="minorHAnsi" w:eastAsia="Cambria" w:hAnsiTheme="minorHAnsi" w:cstheme="minorHAnsi"/>
        </w:rPr>
        <w:t xml:space="preserve">, 3. 94 pp. </w:t>
      </w:r>
    </w:p>
    <w:p w14:paraId="0F395037" w14:textId="77777777" w:rsidR="00C86777" w:rsidRPr="00244420" w:rsidRDefault="00FA7752" w:rsidP="00244420">
      <w:pPr>
        <w:pStyle w:val="Odstavecseseznamem"/>
        <w:numPr>
          <w:ilvl w:val="0"/>
          <w:numId w:val="33"/>
        </w:numPr>
        <w:spacing w:after="0" w:line="257" w:lineRule="auto"/>
        <w:rPr>
          <w:rFonts w:asciiTheme="minorHAnsi" w:hAnsiTheme="minorHAnsi" w:cstheme="minorHAnsi"/>
        </w:rPr>
      </w:pPr>
      <w:hyperlink r:id="rId74">
        <w:r w:rsidR="00C86777" w:rsidRPr="00244420">
          <w:rPr>
            <w:rStyle w:val="Hypertextovodkaz"/>
            <w:rFonts w:asciiTheme="minorHAnsi" w:eastAsia="Cambria" w:hAnsiTheme="minorHAnsi" w:cstheme="minorHAnsi"/>
          </w:rPr>
          <w:t>https://ufm.dk/en/publications/2015/filer-2015/effects_eu_framework_programmes_pdfa.pdf</w:t>
        </w:r>
      </w:hyperlink>
    </w:p>
    <w:p w14:paraId="24C71910" w14:textId="77777777" w:rsidR="00C86777" w:rsidRPr="00244420" w:rsidRDefault="00C86777" w:rsidP="00244420">
      <w:pPr>
        <w:pStyle w:val="Odstavecseseznamem"/>
        <w:numPr>
          <w:ilvl w:val="0"/>
          <w:numId w:val="33"/>
        </w:numPr>
        <w:spacing w:after="0" w:line="257" w:lineRule="auto"/>
        <w:rPr>
          <w:rFonts w:asciiTheme="minorHAnsi" w:eastAsia="Cambria" w:hAnsiTheme="minorHAnsi" w:cstheme="minorHAnsi"/>
        </w:rPr>
      </w:pPr>
      <w:r w:rsidRPr="00244420">
        <w:rPr>
          <w:rFonts w:asciiTheme="minorHAnsi" w:eastAsia="Cambria" w:hAnsiTheme="minorHAnsi" w:cstheme="minorHAnsi"/>
        </w:rPr>
        <w:t>Narin, F., Stevens, K., &amp; Whitlow, E. S. (1991). Scientific co-operation in Europe and the citation of multinationally authored papers. Scientometrics, 21, 313–323.</w:t>
      </w:r>
    </w:p>
    <w:p w14:paraId="05192E71" w14:textId="77777777" w:rsidR="00C86777" w:rsidRPr="00244420" w:rsidRDefault="00C86777" w:rsidP="00244420">
      <w:pPr>
        <w:pStyle w:val="Odstavecseseznamem"/>
        <w:numPr>
          <w:ilvl w:val="0"/>
          <w:numId w:val="33"/>
        </w:numPr>
        <w:spacing w:after="0" w:line="257" w:lineRule="auto"/>
        <w:jc w:val="left"/>
        <w:rPr>
          <w:rFonts w:asciiTheme="minorHAnsi" w:hAnsiTheme="minorHAnsi" w:cstheme="minorHAnsi"/>
        </w:rPr>
      </w:pPr>
      <w:r w:rsidRPr="00244420">
        <w:rPr>
          <w:rFonts w:asciiTheme="minorHAnsi" w:eastAsia="Cambria" w:hAnsiTheme="minorHAnsi" w:cstheme="minorHAnsi"/>
        </w:rPr>
        <w:t xml:space="preserve">Pazour, M., Albrecht, V., Frank, D., Ruzicka, V., Vanecek, J., Pecha, O., Kucera, Z., Horlings, E., van der Meulen, B., &amp; Hennen, L. (2018): Overcoming innovation gaps in the EU-13 Member States. Scientifi c Foresight Unit (STOA), Directorate-General for Parliamentary Research Services, European Parliament, Brussels. ISBN 978-92-846-2660-1. </w:t>
      </w:r>
      <w:hyperlink r:id="rId75">
        <w:r w:rsidRPr="00244420">
          <w:rPr>
            <w:rStyle w:val="Hypertextovodkaz"/>
            <w:rFonts w:asciiTheme="minorHAnsi" w:eastAsia="Cambria" w:hAnsiTheme="minorHAnsi" w:cstheme="minorHAnsi"/>
          </w:rPr>
          <w:t>https://www.europarl.europa.eu/RegData/etudes/STUD/2018/614537/EPRS_STU(2018)614537_EN.pdf</w:t>
        </w:r>
      </w:hyperlink>
    </w:p>
    <w:p w14:paraId="32175E4C" w14:textId="77777777" w:rsidR="00C86777" w:rsidRPr="00244420" w:rsidRDefault="00C86777" w:rsidP="00244420">
      <w:pPr>
        <w:pStyle w:val="Odstavecseseznamem"/>
        <w:numPr>
          <w:ilvl w:val="0"/>
          <w:numId w:val="33"/>
        </w:numPr>
        <w:spacing w:after="0" w:line="257" w:lineRule="auto"/>
        <w:rPr>
          <w:rFonts w:asciiTheme="minorHAnsi" w:hAnsiTheme="minorHAnsi" w:cstheme="minorHAnsi"/>
        </w:rPr>
      </w:pPr>
      <w:r w:rsidRPr="00244420">
        <w:rPr>
          <w:rFonts w:asciiTheme="minorHAnsi" w:eastAsia="Cambria" w:hAnsiTheme="minorHAnsi" w:cstheme="minorHAnsi"/>
        </w:rPr>
        <w:t xml:space="preserve">Report of the Expert Group (2009): Evaluation of the sixth framework programmes for research and technological development 2002-2006. Expert Group Analysis 2009. Chairman: Ernst Th. Rietschel, Rapporteur: Erik Arnold  </w:t>
      </w:r>
      <w:hyperlink r:id="rId76">
        <w:r w:rsidRPr="00244420">
          <w:rPr>
            <w:rStyle w:val="Hypertextovodkaz"/>
            <w:rFonts w:asciiTheme="minorHAnsi" w:eastAsia="Cambria" w:hAnsiTheme="minorHAnsi" w:cstheme="minorHAnsi"/>
          </w:rPr>
          <w:t>https://si-per.eu/siper-wAssets/repository/2009-330.pdf</w:t>
        </w:r>
      </w:hyperlink>
    </w:p>
    <w:p w14:paraId="45895AC2" w14:textId="77777777" w:rsidR="00C86777" w:rsidRPr="00244420" w:rsidRDefault="00C86777" w:rsidP="00244420">
      <w:pPr>
        <w:pStyle w:val="Odstavecseseznamem"/>
        <w:numPr>
          <w:ilvl w:val="0"/>
          <w:numId w:val="33"/>
        </w:numPr>
        <w:spacing w:after="0" w:line="257" w:lineRule="auto"/>
        <w:rPr>
          <w:rFonts w:asciiTheme="minorHAnsi" w:eastAsia="Cambria" w:hAnsiTheme="minorHAnsi" w:cstheme="minorHAnsi"/>
        </w:rPr>
      </w:pPr>
      <w:r w:rsidRPr="00244420">
        <w:rPr>
          <w:rFonts w:asciiTheme="minorHAnsi" w:eastAsia="Cambria" w:hAnsiTheme="minorHAnsi" w:cstheme="minorHAnsi"/>
        </w:rPr>
        <w:lastRenderedPageBreak/>
        <w:t>Vaněček, J. (2021): Publikační výstupy</w:t>
      </w:r>
      <w:r w:rsidR="009B66B5">
        <w:rPr>
          <w:rFonts w:asciiTheme="minorHAnsi" w:eastAsia="Cambria" w:hAnsiTheme="minorHAnsi" w:cstheme="minorHAnsi"/>
        </w:rPr>
        <w:t xml:space="preserve"> z </w:t>
      </w:r>
      <w:r w:rsidRPr="00244420">
        <w:rPr>
          <w:rFonts w:asciiTheme="minorHAnsi" w:eastAsia="Cambria" w:hAnsiTheme="minorHAnsi" w:cstheme="minorHAnsi"/>
        </w:rPr>
        <w:t>programu H2020. ECHO pří</w:t>
      </w:r>
      <w:r w:rsidR="001C0AA0">
        <w:rPr>
          <w:rFonts w:asciiTheme="minorHAnsi" w:eastAsia="Cambria" w:hAnsiTheme="minorHAnsi" w:cstheme="minorHAnsi"/>
        </w:rPr>
        <w:t>loha 3-4: 116</w:t>
      </w:r>
      <w:r w:rsidR="001C0AA0" w:rsidRPr="662E54F4">
        <w:rPr>
          <w:rFonts w:cs="Calibri"/>
        </w:rPr>
        <w:t>–</w:t>
      </w:r>
      <w:r w:rsidRPr="00244420">
        <w:rPr>
          <w:rFonts w:asciiTheme="minorHAnsi" w:eastAsia="Cambria" w:hAnsiTheme="minorHAnsi" w:cstheme="minorHAnsi"/>
        </w:rPr>
        <w:t>128, 2021</w:t>
      </w:r>
    </w:p>
    <w:p w14:paraId="416B9374" w14:textId="77777777" w:rsidR="00C86777" w:rsidRPr="00244420" w:rsidRDefault="00C86777" w:rsidP="00244420">
      <w:pPr>
        <w:pStyle w:val="Odstavecseseznamem"/>
        <w:numPr>
          <w:ilvl w:val="0"/>
          <w:numId w:val="33"/>
        </w:numPr>
        <w:spacing w:after="0" w:line="257" w:lineRule="auto"/>
        <w:rPr>
          <w:rFonts w:asciiTheme="minorHAnsi" w:eastAsia="Cambria" w:hAnsiTheme="minorHAnsi" w:cstheme="minorHAnsi"/>
        </w:rPr>
      </w:pPr>
      <w:r w:rsidRPr="00244420">
        <w:rPr>
          <w:rFonts w:asciiTheme="minorHAnsi" w:eastAsia="Cambria" w:hAnsiTheme="minorHAnsi" w:cstheme="minorHAnsi"/>
        </w:rPr>
        <w:t>Vaněček, J., Frank, D. (2022): Čím se liší nejcitovanější české publikace od českého průměru? Stručná analýza publikací nejcitovanějš</w:t>
      </w:r>
      <w:r w:rsidR="001C0AA0">
        <w:rPr>
          <w:rFonts w:asciiTheme="minorHAnsi" w:eastAsia="Cambria" w:hAnsiTheme="minorHAnsi" w:cstheme="minorHAnsi"/>
        </w:rPr>
        <w:t>ích českých vědců. ECHO 1-2: 11</w:t>
      </w:r>
      <w:r w:rsidR="001C0AA0" w:rsidRPr="662E54F4">
        <w:rPr>
          <w:rFonts w:cs="Calibri"/>
        </w:rPr>
        <w:t>–</w:t>
      </w:r>
      <w:r w:rsidRPr="00244420">
        <w:rPr>
          <w:rFonts w:asciiTheme="minorHAnsi" w:eastAsia="Cambria" w:hAnsiTheme="minorHAnsi" w:cstheme="minorHAnsi"/>
        </w:rPr>
        <w:t>16, 2022</w:t>
      </w:r>
    </w:p>
    <w:p w14:paraId="57048DD9" w14:textId="77777777" w:rsidR="00C86777" w:rsidRPr="00244420" w:rsidRDefault="00C86777" w:rsidP="00244420">
      <w:pPr>
        <w:pStyle w:val="Odstavecseseznamem"/>
        <w:numPr>
          <w:ilvl w:val="0"/>
          <w:numId w:val="33"/>
        </w:numPr>
        <w:spacing w:after="0" w:line="257" w:lineRule="auto"/>
        <w:rPr>
          <w:rFonts w:asciiTheme="minorHAnsi" w:eastAsia="Cambria" w:hAnsiTheme="minorHAnsi" w:cstheme="minorHAnsi"/>
        </w:rPr>
      </w:pPr>
      <w:r w:rsidRPr="00244420">
        <w:rPr>
          <w:rFonts w:asciiTheme="minorHAnsi" w:eastAsia="Cambria" w:hAnsiTheme="minorHAnsi" w:cstheme="minorHAnsi"/>
        </w:rPr>
        <w:t>Vaněček, J., Frank, D. (2020): Analýza publikačních výsledků vzniklých</w:t>
      </w:r>
      <w:r w:rsidR="009B66B5">
        <w:rPr>
          <w:rFonts w:asciiTheme="minorHAnsi" w:eastAsia="Cambria" w:hAnsiTheme="minorHAnsi" w:cstheme="minorHAnsi"/>
        </w:rPr>
        <w:t xml:space="preserve"> z </w:t>
      </w:r>
      <w:r w:rsidRPr="00244420">
        <w:rPr>
          <w:rFonts w:asciiTheme="minorHAnsi" w:eastAsia="Cambria" w:hAnsiTheme="minorHAnsi" w:cstheme="minorHAnsi"/>
        </w:rPr>
        <w:t>účelové podpory různých posk</w:t>
      </w:r>
      <w:r w:rsidR="001C0AA0">
        <w:rPr>
          <w:rFonts w:asciiTheme="minorHAnsi" w:eastAsia="Cambria" w:hAnsiTheme="minorHAnsi" w:cstheme="minorHAnsi"/>
        </w:rPr>
        <w:t>ytovatelů</w:t>
      </w:r>
      <w:r w:rsidR="009B66B5">
        <w:rPr>
          <w:rFonts w:asciiTheme="minorHAnsi" w:eastAsia="Cambria" w:hAnsiTheme="minorHAnsi" w:cstheme="minorHAnsi"/>
        </w:rPr>
        <w:t xml:space="preserve"> v </w:t>
      </w:r>
      <w:r w:rsidR="001C0AA0">
        <w:rPr>
          <w:rFonts w:asciiTheme="minorHAnsi" w:eastAsia="Cambria" w:hAnsiTheme="minorHAnsi" w:cstheme="minorHAnsi"/>
        </w:rPr>
        <w:t>ČR. ERGO 15 (2): 14</w:t>
      </w:r>
      <w:r w:rsidR="001C0AA0" w:rsidRPr="662E54F4">
        <w:rPr>
          <w:rFonts w:cs="Calibri"/>
        </w:rPr>
        <w:t>–</w:t>
      </w:r>
      <w:r w:rsidRPr="00244420">
        <w:rPr>
          <w:rFonts w:asciiTheme="minorHAnsi" w:eastAsia="Cambria" w:hAnsiTheme="minorHAnsi" w:cstheme="minorHAnsi"/>
        </w:rPr>
        <w:t>23, 2020</w:t>
      </w:r>
    </w:p>
    <w:p w14:paraId="64C2AD53" w14:textId="77777777" w:rsidR="00C86777" w:rsidRPr="00244420" w:rsidRDefault="00C86777" w:rsidP="00244420">
      <w:pPr>
        <w:pStyle w:val="Odstavecseseznamem"/>
        <w:numPr>
          <w:ilvl w:val="0"/>
          <w:numId w:val="33"/>
        </w:numPr>
        <w:spacing w:after="0" w:line="257" w:lineRule="auto"/>
        <w:rPr>
          <w:rFonts w:asciiTheme="minorHAnsi" w:eastAsia="Cambria" w:hAnsiTheme="minorHAnsi" w:cstheme="minorHAnsi"/>
        </w:rPr>
      </w:pPr>
      <w:r w:rsidRPr="00244420">
        <w:rPr>
          <w:rFonts w:asciiTheme="minorHAnsi" w:eastAsia="Cambria" w:hAnsiTheme="minorHAnsi" w:cstheme="minorHAnsi"/>
        </w:rPr>
        <w:t xml:space="preserve">Vaněček, J., Fatun, M., &amp; Albrecht, V. (2010): Bibliometric evaluation of the FP-5 and FP-6 results in the Czech Republic. Scientometrics, 83, 103–114. </w:t>
      </w:r>
    </w:p>
    <w:p w14:paraId="1B802DC9" w14:textId="77777777" w:rsidR="00244420" w:rsidRDefault="00244420" w:rsidP="00244420">
      <w:pPr>
        <w:pStyle w:val="Odstavecseseznamem"/>
        <w:numPr>
          <w:ilvl w:val="0"/>
          <w:numId w:val="33"/>
        </w:numPr>
      </w:pPr>
      <w:r>
        <w:t>Veřejná politika</w:t>
      </w:r>
      <w:r w:rsidR="009B66B5">
        <w:t xml:space="preserve"> v </w:t>
      </w:r>
      <w:r>
        <w:t>oblasti výzkumu, vývoje</w:t>
      </w:r>
      <w:r w:rsidR="009B66B5">
        <w:t xml:space="preserve"> a </w:t>
      </w:r>
      <w:r>
        <w:t>inovací, SCI-PO, 2020</w:t>
      </w:r>
    </w:p>
    <w:p w14:paraId="1F692953" w14:textId="77777777" w:rsidR="00244420" w:rsidRDefault="00244420" w:rsidP="00244420">
      <w:pPr>
        <w:pStyle w:val="Odstavecseseznamem"/>
        <w:numPr>
          <w:ilvl w:val="0"/>
          <w:numId w:val="33"/>
        </w:numPr>
      </w:pPr>
      <w:r>
        <w:t>Inovační strategie České republiky 2019–2030, https://www.vlada.cz/assets/urad-vlady/poskytovani-informaci/poskytnute-informace-na-zadost/Priloha_1_Inovacni-strategie.pdf</w:t>
      </w:r>
    </w:p>
    <w:p w14:paraId="20631C90" w14:textId="77777777" w:rsidR="00244420" w:rsidRDefault="00244420" w:rsidP="00244420">
      <w:pPr>
        <w:pStyle w:val="Odstavecseseznamem"/>
        <w:numPr>
          <w:ilvl w:val="0"/>
          <w:numId w:val="33"/>
        </w:numPr>
      </w:pPr>
      <w:r>
        <w:t>Akční plán mezinárodní spolupráce ČR ve výzkumu</w:t>
      </w:r>
      <w:r w:rsidR="009B66B5">
        <w:t xml:space="preserve"> a </w:t>
      </w:r>
      <w:r>
        <w:t>vývoji</w:t>
      </w:r>
      <w:r w:rsidR="009B66B5">
        <w:t xml:space="preserve"> a </w:t>
      </w:r>
      <w:r>
        <w:t>internacionalizace prostředí výzkumu</w:t>
      </w:r>
      <w:r w:rsidR="009B66B5">
        <w:t xml:space="preserve"> a </w:t>
      </w:r>
      <w:r>
        <w:t>vývoje</w:t>
      </w:r>
      <w:r w:rsidR="009B66B5">
        <w:t xml:space="preserve"> v </w:t>
      </w:r>
      <w:r>
        <w:t>ČR na léta 2017-2020</w:t>
      </w:r>
    </w:p>
    <w:p w14:paraId="154B77C3" w14:textId="77777777" w:rsidR="00244420" w:rsidRPr="00244420" w:rsidRDefault="00244420" w:rsidP="00244420">
      <w:pPr>
        <w:pStyle w:val="Odstavecseseznamem"/>
        <w:numPr>
          <w:ilvl w:val="0"/>
          <w:numId w:val="33"/>
        </w:numPr>
      </w:pPr>
      <w:r>
        <w:t>Stimulace synergií mezi evropskými strukturálními</w:t>
      </w:r>
      <w:r w:rsidR="009B66B5">
        <w:t xml:space="preserve"> a </w:t>
      </w:r>
      <w:r>
        <w:t>investičními fondy, programem Horizont 2020</w:t>
      </w:r>
      <w:r w:rsidR="009B66B5">
        <w:t xml:space="preserve"> a </w:t>
      </w:r>
      <w:r w:rsidRPr="00244420">
        <w:t>jinými souvisejícími programy EU</w:t>
      </w:r>
      <w:r w:rsidR="009B66B5">
        <w:t xml:space="preserve"> v </w:t>
      </w:r>
      <w:r w:rsidRPr="00244420">
        <w:t>oblasti výzkumu, inovací</w:t>
      </w:r>
      <w:r w:rsidR="009B66B5">
        <w:t xml:space="preserve"> a </w:t>
      </w:r>
      <w:r w:rsidRPr="00244420">
        <w:t>konkurenceschopnosti, 2014</w:t>
      </w:r>
    </w:p>
    <w:p w14:paraId="0B3E3734" w14:textId="77777777" w:rsidR="00244420" w:rsidRPr="00244420" w:rsidRDefault="00244420" w:rsidP="00244420">
      <w:pPr>
        <w:pStyle w:val="Odstavecseseznamem"/>
        <w:numPr>
          <w:ilvl w:val="0"/>
          <w:numId w:val="33"/>
        </w:numPr>
      </w:pPr>
      <w:r w:rsidRPr="00244420">
        <w:t>EIT synergies with Horizon Euro</w:t>
      </w:r>
      <w:r w:rsidR="001C0AA0">
        <w:t>pe and other EU programmes 2021</w:t>
      </w:r>
      <w:r w:rsidR="001C0AA0" w:rsidRPr="662E54F4">
        <w:rPr>
          <w:rFonts w:cs="Calibri"/>
        </w:rPr>
        <w:t>–</w:t>
      </w:r>
      <w:r w:rsidRPr="00244420">
        <w:t>2027</w:t>
      </w:r>
    </w:p>
    <w:p w14:paraId="6CD884AE" w14:textId="77777777" w:rsidR="00244420" w:rsidRPr="00244420" w:rsidRDefault="00210B10" w:rsidP="00210B10">
      <w:pPr>
        <w:pStyle w:val="Odstavecseseznamem"/>
        <w:numPr>
          <w:ilvl w:val="0"/>
          <w:numId w:val="33"/>
        </w:numPr>
      </w:pPr>
      <w:r>
        <w:t>Projekt TA ČR Synergie:</w:t>
      </w:r>
      <w:r w:rsidRPr="00210B10">
        <w:t xml:space="preserve"> </w:t>
      </w:r>
      <w:hyperlink r:id="rId77" w:history="1">
        <w:r w:rsidRPr="00210B10">
          <w:rPr>
            <w:rStyle w:val="Hypertextovodkaz"/>
          </w:rPr>
          <w:t>https://www.tacr.cz/o-nas/interni-projekty-ta-cr/projekt-ta-cr-synergie/</w:t>
        </w:r>
      </w:hyperlink>
    </w:p>
    <w:p w14:paraId="4966E94B" w14:textId="77777777" w:rsidR="00244420" w:rsidRPr="00244420" w:rsidRDefault="007F1BE7" w:rsidP="00210B10">
      <w:pPr>
        <w:pStyle w:val="Odstavecseseznamem"/>
        <w:numPr>
          <w:ilvl w:val="0"/>
          <w:numId w:val="33"/>
        </w:numPr>
      </w:pPr>
      <w:r>
        <w:t>Projekt TA ČR Synergie 2</w:t>
      </w:r>
      <w:r w:rsidR="00210B10">
        <w:t xml:space="preserve">: </w:t>
      </w:r>
      <w:hyperlink r:id="rId78" w:history="1">
        <w:r w:rsidR="00210B10" w:rsidRPr="00210B10">
          <w:rPr>
            <w:rStyle w:val="Hypertextovodkaz"/>
          </w:rPr>
          <w:t>https://www.tacr.cz/projekt-ta-cr-synergie-2/</w:t>
        </w:r>
      </w:hyperlink>
    </w:p>
    <w:p w14:paraId="0C10B33F" w14:textId="77777777" w:rsidR="00244420" w:rsidRPr="00244420" w:rsidRDefault="007F1BE7" w:rsidP="00244420">
      <w:pPr>
        <w:pStyle w:val="Odstavecseseznamem"/>
        <w:numPr>
          <w:ilvl w:val="0"/>
          <w:numId w:val="33"/>
        </w:numPr>
      </w:pPr>
      <w:r>
        <w:t>Analýza potenciálu synergických procesů TA ČR</w:t>
      </w:r>
      <w:r w:rsidR="009B66B5">
        <w:t xml:space="preserve"> v </w:t>
      </w:r>
      <w:r>
        <w:t>prostředí</w:t>
      </w:r>
      <w:r w:rsidR="009B66B5">
        <w:t xml:space="preserve"> v </w:t>
      </w:r>
      <w:r w:rsidR="00244420" w:rsidRPr="00244420">
        <w:t>prostředí JTIs</w:t>
      </w:r>
    </w:p>
    <w:p w14:paraId="77B938EC" w14:textId="77777777" w:rsidR="00244420" w:rsidRPr="00244420" w:rsidRDefault="00C4450D" w:rsidP="00244420">
      <w:pPr>
        <w:pStyle w:val="Odstavecseseznamem"/>
        <w:numPr>
          <w:ilvl w:val="0"/>
          <w:numId w:val="33"/>
        </w:numPr>
      </w:pPr>
      <w:r>
        <w:t xml:space="preserve">TA ČR: </w:t>
      </w:r>
      <w:r w:rsidR="007F1BE7">
        <w:t xml:space="preserve">Best Practices </w:t>
      </w:r>
      <w:r w:rsidR="00244420" w:rsidRPr="00244420">
        <w:t xml:space="preserve">BEST SoE V České republice, </w:t>
      </w:r>
      <w:r w:rsidR="007F1BE7">
        <w:t xml:space="preserve">Pilotní ověření </w:t>
      </w:r>
      <w:r w:rsidR="00244420" w:rsidRPr="00244420">
        <w:t>SME INSTRUMENT FÁZE 1</w:t>
      </w:r>
    </w:p>
    <w:p w14:paraId="17C9A90D" w14:textId="77777777" w:rsidR="00244420" w:rsidRPr="00244420" w:rsidRDefault="00C4450D" w:rsidP="00244420">
      <w:pPr>
        <w:pStyle w:val="Odstavecseseznamem"/>
        <w:numPr>
          <w:ilvl w:val="0"/>
          <w:numId w:val="33"/>
        </w:numPr>
      </w:pPr>
      <w:r>
        <w:t xml:space="preserve">TA ČR: </w:t>
      </w:r>
      <w:r w:rsidR="00244420" w:rsidRPr="00244420">
        <w:t>Best Practices ERA-NET COFUND</w:t>
      </w:r>
      <w:r w:rsidR="009B66B5">
        <w:t xml:space="preserve"> v </w:t>
      </w:r>
      <w:r w:rsidR="00244420" w:rsidRPr="00244420">
        <w:t>České republice</w:t>
      </w:r>
    </w:p>
    <w:p w14:paraId="2E67202E" w14:textId="77777777" w:rsidR="00244420" w:rsidRPr="00244420" w:rsidRDefault="00244420" w:rsidP="00244420">
      <w:pPr>
        <w:pStyle w:val="Odstavecseseznamem"/>
        <w:numPr>
          <w:ilvl w:val="0"/>
          <w:numId w:val="33"/>
        </w:numPr>
      </w:pPr>
      <w:r w:rsidRPr="00244420">
        <w:t>Synergie národních programů</w:t>
      </w:r>
      <w:r w:rsidR="009B66B5">
        <w:t xml:space="preserve"> s </w:t>
      </w:r>
      <w:r w:rsidRPr="00244420">
        <w:t>Evropským rámcovým programem pro výzkum</w:t>
      </w:r>
      <w:r w:rsidR="009B66B5">
        <w:t xml:space="preserve"> a </w:t>
      </w:r>
      <w:r w:rsidRPr="00244420">
        <w:t>inovace</w:t>
      </w:r>
    </w:p>
    <w:p w14:paraId="454A50FD" w14:textId="77777777" w:rsidR="00244420" w:rsidRPr="00244420" w:rsidRDefault="00244420" w:rsidP="00244420">
      <w:pPr>
        <w:pStyle w:val="Odstavecseseznamem"/>
        <w:numPr>
          <w:ilvl w:val="0"/>
          <w:numId w:val="33"/>
        </w:numPr>
      </w:pPr>
      <w:r w:rsidRPr="00244420">
        <w:t>12 jobs &amp; growth EU Funds working together Synergies between the R&amp;I Framework Programmes and the European Structural &amp; Investment Funds Research and Innovation for jobs &amp; growth EU</w:t>
      </w:r>
    </w:p>
    <w:p w14:paraId="4F11D04D" w14:textId="77777777" w:rsidR="00244420" w:rsidRDefault="00244420" w:rsidP="00244420">
      <w:pPr>
        <w:pStyle w:val="Odstavecseseznamem"/>
        <w:numPr>
          <w:ilvl w:val="0"/>
          <w:numId w:val="33"/>
        </w:numPr>
      </w:pPr>
      <w:r>
        <w:t>Stairway to Excellence. Analysis of the key success factors and barriers on building synergies between ESIF and Horizon 2020</w:t>
      </w:r>
    </w:p>
    <w:p w14:paraId="7971045E" w14:textId="77777777" w:rsidR="00244420" w:rsidRPr="00244420" w:rsidRDefault="00244420" w:rsidP="00244420">
      <w:pPr>
        <w:pStyle w:val="Odstavecseseznamem"/>
        <w:numPr>
          <w:ilvl w:val="0"/>
          <w:numId w:val="33"/>
        </w:numPr>
      </w:pPr>
      <w:r w:rsidRPr="00244420">
        <w:t>Pazour</w:t>
      </w:r>
      <w:r w:rsidR="007F1BE7">
        <w:t>,</w:t>
      </w:r>
      <w:r w:rsidRPr="00244420">
        <w:t xml:space="preserve"> </w:t>
      </w:r>
      <w:r w:rsidR="007F1BE7">
        <w:t xml:space="preserve">M., </w:t>
      </w:r>
      <w:r w:rsidRPr="00244420">
        <w:t>Albrecht,</w:t>
      </w:r>
      <w:r w:rsidR="007F1BE7">
        <w:t xml:space="preserve"> V.:</w:t>
      </w:r>
      <w:r w:rsidRPr="00244420">
        <w:t xml:space="preserve"> Zapojení České republiky do Evropského výzkumného prostoru: Imperativ současného vývoje</w:t>
      </w:r>
      <w:r w:rsidR="009B66B5">
        <w:t xml:space="preserve"> a </w:t>
      </w:r>
      <w:r w:rsidRPr="00244420">
        <w:t>dosud nevyužité příležitosti</w:t>
      </w:r>
    </w:p>
    <w:p w14:paraId="7FC187A6" w14:textId="77777777" w:rsidR="00244420" w:rsidRPr="00244420" w:rsidRDefault="00244420" w:rsidP="00244420">
      <w:pPr>
        <w:pStyle w:val="Odstavecseseznamem"/>
        <w:numPr>
          <w:ilvl w:val="0"/>
          <w:numId w:val="33"/>
        </w:numPr>
      </w:pPr>
      <w:r w:rsidRPr="00244420">
        <w:t xml:space="preserve">Škarka, </w:t>
      </w:r>
      <w:r w:rsidR="00C4450D">
        <w:t xml:space="preserve">M.: </w:t>
      </w:r>
      <w:r w:rsidRPr="00244420">
        <w:t>Doporučení pro zvýšení účasti českých MSP</w:t>
      </w:r>
      <w:r w:rsidR="009B66B5">
        <w:t xml:space="preserve"> v </w:t>
      </w:r>
      <w:r w:rsidRPr="00244420">
        <w:t>rámcových programech.</w:t>
      </w:r>
    </w:p>
    <w:p w14:paraId="3E7DF519" w14:textId="77777777" w:rsidR="00244420" w:rsidRDefault="00244420" w:rsidP="00244420">
      <w:pPr>
        <w:pStyle w:val="Odstavecseseznamem"/>
        <w:numPr>
          <w:ilvl w:val="0"/>
          <w:numId w:val="33"/>
        </w:numPr>
        <w:jc w:val="left"/>
      </w:pPr>
      <w:r w:rsidRPr="00244420">
        <w:lastRenderedPageBreak/>
        <w:t>Draft COMMISSION NOTICE Synergies between Horizon Europe and ERDF programmes, Annex to the COMMUNICATION TO THE COMMISSION Approval of the content of</w:t>
      </w:r>
      <w:r w:rsidR="009B66B5">
        <w:t xml:space="preserve"> a </w:t>
      </w:r>
      <w:r w:rsidRPr="00244420">
        <w:t xml:space="preserve">draft Commission Notice on the synergies between ERDF programmes and Horizon Europe, European Commission, publikováno 6. 7. 2022, dostupné </w:t>
      </w:r>
      <w:hyperlink r:id="rId79" w:history="1">
        <w:r w:rsidRPr="00244420">
          <w:rPr>
            <w:rStyle w:val="Hypertextovodkaz"/>
          </w:rPr>
          <w:t>https://ec.europa.eu/info/sites/default/files/research_and_innovation/strategy_on_research_and_innovation/documents/c_2022_4747_1_en_annex.pdf</w:t>
        </w:r>
      </w:hyperlink>
      <w:r>
        <w:t xml:space="preserve">  </w:t>
      </w:r>
    </w:p>
    <w:p w14:paraId="01309B6C" w14:textId="77777777" w:rsidR="00244420" w:rsidRDefault="00244420" w:rsidP="00244420">
      <w:pPr>
        <w:spacing w:before="0" w:after="0"/>
        <w:jc w:val="left"/>
        <w:rPr>
          <w:b/>
          <w:bCs/>
        </w:rPr>
      </w:pPr>
    </w:p>
    <w:p w14:paraId="40C741D2" w14:textId="77777777" w:rsidR="00C86777" w:rsidRPr="00B43E5B" w:rsidRDefault="00C86777" w:rsidP="00C86777">
      <w:pPr>
        <w:spacing w:after="0" w:line="259" w:lineRule="auto"/>
        <w:rPr>
          <w:rFonts w:asciiTheme="minorHAnsi" w:hAnsiTheme="minorHAnsi" w:cstheme="minorHAnsi"/>
        </w:rPr>
      </w:pPr>
    </w:p>
    <w:p w14:paraId="3734E8FC" w14:textId="77777777" w:rsidR="00C86777" w:rsidRDefault="00C86777">
      <w:pPr>
        <w:spacing w:before="0" w:after="0"/>
        <w:jc w:val="left"/>
      </w:pPr>
    </w:p>
    <w:p w14:paraId="03DAECBC" w14:textId="77777777" w:rsidR="003045CE" w:rsidRDefault="003045CE" w:rsidP="005515AB">
      <w:pPr>
        <w:pStyle w:val="Nadpis1"/>
      </w:pPr>
      <w:bookmarkStart w:id="90" w:name="_Toc110258738"/>
      <w:bookmarkStart w:id="91" w:name="_Toc114572366"/>
      <w:r>
        <w:lastRenderedPageBreak/>
        <w:t>Přílohy</w:t>
      </w:r>
      <w:bookmarkEnd w:id="90"/>
      <w:bookmarkEnd w:id="91"/>
    </w:p>
    <w:p w14:paraId="00B88BF8" w14:textId="77777777" w:rsidR="00BA2B99" w:rsidRPr="00BA2B99" w:rsidRDefault="00BA2B99" w:rsidP="005515AB">
      <w:pPr>
        <w:pStyle w:val="Nadpis2"/>
      </w:pPr>
      <w:bookmarkStart w:id="92" w:name="_Ref112426264"/>
      <w:bookmarkStart w:id="93" w:name="_Toc114572367"/>
      <w:r>
        <w:t>Dotazníkové šetření ve VŠ</w:t>
      </w:r>
      <w:r w:rsidR="009B66B5">
        <w:t xml:space="preserve"> a </w:t>
      </w:r>
      <w:r>
        <w:t>ústavech AV ČR</w:t>
      </w:r>
      <w:bookmarkEnd w:id="92"/>
      <w:bookmarkEnd w:id="93"/>
    </w:p>
    <w:p w14:paraId="42DE47E4" w14:textId="77777777" w:rsidR="003045CE" w:rsidRDefault="003045CE" w:rsidP="005C25C6">
      <w:pPr>
        <w:pStyle w:val="Nadpis3"/>
      </w:pPr>
      <w:bookmarkStart w:id="94" w:name="_Ref110112224"/>
      <w:bookmarkStart w:id="95" w:name="_Toc110258739"/>
      <w:bookmarkStart w:id="96" w:name="_Toc114572368"/>
      <w:r>
        <w:t>Dotazník pro zjištění podmínek pro internacionalizaci ve VŠ</w:t>
      </w:r>
      <w:r w:rsidR="009B66B5">
        <w:t xml:space="preserve"> a </w:t>
      </w:r>
      <w:r>
        <w:t>ústavech AV ČR</w:t>
      </w:r>
      <w:bookmarkEnd w:id="94"/>
      <w:bookmarkEnd w:id="95"/>
      <w:bookmarkEnd w:id="96"/>
    </w:p>
    <w:p w14:paraId="6478C267" w14:textId="77777777" w:rsidR="003045CE" w:rsidRDefault="003045CE">
      <w:pPr>
        <w:pStyle w:val="Odstavecseseznamem"/>
        <w:numPr>
          <w:ilvl w:val="0"/>
          <w:numId w:val="9"/>
        </w:numPr>
        <w:spacing w:before="0" w:after="160" w:line="259" w:lineRule="auto"/>
        <w:ind w:left="284" w:hanging="284"/>
        <w:contextualSpacing/>
        <w:rPr>
          <w:rFonts w:eastAsiaTheme="minorEastAsia"/>
          <w:b/>
          <w:bCs/>
          <w:sz w:val="24"/>
          <w:szCs w:val="24"/>
        </w:rPr>
      </w:pPr>
      <w:r w:rsidRPr="565EEED8">
        <w:rPr>
          <w:b/>
          <w:bCs/>
          <w:sz w:val="24"/>
          <w:szCs w:val="24"/>
        </w:rPr>
        <w:t>Mezinárodní výzkumná spolupráce</w:t>
      </w:r>
    </w:p>
    <w:p w14:paraId="07C6E727" w14:textId="77777777" w:rsidR="003045CE" w:rsidRPr="004F636D" w:rsidRDefault="003045CE" w:rsidP="003045CE">
      <w:pPr>
        <w:rPr>
          <w:b/>
          <w:bCs/>
        </w:rPr>
      </w:pPr>
      <w:r w:rsidRPr="5011D11C">
        <w:rPr>
          <w:b/>
          <w:bCs/>
        </w:rPr>
        <w:t>Interní motivační systémy vytvořené</w:t>
      </w:r>
      <w:r w:rsidR="009B66B5">
        <w:rPr>
          <w:b/>
          <w:bCs/>
        </w:rPr>
        <w:t xml:space="preserve"> v </w:t>
      </w:r>
      <w:r w:rsidRPr="5011D11C">
        <w:rPr>
          <w:b/>
          <w:bCs/>
        </w:rPr>
        <w:t xml:space="preserve">jednotlivých </w:t>
      </w:r>
      <w:r>
        <w:rPr>
          <w:b/>
          <w:bCs/>
        </w:rPr>
        <w:t>institucích</w:t>
      </w:r>
    </w:p>
    <w:p w14:paraId="749E6EB3" w14:textId="77777777" w:rsidR="003045CE" w:rsidRDefault="000819C7" w:rsidP="003045CE">
      <w:r>
        <w:t>1. Existuje ve v</w:t>
      </w:r>
      <w:r w:rsidR="003045CE">
        <w:t>aší instituci interní motivační systém pro zvýšení účasti na projektech mezinárodní výzkumné spolupráce? Označte, prosím, jednu</w:t>
      </w:r>
      <w:r w:rsidR="009B66B5">
        <w:t xml:space="preserve"> z </w:t>
      </w:r>
      <w:r w:rsidR="003045CE">
        <w:t>možností.</w:t>
      </w:r>
    </w:p>
    <w:p w14:paraId="7D09B752" w14:textId="77777777" w:rsidR="003045CE" w:rsidRDefault="003045CE" w:rsidP="003045CE">
      <w:r>
        <w:t>(ano – ne)</w:t>
      </w:r>
    </w:p>
    <w:p w14:paraId="78CAAD03" w14:textId="77777777" w:rsidR="003045CE" w:rsidRDefault="003045CE" w:rsidP="003045CE">
      <w:pPr>
        <w:rPr>
          <w:i/>
          <w:iCs/>
        </w:rPr>
      </w:pPr>
    </w:p>
    <w:p w14:paraId="125C3F68" w14:textId="77777777" w:rsidR="003045CE" w:rsidRPr="00C13F4B" w:rsidRDefault="003045CE" w:rsidP="003045CE">
      <w:pPr>
        <w:rPr>
          <w:i/>
          <w:iCs/>
        </w:rPr>
      </w:pPr>
      <w:r w:rsidRPr="00C13F4B">
        <w:rPr>
          <w:i/>
          <w:iCs/>
        </w:rPr>
        <w:t>V případě kladné odpovědi na otázku 1</w:t>
      </w:r>
      <w:r>
        <w:rPr>
          <w:i/>
          <w:iCs/>
        </w:rPr>
        <w:t>:</w:t>
      </w:r>
    </w:p>
    <w:p w14:paraId="77F9413C" w14:textId="77777777" w:rsidR="003045CE" w:rsidRDefault="003045CE" w:rsidP="003045CE">
      <w:r>
        <w:t>2. Jakou podobu má tento interní motivační systém? Popište, prosím, stručně jeho fungování.</w:t>
      </w:r>
    </w:p>
    <w:p w14:paraId="30488D70" w14:textId="77777777" w:rsidR="003045CE" w:rsidRDefault="003045CE" w:rsidP="003045CE">
      <w:r>
        <w:t>____________________________________________________________________________________________________________________________________________________________________</w:t>
      </w:r>
    </w:p>
    <w:p w14:paraId="6A66D83A" w14:textId="77777777" w:rsidR="003045CE" w:rsidRDefault="003045CE" w:rsidP="003045CE">
      <w:r>
        <w:t>3. Plní interní motivační systém dobře svou roli, re</w:t>
      </w:r>
      <w:r w:rsidR="000819C7">
        <w:t>sp. přispívá ke zvýšení účasti v</w:t>
      </w:r>
      <w:r>
        <w:t>aší instituce na mezinárodní výzkumné spolupráci?</w:t>
      </w:r>
    </w:p>
    <w:p w14:paraId="06822169" w14:textId="77777777" w:rsidR="003045CE" w:rsidRDefault="003045CE" w:rsidP="003045CE">
      <w:r>
        <w:t>(ano – ne – nelze zatím posoudit)</w:t>
      </w:r>
    </w:p>
    <w:p w14:paraId="494861AE" w14:textId="77777777" w:rsidR="003045CE" w:rsidRDefault="003045CE" w:rsidP="003045CE">
      <w:r>
        <w:t>Komentář</w:t>
      </w:r>
    </w:p>
    <w:p w14:paraId="78D83450" w14:textId="77777777" w:rsidR="003045CE" w:rsidRDefault="003045CE" w:rsidP="003045CE">
      <w:r>
        <w:t>____________________________________________________________________________________________________________________________________________________________________</w:t>
      </w:r>
    </w:p>
    <w:p w14:paraId="195BD4AE" w14:textId="77777777" w:rsidR="003045CE" w:rsidRDefault="003045CE" w:rsidP="003045CE"/>
    <w:p w14:paraId="72FAD52D" w14:textId="77777777" w:rsidR="003045CE" w:rsidRPr="00EF7C3D" w:rsidRDefault="003045CE" w:rsidP="003045CE">
      <w:pPr>
        <w:rPr>
          <w:b/>
          <w:bCs/>
        </w:rPr>
      </w:pPr>
      <w:r w:rsidRPr="00EF7C3D">
        <w:rPr>
          <w:b/>
          <w:bCs/>
        </w:rPr>
        <w:t xml:space="preserve">Zařazení mezinárodní spolupráce ve strategiích </w:t>
      </w:r>
      <w:r>
        <w:rPr>
          <w:b/>
          <w:bCs/>
        </w:rPr>
        <w:t>institucí</w:t>
      </w:r>
    </w:p>
    <w:p w14:paraId="1BD10182" w14:textId="77777777" w:rsidR="003045CE" w:rsidRDefault="000819C7" w:rsidP="003045CE">
      <w:r>
        <w:t>1. Jakým způsobem je ve v</w:t>
      </w:r>
      <w:r w:rsidR="003045CE">
        <w:t>aší instituci formalizována mezinárodní spolupráce ve VaV? Označte, prosím, jednu</w:t>
      </w:r>
      <w:r w:rsidR="009B66B5">
        <w:t xml:space="preserve"> z </w:t>
      </w:r>
      <w:r w:rsidR="003045CE">
        <w:t>odpovědí.</w:t>
      </w:r>
    </w:p>
    <w:p w14:paraId="3C3389E8" w14:textId="77777777" w:rsidR="003045CE" w:rsidRDefault="003045CE" w:rsidP="003045CE">
      <w:r>
        <w:t>a)</w:t>
      </w:r>
      <w:r w:rsidR="009B66B5">
        <w:t xml:space="preserve"> v </w:t>
      </w:r>
      <w:r>
        <w:t>podobě vlastní strategie mezinárodní spolupráce či internacionalizace ve VaV</w:t>
      </w:r>
    </w:p>
    <w:p w14:paraId="203E4D2B" w14:textId="77777777" w:rsidR="003045CE" w:rsidRDefault="003045CE" w:rsidP="003045CE">
      <w:r>
        <w:t>b) zařazením cílů</w:t>
      </w:r>
      <w:r w:rsidR="009B66B5">
        <w:t xml:space="preserve"> v </w:t>
      </w:r>
      <w:r>
        <w:t>oblasti mezinárodní spolupráce/internacionalizace ve VaV</w:t>
      </w:r>
      <w:r w:rsidR="009B66B5">
        <w:t xml:space="preserve"> v </w:t>
      </w:r>
      <w:r>
        <w:t>rámci jiného formálního/strategického dokumentu na instituce</w:t>
      </w:r>
    </w:p>
    <w:p w14:paraId="112333D4" w14:textId="77777777" w:rsidR="003045CE" w:rsidRDefault="003045CE" w:rsidP="003045CE">
      <w:r>
        <w:t>c) na úrovni samotné instituce není nijak formalizována</w:t>
      </w:r>
    </w:p>
    <w:p w14:paraId="0E881141" w14:textId="77777777" w:rsidR="003045CE" w:rsidRDefault="003045CE" w:rsidP="003045CE">
      <w:r>
        <w:t>d) je formalizována jiným způsobem – specifikujte, prosím ___________________________________</w:t>
      </w:r>
    </w:p>
    <w:p w14:paraId="150A97CC" w14:textId="77777777" w:rsidR="003045CE" w:rsidRDefault="003045CE" w:rsidP="003045CE">
      <w:r>
        <w:lastRenderedPageBreak/>
        <w:t>__________________________________________________________________________________</w:t>
      </w:r>
    </w:p>
    <w:p w14:paraId="526E34E4" w14:textId="77777777" w:rsidR="003045CE" w:rsidRDefault="003045CE" w:rsidP="003045CE"/>
    <w:p w14:paraId="68EFE91D" w14:textId="77777777" w:rsidR="003045CE" w:rsidRDefault="000819C7" w:rsidP="003045CE">
      <w:r>
        <w:t>2. Jsou cíle v</w:t>
      </w:r>
      <w:r w:rsidR="003045CE">
        <w:t>aší instituce</w:t>
      </w:r>
      <w:r w:rsidR="009B66B5">
        <w:t xml:space="preserve"> v </w:t>
      </w:r>
      <w:r w:rsidR="003045CE">
        <w:t>oblasti mezinárodní spolupráce či internacionalizace ve VaV nějakým způsobem konkretizovány</w:t>
      </w:r>
      <w:r w:rsidR="009B66B5">
        <w:t xml:space="preserve"> z </w:t>
      </w:r>
      <w:r w:rsidR="003045CE">
        <w:t>hlediska oblastí výzkumu, geografického zaměření či výzkumných partnerů? Označte, prosím, vyhovující možnosti.</w:t>
      </w:r>
    </w:p>
    <w:p w14:paraId="56CEF904" w14:textId="77777777" w:rsidR="003045CE" w:rsidRDefault="003045CE" w:rsidP="003045CE">
      <w:r>
        <w:t>a) cíle jsou specifikovány ve vazbě na konkrétní oblasti výzkumu</w:t>
      </w:r>
    </w:p>
    <w:p w14:paraId="5D33F57A" w14:textId="77777777" w:rsidR="003045CE" w:rsidRDefault="003045CE" w:rsidP="003045CE">
      <w:r>
        <w:t>b) cíle jsou specifikovány ve vazbě na konkrétní geografické oblasti / státy</w:t>
      </w:r>
    </w:p>
    <w:p w14:paraId="2D5D4028" w14:textId="77777777" w:rsidR="003045CE" w:rsidRDefault="003045CE" w:rsidP="003045CE">
      <w:r>
        <w:t>c) cíle jsou specifikovány ve vazbě na konkrétní partnerské organizace</w:t>
      </w:r>
    </w:p>
    <w:p w14:paraId="6D731B84" w14:textId="77777777" w:rsidR="003045CE" w:rsidRDefault="003045CE" w:rsidP="003045CE">
      <w:r>
        <w:t>d) cíle nejsou konkretizovány žádným</w:t>
      </w:r>
      <w:r w:rsidR="009B66B5">
        <w:t xml:space="preserve"> z </w:t>
      </w:r>
      <w:r>
        <w:t>uvedených způsobů</w:t>
      </w:r>
    </w:p>
    <w:p w14:paraId="73F380C0" w14:textId="77777777" w:rsidR="003045CE" w:rsidRDefault="003045CE" w:rsidP="003045CE"/>
    <w:p w14:paraId="5F9F31DF" w14:textId="77777777" w:rsidR="003045CE" w:rsidRDefault="000819C7" w:rsidP="003045CE">
      <w:r>
        <w:t>3. Je ve v</w:t>
      </w:r>
      <w:r w:rsidR="003045CE">
        <w:t>aší instituci vyhrazena část rozpočtu přímo na podporu mezinárodní výzkumné spolupráce? Označte, prosím, jednu</w:t>
      </w:r>
      <w:r w:rsidR="009B66B5">
        <w:t xml:space="preserve"> z </w:t>
      </w:r>
      <w:r w:rsidR="003045CE">
        <w:t>možností</w:t>
      </w:r>
      <w:r w:rsidR="00BA2B99">
        <w:t xml:space="preserve"> </w:t>
      </w:r>
      <w:r w:rsidR="003045CE">
        <w:t xml:space="preserve">(ano – ne) </w:t>
      </w:r>
    </w:p>
    <w:p w14:paraId="7949160B" w14:textId="77777777" w:rsidR="003045CE" w:rsidRDefault="000819C7" w:rsidP="003045CE">
      <w:r>
        <w:t>4. Jsou ve v</w:t>
      </w:r>
      <w:r w:rsidR="003045CE">
        <w:t>aší instituci zaměstnanci/orgány přímo zodpovídající za administraci mezinárodní výzkumné spolupráce? Označte, prosím, vyhovující možnosti.</w:t>
      </w:r>
    </w:p>
    <w:p w14:paraId="03DFA2A1" w14:textId="77777777" w:rsidR="003045CE" w:rsidRDefault="003045CE" w:rsidP="003045CE">
      <w:r>
        <w:t>a) ano, pro tyto činnosti existuje samostatné oddělení</w:t>
      </w:r>
    </w:p>
    <w:p w14:paraId="356EAD11" w14:textId="77777777" w:rsidR="003045CE" w:rsidRDefault="003045CE" w:rsidP="003045CE">
      <w:r>
        <w:t>b) ano, pro tyto činnosti je určena samostatná pozice (či více pozic)</w:t>
      </w:r>
    </w:p>
    <w:p w14:paraId="71F22FF4" w14:textId="77777777" w:rsidR="003045CE" w:rsidRDefault="003045CE" w:rsidP="003045CE">
      <w:r>
        <w:t>c) ano, pro tyto činnosti je určena řídicí funkce (např. zástupce ředitele pro internacionalizaci výzkumu apod.)</w:t>
      </w:r>
    </w:p>
    <w:p w14:paraId="7326881E" w14:textId="77777777" w:rsidR="003045CE" w:rsidRDefault="003045CE" w:rsidP="003045CE">
      <w:r>
        <w:t>d) ano, pro tyto činnosti je vytvořen zvláštní poradní orgán (rada pro internacionalizaci výzkumu apod.)</w:t>
      </w:r>
    </w:p>
    <w:p w14:paraId="2840D711" w14:textId="77777777" w:rsidR="003045CE" w:rsidRDefault="003045CE" w:rsidP="003045CE">
      <w:r>
        <w:t>e) ano, jiné – specifikujte, prosím _______________________________________________________</w:t>
      </w:r>
    </w:p>
    <w:p w14:paraId="5A877DDE" w14:textId="77777777" w:rsidR="003045CE" w:rsidRDefault="003045CE" w:rsidP="003045CE">
      <w:r>
        <w:t>__________________________________________________________________________________</w:t>
      </w:r>
    </w:p>
    <w:p w14:paraId="1AF48D8F" w14:textId="77777777" w:rsidR="003045CE" w:rsidRDefault="003045CE" w:rsidP="003045CE">
      <w:r>
        <w:t>f) ani jedno</w:t>
      </w:r>
      <w:r w:rsidR="009B66B5">
        <w:t xml:space="preserve"> z </w:t>
      </w:r>
      <w:r>
        <w:t>výše uvedeného</w:t>
      </w:r>
      <w:r w:rsidR="009B66B5">
        <w:t xml:space="preserve"> v </w:t>
      </w:r>
      <w:r>
        <w:t>instituci nefunguje</w:t>
      </w:r>
    </w:p>
    <w:p w14:paraId="32E76D9C" w14:textId="77777777" w:rsidR="003045CE" w:rsidRDefault="003045CE" w:rsidP="003045CE">
      <w:pPr>
        <w:rPr>
          <w:b/>
          <w:bCs/>
        </w:rPr>
      </w:pPr>
    </w:p>
    <w:p w14:paraId="7364B829" w14:textId="77777777" w:rsidR="003045CE" w:rsidRDefault="003045CE" w:rsidP="003045CE">
      <w:pPr>
        <w:rPr>
          <w:b/>
          <w:bCs/>
        </w:rPr>
      </w:pPr>
      <w:r w:rsidRPr="12806C7A">
        <w:rPr>
          <w:b/>
          <w:bCs/>
        </w:rPr>
        <w:t>Zapojení do programů</w:t>
      </w:r>
      <w:r w:rsidR="009B66B5">
        <w:rPr>
          <w:b/>
          <w:bCs/>
        </w:rPr>
        <w:t xml:space="preserve"> a </w:t>
      </w:r>
      <w:r w:rsidRPr="12806C7A">
        <w:rPr>
          <w:b/>
          <w:bCs/>
        </w:rPr>
        <w:t>iniciativ podporujících mezinárodní výzkumnou spolupráci</w:t>
      </w:r>
    </w:p>
    <w:p w14:paraId="79F9E976" w14:textId="77777777" w:rsidR="003045CE" w:rsidRDefault="003045CE" w:rsidP="003045CE">
      <w:pPr>
        <w:rPr>
          <w:rFonts w:eastAsiaTheme="minorEastAsia"/>
        </w:rPr>
      </w:pPr>
      <w:r w:rsidRPr="565EEED8">
        <w:rPr>
          <w:rFonts w:eastAsiaTheme="minorEastAsia"/>
        </w:rPr>
        <w:t>Byl</w:t>
      </w:r>
      <w:r>
        <w:rPr>
          <w:rFonts w:eastAsiaTheme="minorEastAsia"/>
        </w:rPr>
        <w:t>a</w:t>
      </w:r>
      <w:r w:rsidR="000819C7">
        <w:rPr>
          <w:rFonts w:eastAsiaTheme="minorEastAsia"/>
        </w:rPr>
        <w:t xml:space="preserve"> v</w:t>
      </w:r>
      <w:r>
        <w:rPr>
          <w:rFonts w:eastAsiaTheme="minorEastAsia"/>
        </w:rPr>
        <w:t>aše instituce</w:t>
      </w:r>
      <w:r w:rsidR="009B66B5">
        <w:rPr>
          <w:rFonts w:eastAsiaTheme="minorEastAsia"/>
        </w:rPr>
        <w:t xml:space="preserve"> v </w:t>
      </w:r>
      <w:r w:rsidRPr="565EEED8">
        <w:rPr>
          <w:rFonts w:eastAsiaTheme="minorEastAsia"/>
        </w:rPr>
        <w:t>období od roku 2016 (včetně) zapojen do programů či iniciativ financovaných</w:t>
      </w:r>
      <w:r w:rsidR="009B66B5">
        <w:rPr>
          <w:rFonts w:eastAsiaTheme="minorEastAsia"/>
        </w:rPr>
        <w:t xml:space="preserve"> z </w:t>
      </w:r>
      <w:r w:rsidRPr="565EEED8">
        <w:rPr>
          <w:rFonts w:eastAsiaTheme="minorEastAsia"/>
        </w:rPr>
        <w:t>níže uvedených nástrojů/institucí? Pokud ano, uveďte, prosím, u každého</w:t>
      </w:r>
      <w:r w:rsidR="009B66B5">
        <w:rPr>
          <w:rFonts w:eastAsiaTheme="minorEastAsia"/>
        </w:rPr>
        <w:t xml:space="preserve"> z </w:t>
      </w:r>
      <w:r w:rsidRPr="565EEED8">
        <w:rPr>
          <w:rFonts w:eastAsiaTheme="minorEastAsia"/>
        </w:rPr>
        <w:t>nástrojů/instit</w:t>
      </w:r>
      <w:r w:rsidR="000819C7">
        <w:rPr>
          <w:rFonts w:eastAsiaTheme="minorEastAsia"/>
        </w:rPr>
        <w:t>ucí počet projektů, kterých se v</w:t>
      </w:r>
      <w:r w:rsidRPr="565EEED8">
        <w:rPr>
          <w:rFonts w:eastAsiaTheme="minorEastAsia"/>
        </w:rPr>
        <w:t>áš ústav</w:t>
      </w:r>
      <w:r w:rsidR="009B66B5">
        <w:rPr>
          <w:rFonts w:eastAsiaTheme="minorEastAsia"/>
        </w:rPr>
        <w:t xml:space="preserve"> v </w:t>
      </w:r>
      <w:r w:rsidRPr="565EEED8">
        <w:rPr>
          <w:rFonts w:eastAsiaTheme="minorEastAsia"/>
        </w:rPr>
        <w:t>uvedeném období účastnil.</w:t>
      </w:r>
    </w:p>
    <w:p w14:paraId="037E5BB7" w14:textId="77777777" w:rsidR="003045CE" w:rsidRDefault="003045CE">
      <w:pPr>
        <w:pStyle w:val="Odstavecseseznamem"/>
        <w:numPr>
          <w:ilvl w:val="0"/>
          <w:numId w:val="10"/>
        </w:numPr>
        <w:spacing w:before="0" w:after="160" w:line="259" w:lineRule="auto"/>
        <w:contextualSpacing/>
        <w:rPr>
          <w:rFonts w:eastAsiaTheme="minorEastAsia"/>
        </w:rPr>
      </w:pPr>
      <w:r>
        <w:t>European Space Agency                 _____________</w:t>
      </w:r>
    </w:p>
    <w:p w14:paraId="21913B19" w14:textId="77777777" w:rsidR="003045CE" w:rsidRDefault="003045CE">
      <w:pPr>
        <w:pStyle w:val="Odstavecseseznamem"/>
        <w:numPr>
          <w:ilvl w:val="0"/>
          <w:numId w:val="10"/>
        </w:numPr>
        <w:spacing w:before="0" w:after="160" w:line="259" w:lineRule="auto"/>
        <w:contextualSpacing/>
        <w:rPr>
          <w:rFonts w:eastAsiaTheme="minorEastAsia"/>
        </w:rPr>
      </w:pPr>
      <w:r>
        <w:t>Norské fondy</w:t>
      </w:r>
      <w:r w:rsidR="009B66B5">
        <w:t xml:space="preserve"> a </w:t>
      </w:r>
      <w:r>
        <w:t xml:space="preserve">fondy EHP </w:t>
      </w:r>
      <w:r>
        <w:tab/>
        <w:t xml:space="preserve">   _____________</w:t>
      </w:r>
    </w:p>
    <w:p w14:paraId="5B94E9B9" w14:textId="77777777" w:rsidR="003045CE" w:rsidRDefault="003045CE">
      <w:pPr>
        <w:pStyle w:val="Odstavecseseznamem"/>
        <w:numPr>
          <w:ilvl w:val="0"/>
          <w:numId w:val="10"/>
        </w:numPr>
        <w:spacing w:before="0" w:after="160" w:line="259" w:lineRule="auto"/>
        <w:contextualSpacing/>
        <w:rPr>
          <w:rFonts w:eastAsiaTheme="minorEastAsia"/>
        </w:rPr>
      </w:pPr>
      <w:r>
        <w:t>NATO</w:t>
      </w:r>
      <w:r>
        <w:tab/>
      </w:r>
      <w:r>
        <w:tab/>
      </w:r>
      <w:r>
        <w:tab/>
      </w:r>
      <w:r>
        <w:tab/>
        <w:t xml:space="preserve">   _____________</w:t>
      </w:r>
    </w:p>
    <w:p w14:paraId="7AD74E85" w14:textId="77777777" w:rsidR="003045CE" w:rsidRDefault="003045CE">
      <w:pPr>
        <w:pStyle w:val="Odstavecseseznamem"/>
        <w:numPr>
          <w:ilvl w:val="0"/>
          <w:numId w:val="10"/>
        </w:numPr>
        <w:spacing w:before="0" w:after="160" w:line="259" w:lineRule="auto"/>
        <w:contextualSpacing/>
        <w:rPr>
          <w:rFonts w:eastAsiaTheme="minorEastAsia"/>
        </w:rPr>
      </w:pPr>
      <w:r>
        <w:t>Creative Europe</w:t>
      </w:r>
      <w:r>
        <w:tab/>
      </w:r>
      <w:r>
        <w:tab/>
        <w:t xml:space="preserve">    _____________</w:t>
      </w:r>
    </w:p>
    <w:p w14:paraId="30EC4F3C" w14:textId="77777777" w:rsidR="003045CE" w:rsidRDefault="003045CE">
      <w:pPr>
        <w:pStyle w:val="Odstavecseseznamem"/>
        <w:numPr>
          <w:ilvl w:val="0"/>
          <w:numId w:val="10"/>
        </w:numPr>
        <w:spacing w:before="0" w:after="160" w:line="259" w:lineRule="auto"/>
        <w:contextualSpacing/>
        <w:rPr>
          <w:rFonts w:eastAsiaTheme="minorEastAsia"/>
        </w:rPr>
      </w:pPr>
      <w:r>
        <w:t>Research Fund for Coal and Steel _____________</w:t>
      </w:r>
    </w:p>
    <w:p w14:paraId="74A881A4" w14:textId="77777777" w:rsidR="003045CE" w:rsidRDefault="003045CE">
      <w:pPr>
        <w:pStyle w:val="Odstavecseseznamem"/>
        <w:numPr>
          <w:ilvl w:val="0"/>
          <w:numId w:val="10"/>
        </w:numPr>
        <w:spacing w:before="0" w:after="160" w:line="259" w:lineRule="auto"/>
        <w:contextualSpacing/>
        <w:rPr>
          <w:rFonts w:eastAsiaTheme="minorEastAsia"/>
        </w:rPr>
      </w:pPr>
      <w:r>
        <w:lastRenderedPageBreak/>
        <w:t>LIFE</w:t>
      </w:r>
      <w:r>
        <w:tab/>
      </w:r>
      <w:r>
        <w:tab/>
      </w:r>
      <w:r>
        <w:tab/>
      </w:r>
      <w:r>
        <w:tab/>
        <w:t xml:space="preserve">   _____________</w:t>
      </w:r>
    </w:p>
    <w:p w14:paraId="7F827067" w14:textId="77777777" w:rsidR="003045CE" w:rsidRDefault="003045CE">
      <w:pPr>
        <w:pStyle w:val="Odstavecseseznamem"/>
        <w:numPr>
          <w:ilvl w:val="0"/>
          <w:numId w:val="10"/>
        </w:numPr>
        <w:spacing w:before="0" w:after="160" w:line="259" w:lineRule="auto"/>
        <w:contextualSpacing/>
        <w:rPr>
          <w:rFonts w:eastAsiaTheme="minorEastAsia"/>
        </w:rPr>
      </w:pPr>
      <w:r>
        <w:t>Erasmus+</w:t>
      </w:r>
      <w:r>
        <w:tab/>
      </w:r>
      <w:r>
        <w:tab/>
      </w:r>
      <w:r>
        <w:tab/>
        <w:t xml:space="preserve">   _____________</w:t>
      </w:r>
    </w:p>
    <w:p w14:paraId="4A1F1B20" w14:textId="77777777" w:rsidR="003045CE" w:rsidRDefault="003045CE">
      <w:pPr>
        <w:pStyle w:val="Odstavecseseznamem"/>
        <w:numPr>
          <w:ilvl w:val="0"/>
          <w:numId w:val="10"/>
        </w:numPr>
        <w:spacing w:before="0" w:after="160" w:line="259" w:lineRule="auto"/>
        <w:contextualSpacing/>
        <w:rPr>
          <w:rFonts w:eastAsiaTheme="minorEastAsia"/>
        </w:rPr>
      </w:pPr>
      <w:r>
        <w:t>Interreg</w:t>
      </w:r>
      <w:r>
        <w:tab/>
      </w:r>
      <w:r>
        <w:tab/>
      </w:r>
      <w:r>
        <w:tab/>
        <w:t xml:space="preserve">   _____________</w:t>
      </w:r>
    </w:p>
    <w:p w14:paraId="26607045" w14:textId="77777777" w:rsidR="003045CE" w:rsidRDefault="003045CE">
      <w:pPr>
        <w:pStyle w:val="Odstavecseseznamem"/>
        <w:numPr>
          <w:ilvl w:val="0"/>
          <w:numId w:val="10"/>
        </w:numPr>
        <w:spacing w:before="0" w:after="160" w:line="259" w:lineRule="auto"/>
        <w:contextualSpacing/>
        <w:rPr>
          <w:rFonts w:eastAsiaTheme="minorEastAsia"/>
        </w:rPr>
      </w:pPr>
      <w:r>
        <w:t>Visegrad Fund</w:t>
      </w:r>
      <w:r>
        <w:tab/>
      </w:r>
      <w:r>
        <w:tab/>
        <w:t xml:space="preserve">       _____________</w:t>
      </w:r>
    </w:p>
    <w:p w14:paraId="5CBFD225" w14:textId="77777777" w:rsidR="003045CE" w:rsidRDefault="003045CE">
      <w:pPr>
        <w:pStyle w:val="Odstavecseseznamem"/>
        <w:numPr>
          <w:ilvl w:val="0"/>
          <w:numId w:val="10"/>
        </w:numPr>
        <w:spacing w:before="0" w:after="160" w:line="259" w:lineRule="auto"/>
        <w:contextualSpacing/>
        <w:jc w:val="left"/>
        <w:rPr>
          <w:rFonts w:eastAsiaTheme="minorEastAsia"/>
        </w:rPr>
      </w:pPr>
      <w:r w:rsidRPr="565EEED8">
        <w:rPr>
          <w:rFonts w:eastAsiaTheme="minorEastAsia"/>
        </w:rPr>
        <w:t>Jiné (mimo rámcové programy EU</w:t>
      </w:r>
      <w:r w:rsidR="009B66B5">
        <w:rPr>
          <w:rFonts w:eastAsiaTheme="minorEastAsia"/>
        </w:rPr>
        <w:t xml:space="preserve"> a </w:t>
      </w:r>
      <w:r w:rsidRPr="565EEED8">
        <w:rPr>
          <w:rFonts w:eastAsiaTheme="minorEastAsia"/>
        </w:rPr>
        <w:t xml:space="preserve">národní programy) </w:t>
      </w:r>
      <w:r>
        <w:t>–</w:t>
      </w:r>
      <w:r w:rsidRPr="565EEED8">
        <w:rPr>
          <w:rFonts w:eastAsiaTheme="minorEastAsia"/>
        </w:rPr>
        <w:t xml:space="preserve"> uveďte, prosím, konkrétní nástroj(e)</w:t>
      </w:r>
      <w:r w:rsidR="009B66B5">
        <w:rPr>
          <w:rFonts w:eastAsiaTheme="minorEastAsia"/>
        </w:rPr>
        <w:t xml:space="preserve"> a </w:t>
      </w:r>
      <w:r w:rsidRPr="565EEED8">
        <w:rPr>
          <w:rFonts w:eastAsiaTheme="minorEastAsia"/>
        </w:rPr>
        <w:t>počet realizovaných projektů ________________________________________________________________________________________________________________________________________________________</w:t>
      </w:r>
    </w:p>
    <w:p w14:paraId="45EDAF6E" w14:textId="77777777" w:rsidR="003045CE" w:rsidRDefault="003045CE" w:rsidP="003045CE"/>
    <w:p w14:paraId="4A6FEE92" w14:textId="77777777" w:rsidR="003045CE" w:rsidRDefault="003045CE" w:rsidP="003045CE">
      <w:r>
        <w:br w:type="page"/>
      </w:r>
    </w:p>
    <w:p w14:paraId="43202830" w14:textId="77777777" w:rsidR="003045CE" w:rsidRDefault="003045CE">
      <w:pPr>
        <w:pStyle w:val="Odstavecseseznamem"/>
        <w:numPr>
          <w:ilvl w:val="0"/>
          <w:numId w:val="9"/>
        </w:numPr>
        <w:spacing w:before="0" w:after="160" w:line="259" w:lineRule="auto"/>
        <w:ind w:left="426"/>
        <w:contextualSpacing/>
        <w:rPr>
          <w:rFonts w:eastAsiaTheme="minorEastAsia"/>
          <w:b/>
          <w:bCs/>
          <w:sz w:val="24"/>
          <w:szCs w:val="24"/>
        </w:rPr>
      </w:pPr>
      <w:r w:rsidRPr="565EEED8">
        <w:rPr>
          <w:b/>
          <w:bCs/>
          <w:sz w:val="24"/>
          <w:szCs w:val="24"/>
        </w:rPr>
        <w:lastRenderedPageBreak/>
        <w:t>Zapojení do rámcových programů EU</w:t>
      </w:r>
    </w:p>
    <w:p w14:paraId="43B28869" w14:textId="77777777" w:rsidR="003045CE" w:rsidRDefault="003045CE" w:rsidP="003045CE">
      <w:pPr>
        <w:rPr>
          <w:b/>
          <w:bCs/>
        </w:rPr>
      </w:pPr>
      <w:r w:rsidRPr="5011D11C">
        <w:rPr>
          <w:b/>
          <w:bCs/>
        </w:rPr>
        <w:t>Rozdělení kompetencí</w:t>
      </w:r>
      <w:r w:rsidR="009B66B5">
        <w:rPr>
          <w:b/>
          <w:bCs/>
        </w:rPr>
        <w:t xml:space="preserve"> v </w:t>
      </w:r>
      <w:r w:rsidRPr="5011D11C">
        <w:rPr>
          <w:b/>
          <w:bCs/>
        </w:rPr>
        <w:t>instituci</w:t>
      </w:r>
    </w:p>
    <w:p w14:paraId="33280F38" w14:textId="77777777" w:rsidR="003045CE" w:rsidRDefault="000819C7" w:rsidP="003045CE">
      <w:r>
        <w:t>Kdo ve v</w:t>
      </w:r>
      <w:r w:rsidR="003045CE">
        <w:t>aší instituci vykonává níže uvedené činnosti související</w:t>
      </w:r>
      <w:r w:rsidR="009B66B5">
        <w:t xml:space="preserve"> s </w:t>
      </w:r>
      <w:r w:rsidR="003045CE">
        <w:t>přípravou</w:t>
      </w:r>
      <w:r w:rsidR="009B66B5">
        <w:t xml:space="preserve"> a </w:t>
      </w:r>
      <w:r w:rsidR="003045CE">
        <w:t>realizací projektů rámcových programů EU? Označte, prosím,</w:t>
      </w:r>
      <w:r w:rsidR="009B66B5">
        <w:t xml:space="preserve"> v </w:t>
      </w:r>
      <w:r w:rsidR="003045CE">
        <w:t>každém řádku vždy jednu</w:t>
      </w:r>
      <w:r w:rsidR="009B66B5">
        <w:t xml:space="preserve"> z </w:t>
      </w:r>
      <w:r w:rsidR="003045CE">
        <w:t>možností.</w:t>
      </w:r>
    </w:p>
    <w:tbl>
      <w:tblPr>
        <w:tblStyle w:val="Mkatabulky"/>
        <w:tblW w:w="9085" w:type="dxa"/>
        <w:tblInd w:w="-5" w:type="dxa"/>
        <w:tblLayout w:type="fixed"/>
        <w:tblLook w:val="04A0" w:firstRow="1" w:lastRow="0" w:firstColumn="1" w:lastColumn="0" w:noHBand="0" w:noVBand="1"/>
      </w:tblPr>
      <w:tblGrid>
        <w:gridCol w:w="3828"/>
        <w:gridCol w:w="1147"/>
        <w:gridCol w:w="1126"/>
        <w:gridCol w:w="1276"/>
        <w:gridCol w:w="1000"/>
        <w:gridCol w:w="708"/>
      </w:tblGrid>
      <w:tr w:rsidR="003045CE" w:rsidRPr="001B7F70" w14:paraId="2DAE2365" w14:textId="77777777">
        <w:trPr>
          <w:trHeight w:val="1785"/>
        </w:trPr>
        <w:tc>
          <w:tcPr>
            <w:tcW w:w="3828" w:type="dxa"/>
          </w:tcPr>
          <w:p w14:paraId="22DCA07A" w14:textId="77777777" w:rsidR="003045CE" w:rsidRPr="001B7F70" w:rsidRDefault="003045CE">
            <w:pPr>
              <w:spacing w:before="60" w:after="60"/>
              <w:rPr>
                <w:sz w:val="20"/>
                <w:szCs w:val="20"/>
              </w:rPr>
            </w:pPr>
          </w:p>
        </w:tc>
        <w:tc>
          <w:tcPr>
            <w:tcW w:w="1147" w:type="dxa"/>
          </w:tcPr>
          <w:p w14:paraId="05052697" w14:textId="77777777" w:rsidR="003045CE" w:rsidRPr="001B7F70" w:rsidRDefault="003045CE">
            <w:pPr>
              <w:spacing w:before="0" w:after="0"/>
              <w:jc w:val="left"/>
              <w:rPr>
                <w:sz w:val="20"/>
                <w:szCs w:val="20"/>
              </w:rPr>
            </w:pPr>
            <w:r w:rsidRPr="001B7F70">
              <w:rPr>
                <w:sz w:val="20"/>
                <w:szCs w:val="20"/>
              </w:rPr>
              <w:t>Většinou (příp. vždy) administrativní pracovníci</w:t>
            </w:r>
          </w:p>
        </w:tc>
        <w:tc>
          <w:tcPr>
            <w:tcW w:w="1126" w:type="dxa"/>
          </w:tcPr>
          <w:p w14:paraId="31A62029" w14:textId="77777777" w:rsidR="003045CE" w:rsidRPr="001B7F70" w:rsidRDefault="003045CE">
            <w:pPr>
              <w:spacing w:before="0" w:after="0"/>
              <w:jc w:val="left"/>
              <w:rPr>
                <w:sz w:val="20"/>
                <w:szCs w:val="20"/>
              </w:rPr>
            </w:pPr>
            <w:r w:rsidRPr="001B7F70">
              <w:rPr>
                <w:sz w:val="20"/>
                <w:szCs w:val="20"/>
              </w:rPr>
              <w:t>Většinou (příp. vždy) výzkumní pracovníci</w:t>
            </w:r>
          </w:p>
        </w:tc>
        <w:tc>
          <w:tcPr>
            <w:tcW w:w="1276" w:type="dxa"/>
          </w:tcPr>
          <w:p w14:paraId="4D2C8C4D" w14:textId="77777777" w:rsidR="003045CE" w:rsidRPr="001B7F70" w:rsidRDefault="003045CE">
            <w:pPr>
              <w:spacing w:before="0" w:after="0"/>
              <w:jc w:val="left"/>
              <w:rPr>
                <w:sz w:val="20"/>
                <w:szCs w:val="20"/>
              </w:rPr>
            </w:pPr>
            <w:r w:rsidRPr="001B7F70">
              <w:rPr>
                <w:sz w:val="20"/>
                <w:szCs w:val="20"/>
              </w:rPr>
              <w:t>Rovnoměrně rozděleno mezi administrativní</w:t>
            </w:r>
            <w:r w:rsidR="009B66B5">
              <w:rPr>
                <w:sz w:val="20"/>
                <w:szCs w:val="20"/>
              </w:rPr>
              <w:t xml:space="preserve"> a </w:t>
            </w:r>
            <w:r w:rsidRPr="001B7F70">
              <w:rPr>
                <w:sz w:val="20"/>
                <w:szCs w:val="20"/>
              </w:rPr>
              <w:t>výzkumné pracovníky</w:t>
            </w:r>
          </w:p>
        </w:tc>
        <w:tc>
          <w:tcPr>
            <w:tcW w:w="1000" w:type="dxa"/>
          </w:tcPr>
          <w:p w14:paraId="410F43C8" w14:textId="77777777" w:rsidR="003045CE" w:rsidRPr="001B7F70" w:rsidRDefault="003045CE">
            <w:pPr>
              <w:spacing w:before="0" w:after="0"/>
              <w:jc w:val="left"/>
              <w:rPr>
                <w:sz w:val="20"/>
                <w:szCs w:val="20"/>
              </w:rPr>
            </w:pPr>
            <w:r w:rsidRPr="001B7F70">
              <w:rPr>
                <w:sz w:val="20"/>
                <w:szCs w:val="20"/>
              </w:rPr>
              <w:t>Někdo jiný</w:t>
            </w:r>
          </w:p>
        </w:tc>
        <w:tc>
          <w:tcPr>
            <w:tcW w:w="708" w:type="dxa"/>
          </w:tcPr>
          <w:p w14:paraId="01A83962" w14:textId="77777777" w:rsidR="003045CE" w:rsidRPr="001B7F70" w:rsidRDefault="003045CE">
            <w:pPr>
              <w:spacing w:before="0" w:after="0"/>
              <w:jc w:val="left"/>
              <w:rPr>
                <w:sz w:val="20"/>
                <w:szCs w:val="20"/>
              </w:rPr>
            </w:pPr>
            <w:r w:rsidRPr="001B7F70">
              <w:rPr>
                <w:sz w:val="20"/>
                <w:szCs w:val="20"/>
              </w:rPr>
              <w:t>Nikdo</w:t>
            </w:r>
          </w:p>
        </w:tc>
      </w:tr>
      <w:tr w:rsidR="003045CE" w:rsidRPr="001B7F70" w14:paraId="775C8563" w14:textId="77777777">
        <w:tc>
          <w:tcPr>
            <w:tcW w:w="3828" w:type="dxa"/>
          </w:tcPr>
          <w:p w14:paraId="0C90956A" w14:textId="77777777" w:rsidR="003045CE" w:rsidRPr="001B7F70" w:rsidRDefault="003045CE">
            <w:pPr>
              <w:spacing w:before="60" w:after="60"/>
              <w:jc w:val="left"/>
              <w:rPr>
                <w:sz w:val="20"/>
                <w:szCs w:val="20"/>
              </w:rPr>
            </w:pPr>
            <w:r w:rsidRPr="001B7F70">
              <w:rPr>
                <w:sz w:val="20"/>
                <w:szCs w:val="20"/>
              </w:rPr>
              <w:t>Příprava návrhu projektu do rámcových programů EU</w:t>
            </w:r>
          </w:p>
        </w:tc>
        <w:tc>
          <w:tcPr>
            <w:tcW w:w="1147" w:type="dxa"/>
          </w:tcPr>
          <w:p w14:paraId="21C0B992" w14:textId="77777777" w:rsidR="003045CE" w:rsidRPr="001B7F70" w:rsidRDefault="003045CE">
            <w:pPr>
              <w:spacing w:before="60" w:after="60"/>
              <w:rPr>
                <w:sz w:val="20"/>
                <w:szCs w:val="20"/>
              </w:rPr>
            </w:pPr>
          </w:p>
        </w:tc>
        <w:tc>
          <w:tcPr>
            <w:tcW w:w="1126" w:type="dxa"/>
          </w:tcPr>
          <w:p w14:paraId="799BDEC1" w14:textId="77777777" w:rsidR="003045CE" w:rsidRPr="001B7F70" w:rsidRDefault="003045CE">
            <w:pPr>
              <w:spacing w:before="60" w:after="60"/>
              <w:rPr>
                <w:sz w:val="20"/>
                <w:szCs w:val="20"/>
              </w:rPr>
            </w:pPr>
          </w:p>
        </w:tc>
        <w:tc>
          <w:tcPr>
            <w:tcW w:w="1276" w:type="dxa"/>
          </w:tcPr>
          <w:p w14:paraId="6BBD89F5" w14:textId="77777777" w:rsidR="003045CE" w:rsidRPr="001B7F70" w:rsidRDefault="003045CE">
            <w:pPr>
              <w:spacing w:before="60" w:after="60"/>
              <w:rPr>
                <w:sz w:val="20"/>
                <w:szCs w:val="20"/>
              </w:rPr>
            </w:pPr>
          </w:p>
        </w:tc>
        <w:tc>
          <w:tcPr>
            <w:tcW w:w="1000" w:type="dxa"/>
          </w:tcPr>
          <w:p w14:paraId="61627D8E" w14:textId="77777777" w:rsidR="003045CE" w:rsidRPr="001B7F70" w:rsidRDefault="003045CE">
            <w:pPr>
              <w:spacing w:before="60" w:after="60"/>
              <w:rPr>
                <w:sz w:val="20"/>
                <w:szCs w:val="20"/>
              </w:rPr>
            </w:pPr>
          </w:p>
        </w:tc>
        <w:tc>
          <w:tcPr>
            <w:tcW w:w="708" w:type="dxa"/>
          </w:tcPr>
          <w:p w14:paraId="1A778CAD" w14:textId="77777777" w:rsidR="003045CE" w:rsidRPr="001B7F70" w:rsidRDefault="003045CE">
            <w:pPr>
              <w:spacing w:before="60" w:after="60"/>
              <w:rPr>
                <w:sz w:val="20"/>
                <w:szCs w:val="20"/>
              </w:rPr>
            </w:pPr>
          </w:p>
        </w:tc>
      </w:tr>
      <w:tr w:rsidR="003045CE" w:rsidRPr="001B7F70" w14:paraId="6632FBD0" w14:textId="77777777">
        <w:tc>
          <w:tcPr>
            <w:tcW w:w="3828" w:type="dxa"/>
          </w:tcPr>
          <w:p w14:paraId="33761E2D" w14:textId="77777777" w:rsidR="003045CE" w:rsidRPr="001B7F70" w:rsidRDefault="003045CE">
            <w:pPr>
              <w:spacing w:before="60" w:after="60"/>
              <w:jc w:val="left"/>
              <w:rPr>
                <w:sz w:val="20"/>
                <w:szCs w:val="20"/>
              </w:rPr>
            </w:pPr>
            <w:r w:rsidRPr="001B7F70">
              <w:rPr>
                <w:sz w:val="20"/>
                <w:szCs w:val="20"/>
              </w:rPr>
              <w:t>Vyjednávání</w:t>
            </w:r>
            <w:r w:rsidR="009B66B5">
              <w:rPr>
                <w:sz w:val="20"/>
                <w:szCs w:val="20"/>
              </w:rPr>
              <w:t xml:space="preserve"> o </w:t>
            </w:r>
            <w:r w:rsidRPr="001B7F70">
              <w:rPr>
                <w:sz w:val="20"/>
                <w:szCs w:val="20"/>
              </w:rPr>
              <w:t>projektu</w:t>
            </w:r>
            <w:r w:rsidR="009B66B5">
              <w:rPr>
                <w:sz w:val="20"/>
                <w:szCs w:val="20"/>
              </w:rPr>
              <w:t xml:space="preserve"> s </w:t>
            </w:r>
            <w:r w:rsidRPr="001B7F70">
              <w:rPr>
                <w:sz w:val="20"/>
                <w:szCs w:val="20"/>
              </w:rPr>
              <w:t>Evropskou komisí</w:t>
            </w:r>
          </w:p>
        </w:tc>
        <w:tc>
          <w:tcPr>
            <w:tcW w:w="1147" w:type="dxa"/>
          </w:tcPr>
          <w:p w14:paraId="55707DE3" w14:textId="77777777" w:rsidR="003045CE" w:rsidRPr="001B7F70" w:rsidRDefault="003045CE">
            <w:pPr>
              <w:spacing w:before="60" w:after="60"/>
              <w:rPr>
                <w:sz w:val="20"/>
                <w:szCs w:val="20"/>
              </w:rPr>
            </w:pPr>
          </w:p>
        </w:tc>
        <w:tc>
          <w:tcPr>
            <w:tcW w:w="1126" w:type="dxa"/>
          </w:tcPr>
          <w:p w14:paraId="579A49A0" w14:textId="77777777" w:rsidR="003045CE" w:rsidRPr="001B7F70" w:rsidRDefault="003045CE">
            <w:pPr>
              <w:spacing w:before="60" w:after="60"/>
              <w:rPr>
                <w:sz w:val="20"/>
                <w:szCs w:val="20"/>
              </w:rPr>
            </w:pPr>
          </w:p>
        </w:tc>
        <w:tc>
          <w:tcPr>
            <w:tcW w:w="1276" w:type="dxa"/>
          </w:tcPr>
          <w:p w14:paraId="550768FF" w14:textId="77777777" w:rsidR="003045CE" w:rsidRPr="001B7F70" w:rsidRDefault="003045CE">
            <w:pPr>
              <w:spacing w:before="60" w:after="60"/>
              <w:rPr>
                <w:sz w:val="20"/>
                <w:szCs w:val="20"/>
              </w:rPr>
            </w:pPr>
          </w:p>
        </w:tc>
        <w:tc>
          <w:tcPr>
            <w:tcW w:w="1000" w:type="dxa"/>
          </w:tcPr>
          <w:p w14:paraId="1853F1BB" w14:textId="77777777" w:rsidR="003045CE" w:rsidRPr="001B7F70" w:rsidRDefault="003045CE">
            <w:pPr>
              <w:spacing w:before="60" w:after="60"/>
              <w:rPr>
                <w:sz w:val="20"/>
                <w:szCs w:val="20"/>
              </w:rPr>
            </w:pPr>
          </w:p>
        </w:tc>
        <w:tc>
          <w:tcPr>
            <w:tcW w:w="708" w:type="dxa"/>
          </w:tcPr>
          <w:p w14:paraId="676D4668" w14:textId="77777777" w:rsidR="003045CE" w:rsidRPr="001B7F70" w:rsidRDefault="003045CE">
            <w:pPr>
              <w:spacing w:before="60" w:after="60"/>
              <w:rPr>
                <w:sz w:val="20"/>
                <w:szCs w:val="20"/>
              </w:rPr>
            </w:pPr>
          </w:p>
        </w:tc>
      </w:tr>
      <w:tr w:rsidR="003045CE" w:rsidRPr="001B7F70" w14:paraId="5EADA475" w14:textId="77777777">
        <w:tc>
          <w:tcPr>
            <w:tcW w:w="3828" w:type="dxa"/>
          </w:tcPr>
          <w:p w14:paraId="4CF35A51" w14:textId="77777777" w:rsidR="003045CE" w:rsidRPr="001B7F70" w:rsidRDefault="003045CE">
            <w:pPr>
              <w:spacing w:before="60" w:after="60"/>
              <w:jc w:val="left"/>
              <w:rPr>
                <w:sz w:val="20"/>
                <w:szCs w:val="20"/>
              </w:rPr>
            </w:pPr>
            <w:r w:rsidRPr="001B7F70">
              <w:rPr>
                <w:sz w:val="20"/>
                <w:szCs w:val="20"/>
              </w:rPr>
              <w:t>Administrace běžícího projektu</w:t>
            </w:r>
          </w:p>
        </w:tc>
        <w:tc>
          <w:tcPr>
            <w:tcW w:w="1147" w:type="dxa"/>
          </w:tcPr>
          <w:p w14:paraId="2EDCA3A7" w14:textId="77777777" w:rsidR="003045CE" w:rsidRPr="001B7F70" w:rsidRDefault="003045CE">
            <w:pPr>
              <w:spacing w:before="60" w:after="60"/>
              <w:rPr>
                <w:sz w:val="20"/>
                <w:szCs w:val="20"/>
              </w:rPr>
            </w:pPr>
          </w:p>
        </w:tc>
        <w:tc>
          <w:tcPr>
            <w:tcW w:w="1126" w:type="dxa"/>
          </w:tcPr>
          <w:p w14:paraId="617F096B" w14:textId="77777777" w:rsidR="003045CE" w:rsidRPr="001B7F70" w:rsidRDefault="003045CE">
            <w:pPr>
              <w:spacing w:before="60" w:after="60"/>
              <w:rPr>
                <w:sz w:val="20"/>
                <w:szCs w:val="20"/>
              </w:rPr>
            </w:pPr>
          </w:p>
        </w:tc>
        <w:tc>
          <w:tcPr>
            <w:tcW w:w="1276" w:type="dxa"/>
          </w:tcPr>
          <w:p w14:paraId="61994036" w14:textId="77777777" w:rsidR="003045CE" w:rsidRPr="001B7F70" w:rsidRDefault="003045CE">
            <w:pPr>
              <w:spacing w:before="60" w:after="60"/>
              <w:rPr>
                <w:sz w:val="20"/>
                <w:szCs w:val="20"/>
              </w:rPr>
            </w:pPr>
          </w:p>
        </w:tc>
        <w:tc>
          <w:tcPr>
            <w:tcW w:w="1000" w:type="dxa"/>
          </w:tcPr>
          <w:p w14:paraId="4F413880" w14:textId="77777777" w:rsidR="003045CE" w:rsidRPr="001B7F70" w:rsidRDefault="003045CE">
            <w:pPr>
              <w:spacing w:before="60" w:after="60"/>
              <w:rPr>
                <w:sz w:val="20"/>
                <w:szCs w:val="20"/>
              </w:rPr>
            </w:pPr>
          </w:p>
        </w:tc>
        <w:tc>
          <w:tcPr>
            <w:tcW w:w="708" w:type="dxa"/>
          </w:tcPr>
          <w:p w14:paraId="14215B06" w14:textId="77777777" w:rsidR="003045CE" w:rsidRPr="001B7F70" w:rsidRDefault="003045CE">
            <w:pPr>
              <w:spacing w:before="60" w:after="60"/>
              <w:rPr>
                <w:sz w:val="20"/>
                <w:szCs w:val="20"/>
              </w:rPr>
            </w:pPr>
          </w:p>
        </w:tc>
      </w:tr>
      <w:tr w:rsidR="003045CE" w:rsidRPr="001B7F70" w14:paraId="05CD131C" w14:textId="77777777">
        <w:tc>
          <w:tcPr>
            <w:tcW w:w="3828" w:type="dxa"/>
          </w:tcPr>
          <w:p w14:paraId="468B0DF2" w14:textId="77777777" w:rsidR="003045CE" w:rsidRPr="001B7F70" w:rsidRDefault="003045CE">
            <w:pPr>
              <w:spacing w:before="60" w:after="60"/>
              <w:jc w:val="left"/>
              <w:rPr>
                <w:sz w:val="20"/>
                <w:szCs w:val="20"/>
              </w:rPr>
            </w:pPr>
            <w:r w:rsidRPr="001B7F70">
              <w:rPr>
                <w:sz w:val="20"/>
                <w:szCs w:val="20"/>
              </w:rPr>
              <w:t>Příprava rozpočtu projektu</w:t>
            </w:r>
          </w:p>
        </w:tc>
        <w:tc>
          <w:tcPr>
            <w:tcW w:w="1147" w:type="dxa"/>
          </w:tcPr>
          <w:p w14:paraId="5FA2D6E7" w14:textId="77777777" w:rsidR="003045CE" w:rsidRPr="001B7F70" w:rsidRDefault="003045CE">
            <w:pPr>
              <w:spacing w:before="60" w:after="60"/>
              <w:rPr>
                <w:sz w:val="20"/>
                <w:szCs w:val="20"/>
              </w:rPr>
            </w:pPr>
          </w:p>
        </w:tc>
        <w:tc>
          <w:tcPr>
            <w:tcW w:w="1126" w:type="dxa"/>
          </w:tcPr>
          <w:p w14:paraId="051B3B88" w14:textId="77777777" w:rsidR="003045CE" w:rsidRPr="001B7F70" w:rsidRDefault="003045CE">
            <w:pPr>
              <w:spacing w:before="60" w:after="60"/>
              <w:rPr>
                <w:sz w:val="20"/>
                <w:szCs w:val="20"/>
              </w:rPr>
            </w:pPr>
          </w:p>
        </w:tc>
        <w:tc>
          <w:tcPr>
            <w:tcW w:w="1276" w:type="dxa"/>
          </w:tcPr>
          <w:p w14:paraId="00C77B32" w14:textId="77777777" w:rsidR="003045CE" w:rsidRPr="001B7F70" w:rsidRDefault="003045CE">
            <w:pPr>
              <w:spacing w:before="60" w:after="60"/>
              <w:rPr>
                <w:sz w:val="20"/>
                <w:szCs w:val="20"/>
              </w:rPr>
            </w:pPr>
          </w:p>
        </w:tc>
        <w:tc>
          <w:tcPr>
            <w:tcW w:w="1000" w:type="dxa"/>
          </w:tcPr>
          <w:p w14:paraId="7FCDD5C6" w14:textId="77777777" w:rsidR="003045CE" w:rsidRPr="001B7F70" w:rsidRDefault="003045CE">
            <w:pPr>
              <w:spacing w:before="60" w:after="60"/>
              <w:rPr>
                <w:sz w:val="20"/>
                <w:szCs w:val="20"/>
              </w:rPr>
            </w:pPr>
          </w:p>
        </w:tc>
        <w:tc>
          <w:tcPr>
            <w:tcW w:w="708" w:type="dxa"/>
          </w:tcPr>
          <w:p w14:paraId="168EF802" w14:textId="77777777" w:rsidR="003045CE" w:rsidRPr="001B7F70" w:rsidRDefault="003045CE">
            <w:pPr>
              <w:spacing w:before="60" w:after="60"/>
              <w:rPr>
                <w:sz w:val="20"/>
                <w:szCs w:val="20"/>
              </w:rPr>
            </w:pPr>
          </w:p>
        </w:tc>
      </w:tr>
      <w:tr w:rsidR="003045CE" w:rsidRPr="001B7F70" w14:paraId="1C1146E7" w14:textId="77777777">
        <w:tc>
          <w:tcPr>
            <w:tcW w:w="3828" w:type="dxa"/>
          </w:tcPr>
          <w:p w14:paraId="2762DD5C" w14:textId="77777777" w:rsidR="003045CE" w:rsidRPr="001B7F70" w:rsidRDefault="003045CE">
            <w:pPr>
              <w:spacing w:before="60" w:after="60"/>
              <w:jc w:val="left"/>
              <w:rPr>
                <w:sz w:val="20"/>
                <w:szCs w:val="20"/>
              </w:rPr>
            </w:pPr>
            <w:r w:rsidRPr="001B7F70">
              <w:rPr>
                <w:sz w:val="20"/>
                <w:szCs w:val="20"/>
              </w:rPr>
              <w:t>Administrace rozpočtu projektu</w:t>
            </w:r>
          </w:p>
        </w:tc>
        <w:tc>
          <w:tcPr>
            <w:tcW w:w="1147" w:type="dxa"/>
          </w:tcPr>
          <w:p w14:paraId="16D2D124" w14:textId="77777777" w:rsidR="003045CE" w:rsidRPr="001B7F70" w:rsidRDefault="003045CE">
            <w:pPr>
              <w:spacing w:before="60" w:after="60"/>
              <w:rPr>
                <w:sz w:val="20"/>
                <w:szCs w:val="20"/>
              </w:rPr>
            </w:pPr>
          </w:p>
        </w:tc>
        <w:tc>
          <w:tcPr>
            <w:tcW w:w="1126" w:type="dxa"/>
          </w:tcPr>
          <w:p w14:paraId="30AE06D4" w14:textId="77777777" w:rsidR="003045CE" w:rsidRPr="001B7F70" w:rsidRDefault="003045CE">
            <w:pPr>
              <w:spacing w:before="60" w:after="60"/>
              <w:rPr>
                <w:sz w:val="20"/>
                <w:szCs w:val="20"/>
              </w:rPr>
            </w:pPr>
          </w:p>
        </w:tc>
        <w:tc>
          <w:tcPr>
            <w:tcW w:w="1276" w:type="dxa"/>
          </w:tcPr>
          <w:p w14:paraId="1F48C810" w14:textId="77777777" w:rsidR="003045CE" w:rsidRPr="001B7F70" w:rsidRDefault="003045CE">
            <w:pPr>
              <w:spacing w:before="60" w:after="60"/>
              <w:rPr>
                <w:sz w:val="20"/>
                <w:szCs w:val="20"/>
              </w:rPr>
            </w:pPr>
          </w:p>
        </w:tc>
        <w:tc>
          <w:tcPr>
            <w:tcW w:w="1000" w:type="dxa"/>
          </w:tcPr>
          <w:p w14:paraId="462FC782" w14:textId="77777777" w:rsidR="003045CE" w:rsidRPr="001B7F70" w:rsidRDefault="003045CE">
            <w:pPr>
              <w:spacing w:before="60" w:after="60"/>
              <w:rPr>
                <w:sz w:val="20"/>
                <w:szCs w:val="20"/>
              </w:rPr>
            </w:pPr>
          </w:p>
        </w:tc>
        <w:tc>
          <w:tcPr>
            <w:tcW w:w="708" w:type="dxa"/>
          </w:tcPr>
          <w:p w14:paraId="32059AD2" w14:textId="77777777" w:rsidR="003045CE" w:rsidRPr="001B7F70" w:rsidRDefault="003045CE">
            <w:pPr>
              <w:spacing w:before="60" w:after="60"/>
              <w:rPr>
                <w:sz w:val="20"/>
                <w:szCs w:val="20"/>
              </w:rPr>
            </w:pPr>
          </w:p>
        </w:tc>
      </w:tr>
      <w:tr w:rsidR="003045CE" w:rsidRPr="001B7F70" w14:paraId="2E24F145" w14:textId="77777777">
        <w:tc>
          <w:tcPr>
            <w:tcW w:w="3828" w:type="dxa"/>
          </w:tcPr>
          <w:p w14:paraId="5DD9D2E0" w14:textId="77777777" w:rsidR="003045CE" w:rsidRPr="001B7F70" w:rsidRDefault="003045CE">
            <w:pPr>
              <w:spacing w:before="60" w:after="60"/>
              <w:jc w:val="left"/>
              <w:rPr>
                <w:sz w:val="20"/>
                <w:szCs w:val="20"/>
              </w:rPr>
            </w:pPr>
            <w:r w:rsidRPr="001B7F70">
              <w:rPr>
                <w:sz w:val="20"/>
                <w:szCs w:val="20"/>
              </w:rPr>
              <w:t>Zajišťování administrativní komunikace</w:t>
            </w:r>
            <w:r w:rsidR="009B66B5">
              <w:rPr>
                <w:sz w:val="20"/>
                <w:szCs w:val="20"/>
              </w:rPr>
              <w:t xml:space="preserve"> s </w:t>
            </w:r>
            <w:r w:rsidRPr="001B7F70">
              <w:rPr>
                <w:sz w:val="20"/>
                <w:szCs w:val="20"/>
              </w:rPr>
              <w:t>projektovými partnery a/nebo poskytovatelem podpory</w:t>
            </w:r>
          </w:p>
        </w:tc>
        <w:tc>
          <w:tcPr>
            <w:tcW w:w="1147" w:type="dxa"/>
          </w:tcPr>
          <w:p w14:paraId="087BB5BE" w14:textId="77777777" w:rsidR="003045CE" w:rsidRPr="001B7F70" w:rsidRDefault="003045CE">
            <w:pPr>
              <w:spacing w:before="60" w:after="60"/>
              <w:rPr>
                <w:sz w:val="20"/>
                <w:szCs w:val="20"/>
              </w:rPr>
            </w:pPr>
          </w:p>
        </w:tc>
        <w:tc>
          <w:tcPr>
            <w:tcW w:w="1126" w:type="dxa"/>
          </w:tcPr>
          <w:p w14:paraId="0CF7EFC0" w14:textId="77777777" w:rsidR="003045CE" w:rsidRPr="001B7F70" w:rsidRDefault="003045CE">
            <w:pPr>
              <w:spacing w:before="60" w:after="60"/>
              <w:rPr>
                <w:sz w:val="20"/>
                <w:szCs w:val="20"/>
              </w:rPr>
            </w:pPr>
          </w:p>
        </w:tc>
        <w:tc>
          <w:tcPr>
            <w:tcW w:w="1276" w:type="dxa"/>
          </w:tcPr>
          <w:p w14:paraId="1EB5554B" w14:textId="77777777" w:rsidR="003045CE" w:rsidRPr="001B7F70" w:rsidRDefault="003045CE">
            <w:pPr>
              <w:spacing w:before="60" w:after="60"/>
              <w:rPr>
                <w:sz w:val="20"/>
                <w:szCs w:val="20"/>
              </w:rPr>
            </w:pPr>
          </w:p>
        </w:tc>
        <w:tc>
          <w:tcPr>
            <w:tcW w:w="1000" w:type="dxa"/>
          </w:tcPr>
          <w:p w14:paraId="2D95EF18" w14:textId="77777777" w:rsidR="003045CE" w:rsidRPr="001B7F70" w:rsidRDefault="003045CE">
            <w:pPr>
              <w:spacing w:before="60" w:after="60"/>
              <w:rPr>
                <w:sz w:val="20"/>
                <w:szCs w:val="20"/>
              </w:rPr>
            </w:pPr>
          </w:p>
        </w:tc>
        <w:tc>
          <w:tcPr>
            <w:tcW w:w="708" w:type="dxa"/>
          </w:tcPr>
          <w:p w14:paraId="6C02452E" w14:textId="77777777" w:rsidR="003045CE" w:rsidRPr="001B7F70" w:rsidRDefault="003045CE">
            <w:pPr>
              <w:spacing w:before="60" w:after="60"/>
              <w:rPr>
                <w:sz w:val="20"/>
                <w:szCs w:val="20"/>
              </w:rPr>
            </w:pPr>
          </w:p>
        </w:tc>
      </w:tr>
      <w:tr w:rsidR="003045CE" w:rsidRPr="001B7F70" w14:paraId="47246E86" w14:textId="77777777">
        <w:tc>
          <w:tcPr>
            <w:tcW w:w="3828" w:type="dxa"/>
          </w:tcPr>
          <w:p w14:paraId="5A48ABC6" w14:textId="77777777" w:rsidR="003045CE" w:rsidRPr="001B7F70" w:rsidRDefault="003045CE">
            <w:pPr>
              <w:spacing w:before="60" w:after="60"/>
              <w:jc w:val="left"/>
              <w:rPr>
                <w:sz w:val="20"/>
                <w:szCs w:val="20"/>
              </w:rPr>
            </w:pPr>
            <w:r w:rsidRPr="001B7F70">
              <w:rPr>
                <w:sz w:val="20"/>
                <w:szCs w:val="20"/>
              </w:rPr>
              <w:t>Reportování koordinátorovi projektu</w:t>
            </w:r>
            <w:r w:rsidR="009B66B5">
              <w:rPr>
                <w:sz w:val="20"/>
                <w:szCs w:val="20"/>
              </w:rPr>
              <w:t xml:space="preserve"> a </w:t>
            </w:r>
            <w:r w:rsidRPr="001B7F70">
              <w:rPr>
                <w:sz w:val="20"/>
                <w:szCs w:val="20"/>
              </w:rPr>
              <w:t>poskytovateli podpory</w:t>
            </w:r>
          </w:p>
        </w:tc>
        <w:tc>
          <w:tcPr>
            <w:tcW w:w="1147" w:type="dxa"/>
          </w:tcPr>
          <w:p w14:paraId="30F29E40" w14:textId="77777777" w:rsidR="003045CE" w:rsidRPr="001B7F70" w:rsidRDefault="003045CE">
            <w:pPr>
              <w:spacing w:before="60" w:after="60"/>
              <w:rPr>
                <w:sz w:val="20"/>
                <w:szCs w:val="20"/>
              </w:rPr>
            </w:pPr>
          </w:p>
        </w:tc>
        <w:tc>
          <w:tcPr>
            <w:tcW w:w="1126" w:type="dxa"/>
          </w:tcPr>
          <w:p w14:paraId="66ADD67D" w14:textId="77777777" w:rsidR="003045CE" w:rsidRPr="001B7F70" w:rsidRDefault="003045CE">
            <w:pPr>
              <w:spacing w:before="60" w:after="60"/>
              <w:rPr>
                <w:sz w:val="20"/>
                <w:szCs w:val="20"/>
              </w:rPr>
            </w:pPr>
          </w:p>
        </w:tc>
        <w:tc>
          <w:tcPr>
            <w:tcW w:w="1276" w:type="dxa"/>
          </w:tcPr>
          <w:p w14:paraId="360A6010" w14:textId="77777777" w:rsidR="003045CE" w:rsidRPr="001B7F70" w:rsidRDefault="003045CE">
            <w:pPr>
              <w:spacing w:before="60" w:after="60"/>
              <w:rPr>
                <w:sz w:val="20"/>
                <w:szCs w:val="20"/>
              </w:rPr>
            </w:pPr>
          </w:p>
        </w:tc>
        <w:tc>
          <w:tcPr>
            <w:tcW w:w="1000" w:type="dxa"/>
          </w:tcPr>
          <w:p w14:paraId="471419CF" w14:textId="77777777" w:rsidR="003045CE" w:rsidRPr="001B7F70" w:rsidRDefault="003045CE">
            <w:pPr>
              <w:spacing w:before="60" w:after="60"/>
              <w:rPr>
                <w:sz w:val="20"/>
                <w:szCs w:val="20"/>
              </w:rPr>
            </w:pPr>
          </w:p>
        </w:tc>
        <w:tc>
          <w:tcPr>
            <w:tcW w:w="708" w:type="dxa"/>
          </w:tcPr>
          <w:p w14:paraId="692EE56D" w14:textId="77777777" w:rsidR="003045CE" w:rsidRPr="001B7F70" w:rsidRDefault="003045CE">
            <w:pPr>
              <w:spacing w:before="60" w:after="60"/>
              <w:rPr>
                <w:sz w:val="20"/>
                <w:szCs w:val="20"/>
              </w:rPr>
            </w:pPr>
          </w:p>
        </w:tc>
      </w:tr>
      <w:tr w:rsidR="003045CE" w:rsidRPr="001B7F70" w14:paraId="313763E1" w14:textId="77777777">
        <w:tc>
          <w:tcPr>
            <w:tcW w:w="3828" w:type="dxa"/>
          </w:tcPr>
          <w:p w14:paraId="5BB0E20B" w14:textId="77777777" w:rsidR="003045CE" w:rsidRPr="001B7F70" w:rsidRDefault="003045CE">
            <w:pPr>
              <w:spacing w:before="60" w:after="60"/>
              <w:jc w:val="left"/>
              <w:rPr>
                <w:sz w:val="20"/>
                <w:szCs w:val="20"/>
              </w:rPr>
            </w:pPr>
            <w:r w:rsidRPr="001B7F70">
              <w:rPr>
                <w:sz w:val="20"/>
                <w:szCs w:val="20"/>
              </w:rPr>
              <w:t>Příprava podkladů pro technický či finanční audit</w:t>
            </w:r>
          </w:p>
        </w:tc>
        <w:tc>
          <w:tcPr>
            <w:tcW w:w="1147" w:type="dxa"/>
          </w:tcPr>
          <w:p w14:paraId="2BDCB842" w14:textId="77777777" w:rsidR="003045CE" w:rsidRPr="001B7F70" w:rsidRDefault="003045CE">
            <w:pPr>
              <w:spacing w:before="60" w:after="60"/>
              <w:rPr>
                <w:sz w:val="20"/>
                <w:szCs w:val="20"/>
              </w:rPr>
            </w:pPr>
          </w:p>
        </w:tc>
        <w:tc>
          <w:tcPr>
            <w:tcW w:w="1126" w:type="dxa"/>
          </w:tcPr>
          <w:p w14:paraId="4D9583E8" w14:textId="77777777" w:rsidR="003045CE" w:rsidRPr="001B7F70" w:rsidRDefault="003045CE">
            <w:pPr>
              <w:spacing w:before="60" w:after="60"/>
              <w:rPr>
                <w:sz w:val="20"/>
                <w:szCs w:val="20"/>
              </w:rPr>
            </w:pPr>
          </w:p>
        </w:tc>
        <w:tc>
          <w:tcPr>
            <w:tcW w:w="1276" w:type="dxa"/>
          </w:tcPr>
          <w:p w14:paraId="7BF24381" w14:textId="77777777" w:rsidR="003045CE" w:rsidRPr="001B7F70" w:rsidRDefault="003045CE">
            <w:pPr>
              <w:spacing w:before="60" w:after="60"/>
              <w:rPr>
                <w:sz w:val="20"/>
                <w:szCs w:val="20"/>
              </w:rPr>
            </w:pPr>
          </w:p>
        </w:tc>
        <w:tc>
          <w:tcPr>
            <w:tcW w:w="1000" w:type="dxa"/>
          </w:tcPr>
          <w:p w14:paraId="18149F1B" w14:textId="77777777" w:rsidR="003045CE" w:rsidRPr="001B7F70" w:rsidRDefault="003045CE">
            <w:pPr>
              <w:spacing w:before="60" w:after="60"/>
              <w:rPr>
                <w:sz w:val="20"/>
                <w:szCs w:val="20"/>
              </w:rPr>
            </w:pPr>
          </w:p>
        </w:tc>
        <w:tc>
          <w:tcPr>
            <w:tcW w:w="708" w:type="dxa"/>
          </w:tcPr>
          <w:p w14:paraId="6A28905E" w14:textId="77777777" w:rsidR="003045CE" w:rsidRPr="001B7F70" w:rsidRDefault="003045CE">
            <w:pPr>
              <w:spacing w:before="60" w:after="60"/>
              <w:rPr>
                <w:sz w:val="20"/>
                <w:szCs w:val="20"/>
              </w:rPr>
            </w:pPr>
          </w:p>
        </w:tc>
      </w:tr>
      <w:tr w:rsidR="003045CE" w:rsidRPr="001B7F70" w14:paraId="660C0E53" w14:textId="77777777">
        <w:tc>
          <w:tcPr>
            <w:tcW w:w="3828" w:type="dxa"/>
          </w:tcPr>
          <w:p w14:paraId="34FF80A3" w14:textId="77777777" w:rsidR="003045CE" w:rsidRPr="001B7F70" w:rsidRDefault="003045CE">
            <w:pPr>
              <w:spacing w:before="60" w:after="60"/>
              <w:jc w:val="left"/>
              <w:rPr>
                <w:sz w:val="20"/>
                <w:szCs w:val="20"/>
              </w:rPr>
            </w:pPr>
            <w:r w:rsidRPr="001B7F70">
              <w:rPr>
                <w:sz w:val="20"/>
                <w:szCs w:val="20"/>
              </w:rPr>
              <w:t>Publicita výsledků mezinárodní výzkumné spolupráce</w:t>
            </w:r>
          </w:p>
        </w:tc>
        <w:tc>
          <w:tcPr>
            <w:tcW w:w="1147" w:type="dxa"/>
          </w:tcPr>
          <w:p w14:paraId="48F6B525" w14:textId="77777777" w:rsidR="003045CE" w:rsidRPr="001B7F70" w:rsidRDefault="003045CE">
            <w:pPr>
              <w:spacing w:before="60" w:after="60"/>
              <w:rPr>
                <w:sz w:val="20"/>
                <w:szCs w:val="20"/>
              </w:rPr>
            </w:pPr>
          </w:p>
        </w:tc>
        <w:tc>
          <w:tcPr>
            <w:tcW w:w="1126" w:type="dxa"/>
          </w:tcPr>
          <w:p w14:paraId="3B9034AB" w14:textId="77777777" w:rsidR="003045CE" w:rsidRPr="001B7F70" w:rsidRDefault="003045CE">
            <w:pPr>
              <w:spacing w:before="60" w:after="60"/>
              <w:rPr>
                <w:sz w:val="20"/>
                <w:szCs w:val="20"/>
              </w:rPr>
            </w:pPr>
          </w:p>
        </w:tc>
        <w:tc>
          <w:tcPr>
            <w:tcW w:w="1276" w:type="dxa"/>
          </w:tcPr>
          <w:p w14:paraId="26415100" w14:textId="77777777" w:rsidR="003045CE" w:rsidRPr="001B7F70" w:rsidRDefault="003045CE">
            <w:pPr>
              <w:spacing w:before="60" w:after="60"/>
              <w:rPr>
                <w:sz w:val="20"/>
                <w:szCs w:val="20"/>
              </w:rPr>
            </w:pPr>
          </w:p>
        </w:tc>
        <w:tc>
          <w:tcPr>
            <w:tcW w:w="1000" w:type="dxa"/>
          </w:tcPr>
          <w:p w14:paraId="32CD2E6A" w14:textId="77777777" w:rsidR="003045CE" w:rsidRPr="001B7F70" w:rsidRDefault="003045CE">
            <w:pPr>
              <w:spacing w:before="60" w:after="60"/>
              <w:rPr>
                <w:sz w:val="20"/>
                <w:szCs w:val="20"/>
              </w:rPr>
            </w:pPr>
          </w:p>
        </w:tc>
        <w:tc>
          <w:tcPr>
            <w:tcW w:w="708" w:type="dxa"/>
          </w:tcPr>
          <w:p w14:paraId="047A61F1" w14:textId="77777777" w:rsidR="003045CE" w:rsidRPr="001B7F70" w:rsidRDefault="003045CE">
            <w:pPr>
              <w:spacing w:before="60" w:after="60"/>
              <w:rPr>
                <w:sz w:val="20"/>
                <w:szCs w:val="20"/>
              </w:rPr>
            </w:pPr>
          </w:p>
        </w:tc>
      </w:tr>
    </w:tbl>
    <w:p w14:paraId="778E73B2" w14:textId="77777777" w:rsidR="003045CE" w:rsidRDefault="003045CE" w:rsidP="003045CE"/>
    <w:p w14:paraId="2EF962EF" w14:textId="77777777" w:rsidR="003045CE" w:rsidRDefault="003045CE" w:rsidP="003045CE">
      <w:pPr>
        <w:rPr>
          <w:b/>
          <w:bCs/>
        </w:rPr>
      </w:pPr>
      <w:r w:rsidRPr="5011D11C">
        <w:rPr>
          <w:b/>
          <w:bCs/>
        </w:rPr>
        <w:t xml:space="preserve">Motivy </w:t>
      </w:r>
      <w:r>
        <w:rPr>
          <w:b/>
          <w:bCs/>
        </w:rPr>
        <w:t>instituce</w:t>
      </w:r>
      <w:r w:rsidRPr="5011D11C">
        <w:rPr>
          <w:b/>
          <w:bCs/>
        </w:rPr>
        <w:t xml:space="preserve"> pro zapojení se do rámcových programů EU</w:t>
      </w:r>
    </w:p>
    <w:p w14:paraId="30553AA0" w14:textId="77777777" w:rsidR="003045CE" w:rsidRDefault="000819C7" w:rsidP="003045CE">
      <w:r>
        <w:t>Jaké byly/jsou v</w:t>
      </w:r>
      <w:r w:rsidR="003045CE">
        <w:t>aše motivy pro zapojení se do rámcových programů EU? Pro každou</w:t>
      </w:r>
      <w:r w:rsidR="009B66B5">
        <w:t xml:space="preserve"> z </w:t>
      </w:r>
      <w:r w:rsidR="003045CE">
        <w:t>uvedených možností určete významnost, 1 – minimální význam, 5 – maximální význam.</w:t>
      </w:r>
    </w:p>
    <w:p w14:paraId="50B6D0C2" w14:textId="77777777" w:rsidR="003045CE" w:rsidRDefault="003045CE">
      <w:pPr>
        <w:pStyle w:val="Odstavecseseznamem"/>
        <w:numPr>
          <w:ilvl w:val="0"/>
          <w:numId w:val="11"/>
        </w:numPr>
        <w:spacing w:before="0" w:after="160" w:line="259" w:lineRule="auto"/>
        <w:contextualSpacing/>
      </w:pPr>
      <w:r>
        <w:t>Získání finančních prostředků na realizaci výzkumu</w:t>
      </w:r>
      <w:r w:rsidR="009B66B5">
        <w:t xml:space="preserve"> a </w:t>
      </w:r>
      <w:r>
        <w:t>vývoje</w:t>
      </w:r>
    </w:p>
    <w:p w14:paraId="10738B01" w14:textId="77777777" w:rsidR="003045CE" w:rsidRDefault="003045CE">
      <w:pPr>
        <w:pStyle w:val="Odstavecseseznamem"/>
        <w:numPr>
          <w:ilvl w:val="0"/>
          <w:numId w:val="11"/>
        </w:numPr>
        <w:spacing w:before="0" w:after="160" w:line="259" w:lineRule="auto"/>
        <w:contextualSpacing/>
      </w:pPr>
      <w:r>
        <w:t>Rozvoj/pokračování stávající mezinárodní spolupráce</w:t>
      </w:r>
      <w:r w:rsidR="009B66B5">
        <w:t xml:space="preserve"> s </w:t>
      </w:r>
      <w:r>
        <w:t>výzkumnými organizacemi</w:t>
      </w:r>
    </w:p>
    <w:p w14:paraId="3BA867C0" w14:textId="77777777" w:rsidR="003045CE" w:rsidRDefault="003045CE">
      <w:pPr>
        <w:pStyle w:val="Odstavecseseznamem"/>
        <w:numPr>
          <w:ilvl w:val="0"/>
          <w:numId w:val="11"/>
        </w:numPr>
        <w:spacing w:before="0" w:after="160" w:line="259" w:lineRule="auto"/>
        <w:contextualSpacing/>
      </w:pPr>
      <w:r>
        <w:t>Navázání nové mezinárodní spolupráce</w:t>
      </w:r>
      <w:r w:rsidR="009B66B5">
        <w:t xml:space="preserve"> s </w:t>
      </w:r>
      <w:r>
        <w:t>výzkumnými organizacemi</w:t>
      </w:r>
    </w:p>
    <w:p w14:paraId="46A1080B" w14:textId="77777777" w:rsidR="003045CE" w:rsidRDefault="003045CE">
      <w:pPr>
        <w:pStyle w:val="Odstavecseseznamem"/>
        <w:numPr>
          <w:ilvl w:val="0"/>
          <w:numId w:val="11"/>
        </w:numPr>
        <w:spacing w:before="0" w:after="160" w:line="259" w:lineRule="auto"/>
        <w:contextualSpacing/>
      </w:pPr>
      <w:r>
        <w:t>Upevnění vlastní pozice</w:t>
      </w:r>
      <w:r w:rsidR="009B66B5">
        <w:t xml:space="preserve"> v </w:t>
      </w:r>
      <w:r>
        <w:t>Evropském výzkumném prostoru</w:t>
      </w:r>
    </w:p>
    <w:p w14:paraId="2ABE58ED" w14:textId="77777777" w:rsidR="003045CE" w:rsidRDefault="003045CE">
      <w:pPr>
        <w:pStyle w:val="Odstavecseseznamem"/>
        <w:numPr>
          <w:ilvl w:val="0"/>
          <w:numId w:val="11"/>
        </w:numPr>
        <w:spacing w:before="0" w:after="160" w:line="259" w:lineRule="auto"/>
        <w:contextualSpacing/>
      </w:pPr>
      <w:r>
        <w:t>Možnost ovlivňovat zaměření VaV</w:t>
      </w:r>
      <w:r w:rsidR="000760D8">
        <w:t>aI</w:t>
      </w:r>
      <w:r>
        <w:t xml:space="preserve"> realizovaného</w:t>
      </w:r>
      <w:r w:rsidR="009B66B5">
        <w:t xml:space="preserve"> v </w:t>
      </w:r>
      <w:r>
        <w:t>mezinárodním prostředí</w:t>
      </w:r>
    </w:p>
    <w:p w14:paraId="63664826" w14:textId="77777777" w:rsidR="003045CE" w:rsidRDefault="003045CE">
      <w:pPr>
        <w:pStyle w:val="Odstavecseseznamem"/>
        <w:numPr>
          <w:ilvl w:val="0"/>
          <w:numId w:val="11"/>
        </w:numPr>
        <w:spacing w:before="0" w:after="160" w:line="259" w:lineRule="auto"/>
        <w:contextualSpacing/>
      </w:pPr>
      <w:r>
        <w:t>Přístup ke znalostem</w:t>
      </w:r>
      <w:r w:rsidR="009B66B5">
        <w:t xml:space="preserve"> a </w:t>
      </w:r>
      <w:r>
        <w:t>zařízením sdíleným mezinárodními projektovými partnery</w:t>
      </w:r>
    </w:p>
    <w:p w14:paraId="65EAC1A7" w14:textId="77777777" w:rsidR="003045CE" w:rsidRDefault="003045CE">
      <w:pPr>
        <w:pStyle w:val="Odstavecseseznamem"/>
        <w:numPr>
          <w:ilvl w:val="0"/>
          <w:numId w:val="11"/>
        </w:numPr>
        <w:spacing w:before="0" w:after="160" w:line="259" w:lineRule="auto"/>
        <w:contextualSpacing/>
      </w:pPr>
      <w:r>
        <w:t>Rozvoj stávajících VaV</w:t>
      </w:r>
      <w:r w:rsidR="000760D8">
        <w:t>aI</w:t>
      </w:r>
      <w:r>
        <w:t xml:space="preserve"> aktivit </w:t>
      </w:r>
    </w:p>
    <w:p w14:paraId="7A141A6D" w14:textId="77777777" w:rsidR="003045CE" w:rsidRDefault="003045CE">
      <w:pPr>
        <w:pStyle w:val="Odstavecseseznamem"/>
        <w:numPr>
          <w:ilvl w:val="0"/>
          <w:numId w:val="11"/>
        </w:numPr>
        <w:spacing w:before="0" w:after="160" w:line="259" w:lineRule="auto"/>
        <w:contextualSpacing/>
      </w:pPr>
      <w:r>
        <w:t>Rozvoj nových VaV</w:t>
      </w:r>
      <w:r w:rsidR="000760D8">
        <w:t>aI</w:t>
      </w:r>
      <w:r>
        <w:t xml:space="preserve"> témat</w:t>
      </w:r>
    </w:p>
    <w:p w14:paraId="7046C3FA" w14:textId="77777777" w:rsidR="003045CE" w:rsidRDefault="003045CE">
      <w:pPr>
        <w:pStyle w:val="Odstavecseseznamem"/>
        <w:numPr>
          <w:ilvl w:val="0"/>
          <w:numId w:val="11"/>
        </w:numPr>
        <w:spacing w:before="0" w:after="160" w:line="259" w:lineRule="auto"/>
        <w:contextualSpacing/>
      </w:pPr>
      <w:r>
        <w:t>Uplatnění výsledků VaV</w:t>
      </w:r>
      <w:r w:rsidR="000760D8">
        <w:t>aI</w:t>
      </w:r>
      <w:r w:rsidR="009B66B5">
        <w:t xml:space="preserve"> v </w:t>
      </w:r>
      <w:r>
        <w:t>praxi</w:t>
      </w:r>
    </w:p>
    <w:p w14:paraId="65D93BBD" w14:textId="77777777" w:rsidR="003045CE" w:rsidRDefault="003045CE">
      <w:pPr>
        <w:pStyle w:val="Odstavecseseznamem"/>
        <w:numPr>
          <w:ilvl w:val="0"/>
          <w:numId w:val="11"/>
        </w:numPr>
        <w:spacing w:before="0" w:after="160" w:line="259" w:lineRule="auto"/>
        <w:contextualSpacing/>
      </w:pPr>
      <w:r>
        <w:t>Jiné – upřesněte, prosím ________________________________________________________</w:t>
      </w:r>
    </w:p>
    <w:p w14:paraId="59D5AD7B" w14:textId="77777777" w:rsidR="003045CE" w:rsidRDefault="003045CE" w:rsidP="003045CE"/>
    <w:p w14:paraId="756D3021" w14:textId="77777777" w:rsidR="003045CE" w:rsidRPr="002E182F" w:rsidRDefault="003045CE" w:rsidP="00364301">
      <w:pPr>
        <w:keepNext/>
        <w:rPr>
          <w:b/>
          <w:bCs/>
        </w:rPr>
      </w:pPr>
      <w:bookmarkStart w:id="97" w:name="_Hlk104469917"/>
      <w:r w:rsidRPr="5011D11C">
        <w:rPr>
          <w:b/>
          <w:bCs/>
        </w:rPr>
        <w:t xml:space="preserve">Bariéry pro zapojení se </w:t>
      </w:r>
      <w:bookmarkStart w:id="98" w:name="_Hlk104465002"/>
      <w:r w:rsidRPr="5011D11C">
        <w:rPr>
          <w:b/>
          <w:bCs/>
        </w:rPr>
        <w:t>do rámcových programů EU</w:t>
      </w:r>
      <w:bookmarkEnd w:id="98"/>
      <w:r w:rsidR="009B66B5">
        <w:rPr>
          <w:b/>
          <w:bCs/>
        </w:rPr>
        <w:t xml:space="preserve"> v </w:t>
      </w:r>
      <w:r w:rsidRPr="5011D11C">
        <w:rPr>
          <w:b/>
          <w:bCs/>
        </w:rPr>
        <w:t>instituci</w:t>
      </w:r>
    </w:p>
    <w:p w14:paraId="78DC6A21" w14:textId="77777777" w:rsidR="003045CE" w:rsidRPr="002E182F" w:rsidRDefault="003045CE" w:rsidP="003045CE">
      <w:pPr>
        <w:rPr>
          <w:b/>
          <w:bCs/>
        </w:rPr>
      </w:pPr>
      <w:r>
        <w:t>Představují následující skutečnosti bariéry pro intenzivnější zapojení Vašeho ústavu AV do rámcových programů EU? Uveďte, prosím, tři bariéry, které pokládáte za nejvýznamnější – označením</w:t>
      </w:r>
      <w:r w:rsidR="009B66B5">
        <w:t xml:space="preserve"> v </w:t>
      </w:r>
      <w:r>
        <w:t xml:space="preserve">seznamu možných bariér a/nebo uvedením dalších bariér za konec seznamu. K vybraným nejvýznamnějším bariérám, prosím, připojte stručný komentář. </w:t>
      </w:r>
    </w:p>
    <w:p w14:paraId="3AE075D7" w14:textId="77777777" w:rsidR="003045CE" w:rsidRDefault="003045CE" w:rsidP="003045CE">
      <w:r>
        <w:lastRenderedPageBreak/>
        <w:t xml:space="preserve">a) </w:t>
      </w:r>
      <w:r w:rsidRPr="002E182F">
        <w:t>Nedostatečné personální kapacity pro administrativní podpor</w:t>
      </w:r>
      <w:r>
        <w:t>u</w:t>
      </w:r>
      <w:r w:rsidRPr="002E182F">
        <w:t xml:space="preserve"> výzkumným pracovníkům </w:t>
      </w:r>
      <w:r>
        <w:t>při podávání mezinárodních grantových žádostí</w:t>
      </w:r>
      <w:r w:rsidR="009B66B5">
        <w:t xml:space="preserve"> a </w:t>
      </w:r>
      <w:r>
        <w:t>řešení mezinárodních projektů</w:t>
      </w:r>
    </w:p>
    <w:p w14:paraId="50158AB4" w14:textId="77777777" w:rsidR="003045CE" w:rsidRDefault="003045CE" w:rsidP="003045CE">
      <w:r>
        <w:t>Komentář: _________________________________________________________________________</w:t>
      </w:r>
    </w:p>
    <w:p w14:paraId="6576EDCF" w14:textId="77777777" w:rsidR="003045CE" w:rsidRDefault="003045CE" w:rsidP="003045CE">
      <w:r>
        <w:t xml:space="preserve">b) </w:t>
      </w:r>
      <w:r w:rsidRPr="002E182F">
        <w:t>Nedostatečná informační podpora výzkumným pracovníkům</w:t>
      </w:r>
      <w:r>
        <w:t xml:space="preserve"> ze strany vlastní instituce</w:t>
      </w:r>
      <w:r w:rsidRPr="002E182F">
        <w:t xml:space="preserve"> při zjišťování možností mezinárodních grantů</w:t>
      </w:r>
    </w:p>
    <w:p w14:paraId="1E8E16E9" w14:textId="77777777" w:rsidR="003045CE" w:rsidRDefault="003045CE" w:rsidP="003045CE">
      <w:r>
        <w:t>Komentář: _________________________________________________________________________</w:t>
      </w:r>
    </w:p>
    <w:p w14:paraId="4C11B406" w14:textId="77777777" w:rsidR="003045CE" w:rsidRDefault="003045CE" w:rsidP="003045CE">
      <w:r>
        <w:t xml:space="preserve">c) </w:t>
      </w:r>
      <w:r w:rsidRPr="002E182F">
        <w:t>Nedostatečná informační podpora výzkumným pracovníkům</w:t>
      </w:r>
      <w:r>
        <w:t xml:space="preserve"> ze strany externích organizací</w:t>
      </w:r>
      <w:r w:rsidRPr="002E182F">
        <w:t xml:space="preserve"> při zjišťování možností mezinárodních grantů</w:t>
      </w:r>
    </w:p>
    <w:p w14:paraId="5E3419AD" w14:textId="77777777" w:rsidR="003045CE" w:rsidRDefault="003045CE" w:rsidP="003045CE">
      <w:r>
        <w:t>Komentář: _________________________________________________________________________</w:t>
      </w:r>
    </w:p>
    <w:p w14:paraId="0FC9F757" w14:textId="77777777" w:rsidR="003045CE" w:rsidRDefault="003045CE" w:rsidP="003045CE">
      <w:r>
        <w:t xml:space="preserve">d) </w:t>
      </w:r>
      <w:r w:rsidRPr="002E182F">
        <w:t>Nedostatečná odbornost administrativních pracovníků</w:t>
      </w:r>
      <w:r w:rsidR="009B66B5">
        <w:t xml:space="preserve"> v </w:t>
      </w:r>
      <w:r w:rsidRPr="002E182F">
        <w:t>oblasti ochrany práv duševního vlastnictví</w:t>
      </w:r>
    </w:p>
    <w:p w14:paraId="522270E3" w14:textId="77777777" w:rsidR="003045CE" w:rsidRDefault="003045CE" w:rsidP="003045CE">
      <w:r>
        <w:t>Komentář: _________________________________________________________________________</w:t>
      </w:r>
    </w:p>
    <w:p w14:paraId="0E519BB8" w14:textId="77777777" w:rsidR="003045CE" w:rsidRDefault="003045CE" w:rsidP="003045CE">
      <w:r>
        <w:t xml:space="preserve">e) </w:t>
      </w:r>
      <w:r w:rsidRPr="002E182F">
        <w:t>Nedostatečná jazyková vybavenost (znalost angličtiny) administrativních pracovníků</w:t>
      </w:r>
    </w:p>
    <w:p w14:paraId="6BCFA0DB" w14:textId="77777777" w:rsidR="003045CE" w:rsidRDefault="003045CE" w:rsidP="003045CE">
      <w:r>
        <w:t>Komentář: _________________________________________________________________________</w:t>
      </w:r>
    </w:p>
    <w:p w14:paraId="175AE88C" w14:textId="77777777" w:rsidR="003045CE" w:rsidRDefault="003045CE" w:rsidP="003045CE">
      <w:r>
        <w:t>f)</w:t>
      </w:r>
      <w:r w:rsidRPr="002E182F">
        <w:t xml:space="preserve"> Malé předcházející zkušenosti výzkumných a/nebo administrativních pracovníků</w:t>
      </w:r>
      <w:r w:rsidR="009B66B5">
        <w:t xml:space="preserve"> s </w:t>
      </w:r>
      <w:r w:rsidRPr="002E182F">
        <w:t>realizací mezinárodní výzkumné spolupráce</w:t>
      </w:r>
    </w:p>
    <w:p w14:paraId="1598076C" w14:textId="77777777" w:rsidR="003045CE" w:rsidRDefault="003045CE" w:rsidP="003045CE">
      <w:r>
        <w:t>Komentář: _________________________________________________________________________</w:t>
      </w:r>
    </w:p>
    <w:p w14:paraId="0461756F" w14:textId="77777777" w:rsidR="003045CE" w:rsidRDefault="003045CE" w:rsidP="003045CE">
      <w:r>
        <w:t>g)</w:t>
      </w:r>
      <w:r w:rsidRPr="002E182F">
        <w:t xml:space="preserve"> Nedostatek vhodných kontaktů na mezinárodní vědeckou komunitu</w:t>
      </w:r>
    </w:p>
    <w:p w14:paraId="29E2C378" w14:textId="77777777" w:rsidR="003045CE" w:rsidRDefault="003045CE" w:rsidP="003045CE">
      <w:r>
        <w:t>Komentář: _________________________________________________________________________</w:t>
      </w:r>
    </w:p>
    <w:p w14:paraId="7B71A982" w14:textId="77777777" w:rsidR="003045CE" w:rsidRDefault="003045CE" w:rsidP="003045CE">
      <w:r>
        <w:t>h)</w:t>
      </w:r>
      <w:r w:rsidRPr="002E182F">
        <w:t xml:space="preserve"> </w:t>
      </w:r>
      <w:r>
        <w:t>Malé časové kapacity</w:t>
      </w:r>
      <w:r w:rsidRPr="002E182F">
        <w:t xml:space="preserve"> výzkumných pracovníků pro zapojení se do mezinárodní výzkumné spolupráce</w:t>
      </w:r>
    </w:p>
    <w:p w14:paraId="5280D50A" w14:textId="77777777" w:rsidR="003045CE" w:rsidRDefault="003045CE" w:rsidP="003045CE">
      <w:r>
        <w:t>Komentář: _________________________________________________________________________</w:t>
      </w:r>
    </w:p>
    <w:p w14:paraId="3379C15E" w14:textId="77777777" w:rsidR="003045CE" w:rsidRDefault="003045CE" w:rsidP="003045CE">
      <w:r>
        <w:t>i)</w:t>
      </w:r>
      <w:r w:rsidRPr="002E182F">
        <w:t xml:space="preserve"> Nízká motivace výzkumných pracovníků pro zapojení se do mezinárodní výzkumné spolupráce</w:t>
      </w:r>
    </w:p>
    <w:p w14:paraId="60FBF9BB" w14:textId="77777777" w:rsidR="003045CE" w:rsidRDefault="003045CE" w:rsidP="003045CE">
      <w:r>
        <w:t>Komentář: _________________________________________________________________________</w:t>
      </w:r>
    </w:p>
    <w:p w14:paraId="3DA858D2" w14:textId="77777777" w:rsidR="003045CE" w:rsidRDefault="003045CE" w:rsidP="003045CE"/>
    <w:p w14:paraId="7E643A9D" w14:textId="77777777" w:rsidR="003045CE" w:rsidRDefault="003045CE" w:rsidP="003045CE">
      <w:r>
        <w:t>Další nejvýznamnější bariéry</w:t>
      </w:r>
      <w:r w:rsidRPr="00EE5A08">
        <w:t xml:space="preserve"> pro zapojení </w:t>
      </w:r>
      <w:r>
        <w:t xml:space="preserve">se </w:t>
      </w:r>
      <w:r w:rsidRPr="00EE5A08">
        <w:t>do rámcových programů EU</w:t>
      </w:r>
      <w:r>
        <w:t>:</w:t>
      </w:r>
    </w:p>
    <w:p w14:paraId="6629A06E" w14:textId="77777777" w:rsidR="003045CE" w:rsidRDefault="003045CE" w:rsidP="003045CE">
      <w:r>
        <w:lastRenderedPageBreak/>
        <w:t>__________________________________________________________________________________</w:t>
      </w:r>
    </w:p>
    <w:p w14:paraId="65FC7E7D" w14:textId="77777777" w:rsidR="003045CE" w:rsidRDefault="003045CE" w:rsidP="003045CE">
      <w:r>
        <w:t>__________________________________________________________________________________</w:t>
      </w:r>
    </w:p>
    <w:p w14:paraId="228D7C25" w14:textId="77777777" w:rsidR="003045CE" w:rsidRDefault="003045CE" w:rsidP="003045CE">
      <w:r>
        <w:t>__________________________________________________________________________________</w:t>
      </w:r>
    </w:p>
    <w:bookmarkEnd w:id="97"/>
    <w:p w14:paraId="28E05F26" w14:textId="77777777" w:rsidR="003045CE" w:rsidRDefault="003045CE" w:rsidP="003045CE"/>
    <w:p w14:paraId="42AF0820" w14:textId="77777777" w:rsidR="00364301" w:rsidRDefault="00364301" w:rsidP="003045CE"/>
    <w:p w14:paraId="4FD78CDD" w14:textId="77777777" w:rsidR="00364301" w:rsidRDefault="00364301" w:rsidP="003045CE"/>
    <w:p w14:paraId="1B43E0F1" w14:textId="77777777" w:rsidR="00364301" w:rsidRPr="00024718" w:rsidRDefault="00364301" w:rsidP="003045CE"/>
    <w:p w14:paraId="16192B2F" w14:textId="77777777" w:rsidR="003045CE" w:rsidRDefault="00BA2B99" w:rsidP="005C25C6">
      <w:pPr>
        <w:pStyle w:val="Nadpis3"/>
      </w:pPr>
      <w:bookmarkStart w:id="99" w:name="_Toc114572369"/>
      <w:r>
        <w:t>Výsledky dotazníkového šetření</w:t>
      </w:r>
      <w:bookmarkEnd w:id="99"/>
    </w:p>
    <w:p w14:paraId="5E9A754D" w14:textId="77777777" w:rsidR="00364301" w:rsidRPr="00364301" w:rsidRDefault="00364301" w:rsidP="00364301">
      <w:pPr>
        <w:rPr>
          <w:lang w:eastAsia="cs-CZ"/>
        </w:rPr>
      </w:pPr>
    </w:p>
    <w:p w14:paraId="6692F2E5" w14:textId="77777777" w:rsidR="00BA2B99" w:rsidRDefault="00BA2B99" w:rsidP="00BA2B99"/>
    <w:p w14:paraId="2E7D38EC" w14:textId="77777777" w:rsidR="00BA2B99" w:rsidRDefault="00BA2B99" w:rsidP="00BA2B99">
      <w:pPr>
        <w:keepNext/>
      </w:pPr>
      <w:r>
        <w:rPr>
          <w:noProof/>
          <w:lang w:eastAsia="cs-CZ"/>
        </w:rPr>
        <w:drawing>
          <wp:inline distT="0" distB="0" distL="0" distR="0" wp14:anchorId="756F5DBD" wp14:editId="77DAF4D9">
            <wp:extent cx="3695700" cy="2265107"/>
            <wp:effectExtent l="0" t="0" r="0" b="190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3710946" cy="2274451"/>
                    </a:xfrm>
                    <a:prstGeom prst="rect">
                      <a:avLst/>
                    </a:prstGeom>
                    <a:noFill/>
                  </pic:spPr>
                </pic:pic>
              </a:graphicData>
            </a:graphic>
          </wp:inline>
        </w:drawing>
      </w:r>
    </w:p>
    <w:p w14:paraId="14FD87A2" w14:textId="77777777" w:rsidR="00BA2B99" w:rsidRDefault="00BA2B99" w:rsidP="00BA2B99">
      <w:pPr>
        <w:pStyle w:val="Titulek"/>
        <w:jc w:val="both"/>
      </w:pPr>
      <w:bookmarkStart w:id="100" w:name="_Ref110112236"/>
      <w:r>
        <w:t xml:space="preserve">Obr. </w:t>
      </w:r>
      <w:r>
        <w:fldChar w:fldCharType="begin"/>
      </w:r>
      <w:r>
        <w:instrText>SEQ Obr. \* ARABIC</w:instrText>
      </w:r>
      <w:r>
        <w:fldChar w:fldCharType="separate"/>
      </w:r>
      <w:r w:rsidR="00833870">
        <w:rPr>
          <w:noProof/>
        </w:rPr>
        <w:t>1</w:t>
      </w:r>
      <w:r>
        <w:fldChar w:fldCharType="end"/>
      </w:r>
      <w:bookmarkEnd w:id="100"/>
      <w:r>
        <w:tab/>
        <w:t>Odpovědi na otázku „</w:t>
      </w:r>
      <w:r w:rsidR="0092318D">
        <w:t>Existuje na v</w:t>
      </w:r>
      <w:r w:rsidRPr="00D674E3">
        <w:t>aší fakultě interní motivační systém pro zvýšení účasti na projektech mezinárodní výzkumné spolupráce?</w:t>
      </w:r>
      <w:r>
        <w:t xml:space="preserve">“. </w:t>
      </w:r>
      <w:bookmarkStart w:id="101" w:name="_Hlk110173477"/>
      <w:r>
        <w:t>Zdroj: dotazníkové šetření</w:t>
      </w:r>
      <w:bookmarkEnd w:id="101"/>
    </w:p>
    <w:p w14:paraId="5D4919C8" w14:textId="77777777" w:rsidR="00BA2B99" w:rsidRDefault="00BA2B99" w:rsidP="00BA2B99"/>
    <w:p w14:paraId="586EF5E1" w14:textId="77777777" w:rsidR="00364301" w:rsidRDefault="00364301" w:rsidP="00BA2B99"/>
    <w:p w14:paraId="33DBABFB" w14:textId="77777777" w:rsidR="00BA2B99" w:rsidRDefault="00BA2B99" w:rsidP="00BA2B99">
      <w:pPr>
        <w:keepNext/>
      </w:pPr>
      <w:r>
        <w:rPr>
          <w:noProof/>
          <w:lang w:eastAsia="cs-CZ"/>
        </w:rPr>
        <w:lastRenderedPageBreak/>
        <w:drawing>
          <wp:inline distT="0" distB="0" distL="0" distR="0" wp14:anchorId="66652DD9" wp14:editId="2B0DC785">
            <wp:extent cx="4800017" cy="2752725"/>
            <wp:effectExtent l="0" t="0" r="63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4809233" cy="2758010"/>
                    </a:xfrm>
                    <a:prstGeom prst="rect">
                      <a:avLst/>
                    </a:prstGeom>
                    <a:noFill/>
                  </pic:spPr>
                </pic:pic>
              </a:graphicData>
            </a:graphic>
          </wp:inline>
        </w:drawing>
      </w:r>
    </w:p>
    <w:p w14:paraId="0D617D99" w14:textId="77777777" w:rsidR="00BA2B99" w:rsidRDefault="00BA2B99" w:rsidP="00BA2B99">
      <w:pPr>
        <w:pStyle w:val="Titulek"/>
        <w:jc w:val="both"/>
      </w:pPr>
      <w:bookmarkStart w:id="102" w:name="_Ref110170209"/>
      <w:r>
        <w:t xml:space="preserve">Obr. </w:t>
      </w:r>
      <w:r>
        <w:fldChar w:fldCharType="begin"/>
      </w:r>
      <w:r>
        <w:instrText>SEQ Obr. \* ARABIC</w:instrText>
      </w:r>
      <w:r>
        <w:fldChar w:fldCharType="separate"/>
      </w:r>
      <w:r w:rsidR="00833870">
        <w:rPr>
          <w:noProof/>
        </w:rPr>
        <w:t>2</w:t>
      </w:r>
      <w:r>
        <w:fldChar w:fldCharType="end"/>
      </w:r>
      <w:bookmarkEnd w:id="102"/>
      <w:r>
        <w:tab/>
        <w:t>Odpovědi na otázku „</w:t>
      </w:r>
      <w:r w:rsidR="0092318D">
        <w:t>Jakým způsobem je na v</w:t>
      </w:r>
      <w:r w:rsidRPr="00F518C4">
        <w:t>aší fakultě formalizována mezinárodní spolupráce ve VaV?</w:t>
      </w:r>
      <w:r>
        <w:t xml:space="preserve">“. </w:t>
      </w:r>
      <w:r w:rsidRPr="00B96AE1">
        <w:t>Zdroj: dotazníkové šetření</w:t>
      </w:r>
    </w:p>
    <w:p w14:paraId="701C2002" w14:textId="77777777" w:rsidR="00BA2B99" w:rsidRPr="00D814FB" w:rsidRDefault="00BA2B99" w:rsidP="00BA2B99"/>
    <w:p w14:paraId="0204ED3C" w14:textId="77777777" w:rsidR="00BA2B99" w:rsidRDefault="00BA2B99" w:rsidP="00BA2B99">
      <w:pPr>
        <w:keepNext/>
      </w:pPr>
      <w:r>
        <w:rPr>
          <w:noProof/>
          <w:lang w:eastAsia="cs-CZ"/>
        </w:rPr>
        <w:drawing>
          <wp:inline distT="0" distB="0" distL="0" distR="0" wp14:anchorId="61926F67" wp14:editId="77F0224C">
            <wp:extent cx="4495030" cy="3048000"/>
            <wp:effectExtent l="0" t="0" r="1270" b="0"/>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4507188" cy="3056244"/>
                    </a:xfrm>
                    <a:prstGeom prst="rect">
                      <a:avLst/>
                    </a:prstGeom>
                    <a:noFill/>
                  </pic:spPr>
                </pic:pic>
              </a:graphicData>
            </a:graphic>
          </wp:inline>
        </w:drawing>
      </w:r>
    </w:p>
    <w:p w14:paraId="120DB7B2" w14:textId="77777777" w:rsidR="00BA2B99" w:rsidRDefault="00BA2B99" w:rsidP="00BA2B99">
      <w:pPr>
        <w:pStyle w:val="Titulek"/>
        <w:jc w:val="both"/>
      </w:pPr>
      <w:bookmarkStart w:id="103" w:name="_Ref110170185"/>
      <w:r>
        <w:t xml:space="preserve">Obr. </w:t>
      </w:r>
      <w:r>
        <w:fldChar w:fldCharType="begin"/>
      </w:r>
      <w:r>
        <w:instrText>SEQ Obr. \* ARABIC</w:instrText>
      </w:r>
      <w:r>
        <w:fldChar w:fldCharType="separate"/>
      </w:r>
      <w:r w:rsidR="00833870">
        <w:rPr>
          <w:noProof/>
        </w:rPr>
        <w:t>3</w:t>
      </w:r>
      <w:r>
        <w:fldChar w:fldCharType="end"/>
      </w:r>
      <w:bookmarkEnd w:id="103"/>
      <w:r>
        <w:tab/>
        <w:t>Odpovědi na otázku „</w:t>
      </w:r>
      <w:r w:rsidR="0092318D">
        <w:t>Jsou cíle v</w:t>
      </w:r>
      <w:r w:rsidRPr="00286FAC">
        <w:t>aší fakulty v oblasti mezinárodní spolupráce či internacionalizace ve VaV nějakým způsobem konkretizovány z hlediska oblastí výzkumu, geografického zaměření či výzkumných partnerů?</w:t>
      </w:r>
      <w:r>
        <w:t xml:space="preserve">“. </w:t>
      </w:r>
      <w:r w:rsidRPr="00B96AE1">
        <w:t>Zdroj: dotazníkové šetření</w:t>
      </w:r>
    </w:p>
    <w:p w14:paraId="334CD12E" w14:textId="77777777" w:rsidR="00BA2B99" w:rsidRDefault="00BA2B99" w:rsidP="00BA2B99"/>
    <w:p w14:paraId="25018DF5" w14:textId="77777777" w:rsidR="00364301" w:rsidRDefault="00364301" w:rsidP="00BA2B99"/>
    <w:p w14:paraId="47AFA4FA" w14:textId="77777777" w:rsidR="00364301" w:rsidRDefault="00364301" w:rsidP="00BA2B99"/>
    <w:p w14:paraId="3858F4C5" w14:textId="77777777" w:rsidR="00BA2B99" w:rsidRDefault="00BA2B99" w:rsidP="00BA2B99">
      <w:pPr>
        <w:keepNext/>
      </w:pPr>
      <w:r>
        <w:rPr>
          <w:noProof/>
          <w:lang w:eastAsia="cs-CZ"/>
        </w:rPr>
        <w:drawing>
          <wp:inline distT="0" distB="0" distL="0" distR="0" wp14:anchorId="352447D7" wp14:editId="4BE4DBD2">
            <wp:extent cx="6288161" cy="2276475"/>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6317025" cy="2286924"/>
                    </a:xfrm>
                    <a:prstGeom prst="rect">
                      <a:avLst/>
                    </a:prstGeom>
                    <a:noFill/>
                  </pic:spPr>
                </pic:pic>
              </a:graphicData>
            </a:graphic>
          </wp:inline>
        </w:drawing>
      </w:r>
    </w:p>
    <w:p w14:paraId="47B2FD43" w14:textId="77777777" w:rsidR="00BA2B99" w:rsidRPr="00286FAC" w:rsidRDefault="00BA2B99" w:rsidP="00364301">
      <w:pPr>
        <w:pStyle w:val="Titulek"/>
        <w:keepNext w:val="0"/>
        <w:jc w:val="both"/>
      </w:pPr>
      <w:bookmarkStart w:id="104" w:name="_Ref110170712"/>
      <w:r>
        <w:t xml:space="preserve">Obr. </w:t>
      </w:r>
      <w:r>
        <w:fldChar w:fldCharType="begin"/>
      </w:r>
      <w:r>
        <w:instrText>SEQ Obr. \* ARABIC</w:instrText>
      </w:r>
      <w:r>
        <w:fldChar w:fldCharType="separate"/>
      </w:r>
      <w:r w:rsidR="00833870">
        <w:rPr>
          <w:noProof/>
        </w:rPr>
        <w:t>4</w:t>
      </w:r>
      <w:r>
        <w:fldChar w:fldCharType="end"/>
      </w:r>
      <w:bookmarkEnd w:id="104"/>
      <w:r>
        <w:tab/>
        <w:t>Odpovědi na otázku „</w:t>
      </w:r>
      <w:r w:rsidR="0092318D">
        <w:t>Je na v</w:t>
      </w:r>
      <w:r w:rsidRPr="00286FAC">
        <w:t>aší fakultě vyhrazena část rozpočtu přímo na podporu mezinárodní výzkumné spolupráce?</w:t>
      </w:r>
      <w:r>
        <w:t xml:space="preserve"> Pokud ano, </w:t>
      </w:r>
      <w:r w:rsidRPr="00286FAC">
        <w:t xml:space="preserve">Specifikujte, prosím, na co lze využít financování mezinárodní </w:t>
      </w:r>
      <w:r w:rsidR="0092318D">
        <w:t>výzkumné spolupráce</w:t>
      </w:r>
      <w:r w:rsidR="009B66B5">
        <w:t xml:space="preserve"> z </w:t>
      </w:r>
      <w:r w:rsidR="0092318D">
        <w:t>rozpočtu v</w:t>
      </w:r>
      <w:r w:rsidRPr="00286FAC">
        <w:t>aší fakulty</w:t>
      </w:r>
      <w:r>
        <w:t xml:space="preserve">“. </w:t>
      </w:r>
      <w:r w:rsidRPr="00B96AE1">
        <w:t>Zdroj: dotazníkové šetření</w:t>
      </w:r>
    </w:p>
    <w:p w14:paraId="38AAC90F" w14:textId="77777777" w:rsidR="00BA2B99" w:rsidRDefault="00BA2B99" w:rsidP="00BA2B99">
      <w:pPr>
        <w:keepNext/>
      </w:pPr>
    </w:p>
    <w:p w14:paraId="0AF01680" w14:textId="77777777" w:rsidR="00BA2B99" w:rsidRDefault="00BA2B99" w:rsidP="00BA2B99">
      <w:pPr>
        <w:keepNext/>
      </w:pPr>
      <w:r>
        <w:rPr>
          <w:noProof/>
          <w:lang w:eastAsia="cs-CZ"/>
        </w:rPr>
        <w:drawing>
          <wp:inline distT="0" distB="0" distL="0" distR="0" wp14:anchorId="25D1E387" wp14:editId="4A8A162E">
            <wp:extent cx="4651309" cy="329565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4659274" cy="3301294"/>
                    </a:xfrm>
                    <a:prstGeom prst="rect">
                      <a:avLst/>
                    </a:prstGeom>
                    <a:noFill/>
                  </pic:spPr>
                </pic:pic>
              </a:graphicData>
            </a:graphic>
          </wp:inline>
        </w:drawing>
      </w:r>
    </w:p>
    <w:p w14:paraId="379BDC01" w14:textId="77777777" w:rsidR="00BA2B99" w:rsidRDefault="00BA2B99" w:rsidP="00BA2B99">
      <w:pPr>
        <w:pStyle w:val="Titulek"/>
        <w:jc w:val="both"/>
      </w:pPr>
      <w:bookmarkStart w:id="105" w:name="_Ref110171054"/>
      <w:r>
        <w:t xml:space="preserve">Obr. </w:t>
      </w:r>
      <w:r>
        <w:fldChar w:fldCharType="begin"/>
      </w:r>
      <w:r>
        <w:instrText>SEQ Obr. \* ARABIC</w:instrText>
      </w:r>
      <w:r>
        <w:fldChar w:fldCharType="separate"/>
      </w:r>
      <w:r w:rsidR="00833870">
        <w:rPr>
          <w:noProof/>
        </w:rPr>
        <w:t>5</w:t>
      </w:r>
      <w:r>
        <w:fldChar w:fldCharType="end"/>
      </w:r>
      <w:bookmarkEnd w:id="105"/>
      <w:r>
        <w:tab/>
        <w:t>Odpovědi na otázku „</w:t>
      </w:r>
      <w:r w:rsidR="0092318D">
        <w:t>Jsou na v</w:t>
      </w:r>
      <w:r w:rsidRPr="00606690">
        <w:t>aší fakultě zaměstnanci/orgány přímo zodpovídající za administraci mezinárodní výzkumné spolupráce?</w:t>
      </w:r>
      <w:r>
        <w:t xml:space="preserve">“. </w:t>
      </w:r>
      <w:r w:rsidRPr="00B96AE1">
        <w:t>Zdroj: dotazníkové šetření</w:t>
      </w:r>
    </w:p>
    <w:p w14:paraId="7153F258" w14:textId="77777777" w:rsidR="00BA2B99" w:rsidRDefault="00BA2B99" w:rsidP="00BA2B99"/>
    <w:p w14:paraId="3C850DF5" w14:textId="77777777" w:rsidR="00364301" w:rsidRDefault="00364301" w:rsidP="00BA2B99"/>
    <w:p w14:paraId="577550BC" w14:textId="77777777" w:rsidR="00BA2B99" w:rsidRDefault="00BA2B99" w:rsidP="00BA2B99">
      <w:pPr>
        <w:pStyle w:val="Titulek"/>
        <w:jc w:val="both"/>
      </w:pPr>
      <w:bookmarkStart w:id="106" w:name="_Ref110257687"/>
      <w:r>
        <w:lastRenderedPageBreak/>
        <w:t xml:space="preserve">Tab. </w:t>
      </w:r>
      <w:r>
        <w:fldChar w:fldCharType="begin"/>
      </w:r>
      <w:r>
        <w:instrText>SEQ Tab. \* ARABIC</w:instrText>
      </w:r>
      <w:r>
        <w:fldChar w:fldCharType="separate"/>
      </w:r>
      <w:r w:rsidR="00833870">
        <w:rPr>
          <w:noProof/>
        </w:rPr>
        <w:t>1</w:t>
      </w:r>
      <w:r>
        <w:fldChar w:fldCharType="end"/>
      </w:r>
      <w:bookmarkEnd w:id="106"/>
      <w:r>
        <w:tab/>
        <w:t>Odpovědi na otázku „</w:t>
      </w:r>
      <w:r w:rsidRPr="009A4AEE">
        <w:t xml:space="preserve">Kdo </w:t>
      </w:r>
      <w:r>
        <w:t>ve</w:t>
      </w:r>
      <w:r w:rsidR="001F6AC0">
        <w:t xml:space="preserve"> v</w:t>
      </w:r>
      <w:r w:rsidRPr="009A4AEE">
        <w:t xml:space="preserve">aší </w:t>
      </w:r>
      <w:r>
        <w:t>instituci</w:t>
      </w:r>
      <w:r w:rsidRPr="009A4AEE">
        <w:t xml:space="preserve"> vykonává níže uvedené činnosti související s přípravou</w:t>
      </w:r>
      <w:r w:rsidR="009B66B5">
        <w:t xml:space="preserve"> a </w:t>
      </w:r>
      <w:r w:rsidRPr="009A4AEE">
        <w:t>realizací projektů rámcových programů EU?</w:t>
      </w:r>
      <w:r>
        <w:t xml:space="preserve">“. </w:t>
      </w:r>
      <w:r w:rsidRPr="00B96AE1">
        <w:t>Zdroj: dotazníkové šetření</w:t>
      </w:r>
    </w:p>
    <w:p w14:paraId="4AA7293E" w14:textId="77777777" w:rsidR="00BA2B99" w:rsidRDefault="00BA2B99" w:rsidP="00BA2B99">
      <w:r w:rsidRPr="00A10EA2">
        <w:rPr>
          <w:noProof/>
          <w:lang w:eastAsia="cs-CZ"/>
        </w:rPr>
        <w:drawing>
          <wp:inline distT="0" distB="0" distL="0" distR="0" wp14:anchorId="603FE949" wp14:editId="0EE56FBD">
            <wp:extent cx="5683669" cy="247650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5696979" cy="2482299"/>
                    </a:xfrm>
                    <a:prstGeom prst="rect">
                      <a:avLst/>
                    </a:prstGeom>
                    <a:noFill/>
                    <a:ln>
                      <a:noFill/>
                    </a:ln>
                  </pic:spPr>
                </pic:pic>
              </a:graphicData>
            </a:graphic>
          </wp:inline>
        </w:drawing>
      </w:r>
    </w:p>
    <w:p w14:paraId="09E60D6A" w14:textId="77777777" w:rsidR="00BA2B99" w:rsidRDefault="00BA2B99" w:rsidP="00BA2B99"/>
    <w:p w14:paraId="599D3F79" w14:textId="77777777" w:rsidR="00BA2B99" w:rsidRDefault="00BA2B99" w:rsidP="00BA2B99">
      <w:pPr>
        <w:keepNext/>
      </w:pPr>
      <w:r>
        <w:rPr>
          <w:noProof/>
          <w:lang w:eastAsia="cs-CZ"/>
        </w:rPr>
        <w:drawing>
          <wp:inline distT="0" distB="0" distL="0" distR="0" wp14:anchorId="12FC5B16" wp14:editId="0FB80FAC">
            <wp:extent cx="5117465" cy="2892480"/>
            <wp:effectExtent l="0" t="0" r="6985" b="3175"/>
            <wp:docPr id="4" name="Obrázek 4" descr="Obsah obrázku stů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descr="Obsah obrázku stůl&#10;&#10;Popis byl vytvořen automaticky"/>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5187041" cy="2931806"/>
                    </a:xfrm>
                    <a:prstGeom prst="rect">
                      <a:avLst/>
                    </a:prstGeom>
                    <a:noFill/>
                  </pic:spPr>
                </pic:pic>
              </a:graphicData>
            </a:graphic>
          </wp:inline>
        </w:drawing>
      </w:r>
    </w:p>
    <w:p w14:paraId="0098E5FE" w14:textId="77777777" w:rsidR="00BA2B99" w:rsidRDefault="00BA2B99" w:rsidP="00BA2B99">
      <w:pPr>
        <w:pStyle w:val="Titulek"/>
        <w:keepNext w:val="0"/>
        <w:jc w:val="both"/>
      </w:pPr>
      <w:bookmarkStart w:id="107" w:name="_Ref110254587"/>
      <w:r>
        <w:t xml:space="preserve">Obr. </w:t>
      </w:r>
      <w:r>
        <w:fldChar w:fldCharType="begin"/>
      </w:r>
      <w:r>
        <w:instrText>SEQ Obr. \* ARABIC</w:instrText>
      </w:r>
      <w:r>
        <w:fldChar w:fldCharType="separate"/>
      </w:r>
      <w:r w:rsidR="00833870">
        <w:rPr>
          <w:noProof/>
        </w:rPr>
        <w:t>6</w:t>
      </w:r>
      <w:r>
        <w:fldChar w:fldCharType="end"/>
      </w:r>
      <w:bookmarkEnd w:id="107"/>
      <w:r>
        <w:tab/>
        <w:t>Odpověď na otázku „</w:t>
      </w:r>
      <w:r w:rsidR="001F6AC0">
        <w:t>Jaké motivy jsou na v</w:t>
      </w:r>
      <w:r w:rsidRPr="002F3198">
        <w:t>ašem pracovišti rozhodující pro zapojení se do rámcových programů EU?</w:t>
      </w:r>
      <w:r>
        <w:t xml:space="preserve">“. Respondenti u každé možnosti uvedli význam od hodnoty 1 – minimální význam po hodnotu 5 – maximální význam. Údaj uvedený na obrázku je aritmetickým průměrem hodnot respondentů, kteří na tuto otázku odpověděli. </w:t>
      </w:r>
      <w:r w:rsidRPr="00B96AE1">
        <w:t>Zdroj: dotazníkové šetření</w:t>
      </w:r>
    </w:p>
    <w:p w14:paraId="04BBFD5F" w14:textId="77777777" w:rsidR="00BA2B99" w:rsidRDefault="00BA2B99" w:rsidP="00BA2B99">
      <w:pPr>
        <w:keepNext/>
      </w:pPr>
      <w:r>
        <w:rPr>
          <w:noProof/>
          <w:lang w:eastAsia="cs-CZ"/>
        </w:rPr>
        <w:lastRenderedPageBreak/>
        <w:drawing>
          <wp:inline distT="0" distB="0" distL="0" distR="0" wp14:anchorId="6F092182" wp14:editId="4C5776A1">
            <wp:extent cx="5815189" cy="3571875"/>
            <wp:effectExtent l="0" t="0" r="0" b="0"/>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5825183" cy="3578014"/>
                    </a:xfrm>
                    <a:prstGeom prst="rect">
                      <a:avLst/>
                    </a:prstGeom>
                    <a:noFill/>
                  </pic:spPr>
                </pic:pic>
              </a:graphicData>
            </a:graphic>
          </wp:inline>
        </w:drawing>
      </w:r>
    </w:p>
    <w:p w14:paraId="3AF3CC8D" w14:textId="77777777" w:rsidR="00BA2B99" w:rsidRDefault="00BA2B99" w:rsidP="00BA2B99">
      <w:pPr>
        <w:pStyle w:val="Titulek"/>
        <w:jc w:val="both"/>
      </w:pPr>
      <w:bookmarkStart w:id="108" w:name="_Ref110171642"/>
      <w:r>
        <w:t xml:space="preserve">Obr. </w:t>
      </w:r>
      <w:r>
        <w:fldChar w:fldCharType="begin"/>
      </w:r>
      <w:r>
        <w:instrText>SEQ Obr. \* ARABIC</w:instrText>
      </w:r>
      <w:r>
        <w:fldChar w:fldCharType="separate"/>
      </w:r>
      <w:r w:rsidR="00833870">
        <w:rPr>
          <w:noProof/>
        </w:rPr>
        <w:t>7</w:t>
      </w:r>
      <w:r>
        <w:fldChar w:fldCharType="end"/>
      </w:r>
      <w:bookmarkEnd w:id="108"/>
      <w:r>
        <w:tab/>
        <w:t>Odpovědi na otázku „</w:t>
      </w:r>
      <w:r w:rsidRPr="00606690">
        <w:t>Představují následující skutečnosti bari</w:t>
      </w:r>
      <w:r w:rsidR="001F6AC0">
        <w:t>éry pro intenzivnější zapojení v</w:t>
      </w:r>
      <w:r w:rsidRPr="00606690">
        <w:t>aší fakulty do rámcových programů EU? Uveďte, prosím, tři bariéry, které pokládáte za nejvýznamnější</w:t>
      </w:r>
      <w:r>
        <w:t xml:space="preserve">“. </w:t>
      </w:r>
      <w:r w:rsidRPr="00B96AE1">
        <w:t>Zdroj: dotazníkové šetření</w:t>
      </w:r>
    </w:p>
    <w:p w14:paraId="35FB148C" w14:textId="77777777" w:rsidR="00BA2B99" w:rsidRDefault="00BA2B99" w:rsidP="00BA2B99"/>
    <w:p w14:paraId="7C5018D8" w14:textId="77777777" w:rsidR="00BA2B99" w:rsidRDefault="00BA2B99" w:rsidP="00BA2B99">
      <w:pPr>
        <w:keepNext/>
      </w:pPr>
      <w:r>
        <w:rPr>
          <w:noProof/>
          <w:lang w:eastAsia="cs-CZ"/>
        </w:rPr>
        <w:lastRenderedPageBreak/>
        <w:drawing>
          <wp:inline distT="0" distB="0" distL="0" distR="0" wp14:anchorId="526EE8D0" wp14:editId="03E643BD">
            <wp:extent cx="4762500" cy="3210398"/>
            <wp:effectExtent l="0" t="0" r="0" b="9525"/>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4777104" cy="3220242"/>
                    </a:xfrm>
                    <a:prstGeom prst="rect">
                      <a:avLst/>
                    </a:prstGeom>
                    <a:noFill/>
                  </pic:spPr>
                </pic:pic>
              </a:graphicData>
            </a:graphic>
          </wp:inline>
        </w:drawing>
      </w:r>
    </w:p>
    <w:p w14:paraId="27D61C71" w14:textId="77777777" w:rsidR="00BA2B99" w:rsidRDefault="00BA2B99" w:rsidP="00BA2B99">
      <w:pPr>
        <w:pStyle w:val="Titulek"/>
        <w:jc w:val="both"/>
      </w:pPr>
      <w:bookmarkStart w:id="109" w:name="_Ref110172255"/>
      <w:r>
        <w:t xml:space="preserve">Obr. </w:t>
      </w:r>
      <w:r>
        <w:fldChar w:fldCharType="begin"/>
      </w:r>
      <w:r>
        <w:instrText>SEQ Obr. \* ARABIC</w:instrText>
      </w:r>
      <w:r>
        <w:fldChar w:fldCharType="separate"/>
      </w:r>
      <w:r w:rsidR="00833870">
        <w:rPr>
          <w:noProof/>
        </w:rPr>
        <w:t>8</w:t>
      </w:r>
      <w:r>
        <w:fldChar w:fldCharType="end"/>
      </w:r>
      <w:bookmarkEnd w:id="109"/>
      <w:r>
        <w:tab/>
        <w:t>Odpovědi na otázku „</w:t>
      </w:r>
      <w:r w:rsidR="001F6AC0">
        <w:t>Byla v</w:t>
      </w:r>
      <w:r w:rsidRPr="00606690">
        <w:t>aše fakulta</w:t>
      </w:r>
      <w:r w:rsidR="009B66B5">
        <w:t xml:space="preserve"> v </w:t>
      </w:r>
      <w:r w:rsidRPr="00606690">
        <w:t>období od roku 2016 (včetně) zapojena do programů či iniciativ financovaných</w:t>
      </w:r>
      <w:r w:rsidR="009B66B5">
        <w:t xml:space="preserve"> z </w:t>
      </w:r>
      <w:r w:rsidRPr="00606690">
        <w:t>níže uvedených mezinárodních nástrojů/institucí?</w:t>
      </w:r>
      <w:r>
        <w:t>“.</w:t>
      </w:r>
    </w:p>
    <w:p w14:paraId="5C0DEC32" w14:textId="77777777" w:rsidR="003045CE" w:rsidRDefault="003045CE">
      <w:pPr>
        <w:spacing w:before="0" w:after="0"/>
        <w:jc w:val="left"/>
      </w:pPr>
    </w:p>
    <w:sectPr w:rsidR="003045CE" w:rsidSect="00CC0854">
      <w:pgSz w:w="11906" w:h="16838"/>
      <w:pgMar w:top="1418" w:right="1418" w:bottom="1418" w:left="1418" w:header="56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CAD239" w14:textId="77777777" w:rsidR="00FA7752" w:rsidRDefault="00FA7752" w:rsidP="00D07982">
      <w:pPr>
        <w:spacing w:before="0" w:after="0"/>
      </w:pPr>
      <w:r>
        <w:separator/>
      </w:r>
    </w:p>
  </w:endnote>
  <w:endnote w:type="continuationSeparator" w:id="0">
    <w:p w14:paraId="1C4F05D3" w14:textId="77777777" w:rsidR="00FA7752" w:rsidRDefault="00FA7752" w:rsidP="00D07982">
      <w:pPr>
        <w:spacing w:before="0" w:after="0"/>
      </w:pPr>
      <w:r>
        <w:continuationSeparator/>
      </w:r>
    </w:p>
  </w:endnote>
  <w:endnote w:type="continuationNotice" w:id="1">
    <w:p w14:paraId="5DFEAD86" w14:textId="77777777" w:rsidR="00FA7752" w:rsidRDefault="00FA775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Yu Mincho">
    <w:charset w:val="80"/>
    <w:family w:val="roman"/>
    <w:pitch w:val="variable"/>
    <w:sig w:usb0="800002E7" w:usb1="2AC7FCFF" w:usb2="00000012" w:usb3="00000000" w:csb0="0002009F" w:csb1="00000000"/>
  </w:font>
  <w:font w:name="Segoe UI">
    <w:panose1 w:val="020B0502040204020203"/>
    <w:charset w:val="EE"/>
    <w:family w:val="swiss"/>
    <w:pitch w:val="variable"/>
    <w:sig w:usb0="E4002EFF" w:usb1="C000E47F" w:usb2="00000009" w:usb3="00000000" w:csb0="000001FF" w:csb1="00000000"/>
  </w:font>
  <w:font w:name="Raleway">
    <w:altName w:val="Times New Roman"/>
    <w:charset w:val="EE"/>
    <w:family w:val="auto"/>
    <w:pitch w:val="variable"/>
    <w:sig w:usb0="A00002FF" w:usb1="5000205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1536607"/>
      <w:docPartObj>
        <w:docPartGallery w:val="Page Numbers (Bottom of Page)"/>
        <w:docPartUnique/>
      </w:docPartObj>
    </w:sdtPr>
    <w:sdtEndPr/>
    <w:sdtContent>
      <w:p w14:paraId="29464177" w14:textId="5CA1B423" w:rsidR="003043E8" w:rsidRDefault="003043E8">
        <w:pPr>
          <w:pStyle w:val="Zpat"/>
          <w:jc w:val="center"/>
        </w:pPr>
        <w:r>
          <w:fldChar w:fldCharType="begin"/>
        </w:r>
        <w:r>
          <w:instrText>PAGE   \* MERGEFORMAT</w:instrText>
        </w:r>
        <w:r>
          <w:fldChar w:fldCharType="separate"/>
        </w:r>
        <w:r w:rsidR="00CF0135">
          <w:rPr>
            <w:noProof/>
          </w:rPr>
          <w:t>3</w:t>
        </w:r>
        <w:r>
          <w:fldChar w:fldCharType="end"/>
        </w:r>
      </w:p>
    </w:sdtContent>
  </w:sdt>
  <w:p w14:paraId="074A3226" w14:textId="77777777" w:rsidR="003043E8" w:rsidRDefault="003043E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F2B542" w14:textId="77777777" w:rsidR="003043E8" w:rsidRDefault="003043E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57CF23" w14:textId="77777777" w:rsidR="00FA7752" w:rsidRDefault="00FA7752" w:rsidP="00D07982">
      <w:pPr>
        <w:spacing w:before="0" w:after="0"/>
      </w:pPr>
      <w:r>
        <w:separator/>
      </w:r>
    </w:p>
  </w:footnote>
  <w:footnote w:type="continuationSeparator" w:id="0">
    <w:p w14:paraId="41AA5104" w14:textId="77777777" w:rsidR="00FA7752" w:rsidRDefault="00FA7752" w:rsidP="00D07982">
      <w:pPr>
        <w:spacing w:before="0" w:after="0"/>
      </w:pPr>
      <w:r>
        <w:continuationSeparator/>
      </w:r>
    </w:p>
  </w:footnote>
  <w:footnote w:type="continuationNotice" w:id="1">
    <w:p w14:paraId="296B30BB" w14:textId="77777777" w:rsidR="00FA7752" w:rsidRDefault="00FA7752">
      <w:pPr>
        <w:spacing w:before="0" w:after="0"/>
      </w:pPr>
    </w:p>
  </w:footnote>
  <w:footnote w:id="2">
    <w:p w14:paraId="4E9E0744" w14:textId="77777777" w:rsidR="003043E8" w:rsidRDefault="003043E8">
      <w:pPr>
        <w:pStyle w:val="Textpoznpodarou"/>
      </w:pPr>
      <w:r>
        <w:rPr>
          <w:rStyle w:val="Znakapoznpodarou"/>
        </w:rPr>
        <w:footnoteRef/>
      </w:r>
      <w:r>
        <w:t xml:space="preserve"> </w:t>
      </w:r>
      <w:r w:rsidRPr="006653B2">
        <w:t>Category Normalized Citation Impact</w:t>
      </w:r>
    </w:p>
  </w:footnote>
  <w:footnote w:id="3">
    <w:p w14:paraId="1F89A0DC" w14:textId="77777777" w:rsidR="003043E8" w:rsidRPr="0090736C" w:rsidRDefault="003043E8" w:rsidP="007E2323">
      <w:pPr>
        <w:pStyle w:val="Textpoznpodarou"/>
        <w:jc w:val="left"/>
        <w:rPr>
          <w:rFonts w:cstheme="minorHAnsi"/>
          <w:color w:val="002060"/>
          <w:sz w:val="16"/>
          <w:szCs w:val="16"/>
        </w:rPr>
      </w:pPr>
      <w:r w:rsidRPr="0090736C">
        <w:rPr>
          <w:rStyle w:val="Znakapoznpodarou"/>
          <w:rFonts w:cstheme="minorHAnsi"/>
          <w:color w:val="000000" w:themeColor="text1"/>
          <w:sz w:val="16"/>
          <w:szCs w:val="16"/>
        </w:rPr>
        <w:footnoteRef/>
      </w:r>
      <w:r w:rsidRPr="0090736C">
        <w:rPr>
          <w:rFonts w:cstheme="minorHAnsi"/>
          <w:color w:val="000000" w:themeColor="text1"/>
          <w:sz w:val="16"/>
          <w:szCs w:val="16"/>
        </w:rPr>
        <w:t xml:space="preserve"> </w:t>
      </w:r>
      <w:r w:rsidRPr="0090736C">
        <w:rPr>
          <w:rFonts w:eastAsia="Calibri" w:cstheme="minorHAnsi"/>
          <w:color w:val="000000" w:themeColor="text1"/>
          <w:sz w:val="16"/>
          <w:szCs w:val="16"/>
        </w:rPr>
        <w:t xml:space="preserve">Kuchařová, V., et al. </w:t>
      </w:r>
      <w:r w:rsidRPr="00E04648">
        <w:rPr>
          <w:rFonts w:eastAsia="Calibri" w:cstheme="minorHAnsi"/>
          <w:i/>
          <w:color w:val="000000" w:themeColor="text1"/>
          <w:sz w:val="16"/>
          <w:szCs w:val="16"/>
        </w:rPr>
        <w:t>Zpráva</w:t>
      </w:r>
      <w:r>
        <w:rPr>
          <w:rFonts w:eastAsia="Calibri" w:cstheme="minorHAnsi"/>
          <w:i/>
          <w:color w:val="000000" w:themeColor="text1"/>
          <w:sz w:val="16"/>
          <w:szCs w:val="16"/>
        </w:rPr>
        <w:t xml:space="preserve"> o </w:t>
      </w:r>
      <w:r w:rsidRPr="00E04648">
        <w:rPr>
          <w:rFonts w:eastAsia="Calibri" w:cstheme="minorHAnsi"/>
          <w:i/>
          <w:color w:val="000000" w:themeColor="text1"/>
          <w:sz w:val="16"/>
          <w:szCs w:val="16"/>
        </w:rPr>
        <w:t>rodině 2020</w:t>
      </w:r>
      <w:r w:rsidRPr="0090736C">
        <w:rPr>
          <w:rFonts w:eastAsia="Calibri" w:cstheme="minorHAnsi"/>
          <w:color w:val="000000" w:themeColor="text1"/>
          <w:sz w:val="16"/>
          <w:szCs w:val="16"/>
        </w:rPr>
        <w:t xml:space="preserve">. Dostupné z: </w:t>
      </w:r>
      <w:r w:rsidRPr="0090736C">
        <w:rPr>
          <w:rStyle w:val="Hypertextovodkaz"/>
          <w:rFonts w:eastAsia="Calibri" w:cstheme="minorHAnsi"/>
          <w:color w:val="000000" w:themeColor="text1"/>
          <w:sz w:val="16"/>
          <w:szCs w:val="16"/>
        </w:rPr>
        <w:t>https://www.mpsv.cz/documents/20142/225508/Zpr%C3%A1va+o+rodin%C4%9B+2020.pdf/c3bdc63d-9c95-497d-bded-6a15e9890abd</w:t>
      </w:r>
    </w:p>
  </w:footnote>
  <w:footnote w:id="4">
    <w:p w14:paraId="7DECD3A3" w14:textId="77777777" w:rsidR="003043E8" w:rsidRPr="001F6B7F" w:rsidRDefault="003043E8" w:rsidP="007E2323">
      <w:pPr>
        <w:pStyle w:val="Textpoznpodarou"/>
        <w:jc w:val="left"/>
        <w:rPr>
          <w:sz w:val="16"/>
          <w:szCs w:val="16"/>
        </w:rPr>
      </w:pPr>
      <w:r w:rsidRPr="001F6B7F">
        <w:rPr>
          <w:rStyle w:val="Znakapoznpodarou"/>
          <w:sz w:val="16"/>
          <w:szCs w:val="16"/>
        </w:rPr>
        <w:footnoteRef/>
      </w:r>
      <w:r w:rsidRPr="001F6B7F">
        <w:rPr>
          <w:rStyle w:val="Znakapoznpodarou"/>
          <w:sz w:val="16"/>
          <w:szCs w:val="16"/>
        </w:rPr>
        <w:footnoteRef/>
      </w:r>
      <w:r w:rsidRPr="001F6B7F">
        <w:rPr>
          <w:sz w:val="16"/>
          <w:szCs w:val="16"/>
        </w:rPr>
        <w:t xml:space="preserve"> Cidlinská, K. et al. (2018)</w:t>
      </w:r>
      <w:r>
        <w:rPr>
          <w:sz w:val="16"/>
          <w:szCs w:val="16"/>
        </w:rPr>
        <w:t>. Akademici a akademičky 2018: Z</w:t>
      </w:r>
      <w:r w:rsidRPr="001F6B7F">
        <w:rPr>
          <w:sz w:val="16"/>
          <w:szCs w:val="16"/>
        </w:rPr>
        <w:t>práva</w:t>
      </w:r>
      <w:r>
        <w:rPr>
          <w:sz w:val="16"/>
          <w:szCs w:val="16"/>
        </w:rPr>
        <w:t xml:space="preserve"> z </w:t>
      </w:r>
      <w:r w:rsidRPr="001F6B7F">
        <w:rPr>
          <w:sz w:val="16"/>
          <w:szCs w:val="16"/>
        </w:rPr>
        <w:t>kvalitativní studie veřejných akademických</w:t>
      </w:r>
      <w:r>
        <w:rPr>
          <w:sz w:val="16"/>
          <w:szCs w:val="16"/>
        </w:rPr>
        <w:t xml:space="preserve"> a </w:t>
      </w:r>
      <w:r w:rsidRPr="001F6B7F">
        <w:rPr>
          <w:sz w:val="16"/>
          <w:szCs w:val="16"/>
        </w:rPr>
        <w:t>výzkumných pracovišť. Sociologický ústav AV ČR, v.</w:t>
      </w:r>
      <w:r>
        <w:rPr>
          <w:sz w:val="16"/>
          <w:szCs w:val="16"/>
        </w:rPr>
        <w:t xml:space="preserve"> </w:t>
      </w:r>
      <w:r w:rsidRPr="001F6B7F">
        <w:rPr>
          <w:sz w:val="16"/>
          <w:szCs w:val="16"/>
        </w:rPr>
        <w:t>v.</w:t>
      </w:r>
      <w:r>
        <w:rPr>
          <w:sz w:val="16"/>
          <w:szCs w:val="16"/>
        </w:rPr>
        <w:t xml:space="preserve"> </w:t>
      </w:r>
      <w:r w:rsidRPr="001F6B7F">
        <w:rPr>
          <w:sz w:val="16"/>
          <w:szCs w:val="16"/>
        </w:rPr>
        <w:t>i,</w:t>
      </w:r>
    </w:p>
  </w:footnote>
  <w:footnote w:id="5">
    <w:p w14:paraId="01800B81" w14:textId="77777777" w:rsidR="003043E8" w:rsidRPr="001F6B7F" w:rsidRDefault="003043E8" w:rsidP="007E2323">
      <w:pPr>
        <w:pStyle w:val="Textpoznpodarou"/>
        <w:jc w:val="left"/>
        <w:rPr>
          <w:sz w:val="16"/>
          <w:szCs w:val="16"/>
        </w:rPr>
      </w:pPr>
      <w:r w:rsidRPr="001F6B7F">
        <w:rPr>
          <w:rStyle w:val="Znakapoznpodarou"/>
          <w:sz w:val="16"/>
          <w:szCs w:val="16"/>
        </w:rPr>
        <w:footnoteRef/>
      </w:r>
      <w:r w:rsidRPr="001F6B7F">
        <w:rPr>
          <w:sz w:val="16"/>
          <w:szCs w:val="16"/>
        </w:rPr>
        <w:t xml:space="preserve"> Linková, M. et al. (2018). Akademici</w:t>
      </w:r>
      <w:r>
        <w:rPr>
          <w:sz w:val="16"/>
          <w:szCs w:val="16"/>
        </w:rPr>
        <w:t xml:space="preserve"> a </w:t>
      </w:r>
      <w:r w:rsidRPr="001F6B7F">
        <w:rPr>
          <w:sz w:val="16"/>
          <w:szCs w:val="16"/>
        </w:rPr>
        <w:t>akademičky 2018: Návrhy opatření na podporu rovnosti ve výzkumném</w:t>
      </w:r>
      <w:r>
        <w:rPr>
          <w:sz w:val="16"/>
          <w:szCs w:val="16"/>
        </w:rPr>
        <w:t xml:space="preserve"> a </w:t>
      </w:r>
      <w:r w:rsidRPr="001F6B7F">
        <w:rPr>
          <w:sz w:val="16"/>
          <w:szCs w:val="16"/>
        </w:rPr>
        <w:t>vysokoškolském prostředí. Sociologický ústav AV ČR, v. v. i.</w:t>
      </w:r>
    </w:p>
  </w:footnote>
  <w:footnote w:id="6">
    <w:p w14:paraId="28460DEF" w14:textId="77777777" w:rsidR="003043E8" w:rsidRPr="00E04648" w:rsidRDefault="003043E8" w:rsidP="00BA25C2">
      <w:pPr>
        <w:pStyle w:val="Textpoznpodarou"/>
        <w:rPr>
          <w:i/>
          <w:sz w:val="16"/>
          <w:szCs w:val="16"/>
        </w:rPr>
      </w:pPr>
      <w:r w:rsidRPr="002713E5">
        <w:rPr>
          <w:rStyle w:val="Znakapoznpodarou"/>
          <w:sz w:val="16"/>
          <w:szCs w:val="16"/>
        </w:rPr>
        <w:footnoteRef/>
      </w:r>
      <w:r w:rsidRPr="002713E5">
        <w:rPr>
          <w:sz w:val="16"/>
          <w:szCs w:val="16"/>
        </w:rPr>
        <w:t xml:space="preserve"> MŠMT. (2020). </w:t>
      </w:r>
      <w:r w:rsidRPr="00E04648">
        <w:rPr>
          <w:i/>
          <w:sz w:val="16"/>
          <w:szCs w:val="16"/>
        </w:rPr>
        <w:t>Národní politika výzkumu, vývoje</w:t>
      </w:r>
      <w:r>
        <w:rPr>
          <w:i/>
          <w:sz w:val="16"/>
          <w:szCs w:val="16"/>
        </w:rPr>
        <w:t xml:space="preserve"> a </w:t>
      </w:r>
      <w:r w:rsidRPr="00E04648">
        <w:rPr>
          <w:i/>
          <w:sz w:val="16"/>
          <w:szCs w:val="16"/>
        </w:rPr>
        <w:t>inovací České republiky 2021+.</w:t>
      </w:r>
    </w:p>
  </w:footnote>
  <w:footnote w:id="7">
    <w:p w14:paraId="22915AE6" w14:textId="77777777" w:rsidR="003043E8" w:rsidRPr="00A85E3F" w:rsidRDefault="003043E8" w:rsidP="00BA25C2">
      <w:pPr>
        <w:pStyle w:val="Textpoznpodarou"/>
        <w:rPr>
          <w:sz w:val="16"/>
          <w:szCs w:val="16"/>
        </w:rPr>
      </w:pPr>
      <w:r w:rsidRPr="00A85E3F">
        <w:rPr>
          <w:rStyle w:val="Znakapoznpodarou"/>
          <w:color w:val="000000" w:themeColor="text1"/>
          <w:sz w:val="16"/>
          <w:szCs w:val="16"/>
        </w:rPr>
        <w:footnoteRef/>
      </w:r>
      <w:r w:rsidRPr="00A85E3F">
        <w:rPr>
          <w:color w:val="000000" w:themeColor="text1"/>
          <w:sz w:val="16"/>
          <w:szCs w:val="16"/>
        </w:rPr>
        <w:t xml:space="preserve"> </w:t>
      </w:r>
      <w:hyperlink r:id="rId1" w:history="1">
        <w:r w:rsidRPr="00A85E3F">
          <w:rPr>
            <w:rStyle w:val="Hypertextovodkaz"/>
            <w:color w:val="000000" w:themeColor="text1"/>
            <w:sz w:val="16"/>
            <w:szCs w:val="16"/>
          </w:rPr>
          <w:t>https://www.horizontevropa.cz/cs/struktura-programu-he/excelentni-veda/akce-marie-sklodowska-curie/informace?storiesType=0</w:t>
        </w:r>
      </w:hyperlink>
      <w:r w:rsidRPr="00A85E3F">
        <w:rPr>
          <w:color w:val="000000" w:themeColor="text1"/>
          <w:sz w:val="16"/>
          <w:szCs w:val="16"/>
        </w:rPr>
        <w:t xml:space="preserve"> </w:t>
      </w:r>
    </w:p>
  </w:footnote>
  <w:footnote w:id="8">
    <w:p w14:paraId="3D58FD10" w14:textId="77777777" w:rsidR="003043E8" w:rsidRPr="00A85E3F" w:rsidRDefault="003043E8" w:rsidP="00CC0854">
      <w:pPr>
        <w:pStyle w:val="Textkomente"/>
        <w:spacing w:before="0" w:after="0"/>
        <w:rPr>
          <w:rFonts w:asciiTheme="minorHAnsi" w:hAnsiTheme="minorHAnsi" w:cstheme="minorHAnsi"/>
          <w:sz w:val="16"/>
          <w:szCs w:val="16"/>
        </w:rPr>
      </w:pPr>
      <w:r w:rsidRPr="00A85E3F">
        <w:rPr>
          <w:rStyle w:val="Znakapoznpodarou"/>
          <w:rFonts w:asciiTheme="minorHAnsi" w:hAnsiTheme="minorHAnsi" w:cstheme="minorHAnsi"/>
          <w:color w:val="000000" w:themeColor="text1"/>
          <w:sz w:val="16"/>
          <w:szCs w:val="16"/>
        </w:rPr>
        <w:footnoteRef/>
      </w:r>
      <w:r w:rsidRPr="00A85E3F">
        <w:rPr>
          <w:rFonts w:asciiTheme="minorHAnsi" w:hAnsiTheme="minorHAnsi" w:cstheme="minorHAnsi"/>
          <w:color w:val="000000" w:themeColor="text1"/>
          <w:sz w:val="16"/>
          <w:szCs w:val="16"/>
        </w:rPr>
        <w:t xml:space="preserve"> Vohlídalová, M. (2014). Academic Mobility in the Context of Linked Lives. </w:t>
      </w:r>
      <w:r w:rsidRPr="00E04648">
        <w:rPr>
          <w:rFonts w:asciiTheme="minorHAnsi" w:hAnsiTheme="minorHAnsi" w:cstheme="minorHAnsi"/>
          <w:i/>
          <w:color w:val="000000" w:themeColor="text1"/>
          <w:sz w:val="16"/>
          <w:szCs w:val="16"/>
        </w:rPr>
        <w:t>Human Affaires</w:t>
      </w:r>
      <w:r w:rsidRPr="00A85E3F">
        <w:rPr>
          <w:rFonts w:asciiTheme="minorHAnsi" w:hAnsiTheme="minorHAnsi" w:cstheme="minorHAnsi"/>
          <w:color w:val="000000" w:themeColor="text1"/>
          <w:sz w:val="16"/>
          <w:szCs w:val="16"/>
        </w:rPr>
        <w:t xml:space="preserve"> 24 (1): 89-102.</w:t>
      </w:r>
    </w:p>
  </w:footnote>
  <w:footnote w:id="9">
    <w:p w14:paraId="19F1264B" w14:textId="77777777" w:rsidR="003043E8" w:rsidRDefault="003043E8" w:rsidP="00BA25C2">
      <w:pPr>
        <w:pStyle w:val="Textpoznpodarou"/>
      </w:pPr>
      <w:r>
        <w:rPr>
          <w:rStyle w:val="Znakapoznpodarou"/>
        </w:rPr>
        <w:footnoteRef/>
      </w:r>
      <w:r>
        <w:t xml:space="preserve"> </w:t>
      </w:r>
      <w:r w:rsidRPr="00C27515">
        <w:rPr>
          <w:sz w:val="16"/>
          <w:szCs w:val="16"/>
        </w:rPr>
        <w:t xml:space="preserve">Cidlinská, K. et al. (2018). </w:t>
      </w:r>
      <w:r w:rsidRPr="00E04648">
        <w:rPr>
          <w:i/>
          <w:sz w:val="16"/>
          <w:szCs w:val="16"/>
        </w:rPr>
        <w:t>Akademici</w:t>
      </w:r>
      <w:r>
        <w:rPr>
          <w:i/>
          <w:sz w:val="16"/>
          <w:szCs w:val="16"/>
        </w:rPr>
        <w:t xml:space="preserve"> a </w:t>
      </w:r>
      <w:r w:rsidRPr="00E04648">
        <w:rPr>
          <w:i/>
          <w:sz w:val="16"/>
          <w:szCs w:val="16"/>
        </w:rPr>
        <w:t>akademičky 2018: zpráva</w:t>
      </w:r>
      <w:r>
        <w:rPr>
          <w:i/>
          <w:sz w:val="16"/>
          <w:szCs w:val="16"/>
        </w:rPr>
        <w:t xml:space="preserve"> z </w:t>
      </w:r>
      <w:r w:rsidRPr="00E04648">
        <w:rPr>
          <w:i/>
          <w:sz w:val="16"/>
          <w:szCs w:val="16"/>
        </w:rPr>
        <w:t>kvalitativní studie veřejných akademických</w:t>
      </w:r>
      <w:r>
        <w:rPr>
          <w:i/>
          <w:sz w:val="16"/>
          <w:szCs w:val="16"/>
        </w:rPr>
        <w:t xml:space="preserve"> a </w:t>
      </w:r>
      <w:r w:rsidRPr="00E04648">
        <w:rPr>
          <w:i/>
          <w:sz w:val="16"/>
          <w:szCs w:val="16"/>
        </w:rPr>
        <w:t>výzkumných pracovišť.</w:t>
      </w:r>
      <w:r w:rsidRPr="00C27515">
        <w:rPr>
          <w:sz w:val="16"/>
          <w:szCs w:val="16"/>
        </w:rPr>
        <w:t xml:space="preserve"> Sociologický ústav AV ČR, v.v.i,</w:t>
      </w:r>
    </w:p>
  </w:footnote>
  <w:footnote w:id="10">
    <w:p w14:paraId="5356D460" w14:textId="77777777" w:rsidR="003043E8" w:rsidRPr="00FF1632" w:rsidRDefault="003043E8" w:rsidP="00BA25C2">
      <w:pPr>
        <w:pStyle w:val="Textpoznpodarou"/>
        <w:rPr>
          <w:sz w:val="16"/>
          <w:szCs w:val="16"/>
        </w:rPr>
      </w:pPr>
      <w:r w:rsidRPr="0090736C">
        <w:rPr>
          <w:rStyle w:val="Znakapoznpodarou"/>
          <w:rFonts w:cstheme="minorHAnsi"/>
          <w:sz w:val="16"/>
          <w:szCs w:val="16"/>
        </w:rPr>
        <w:footnoteRef/>
      </w:r>
      <w:r w:rsidRPr="0090736C">
        <w:rPr>
          <w:rFonts w:cstheme="minorHAnsi"/>
          <w:sz w:val="16"/>
          <w:szCs w:val="16"/>
        </w:rPr>
        <w:t xml:space="preserve"> Vohlídalová, M. (2008). </w:t>
      </w:r>
      <w:r w:rsidRPr="0090736C">
        <w:rPr>
          <w:rFonts w:cstheme="minorHAnsi"/>
          <w:i/>
          <w:sz w:val="16"/>
          <w:szCs w:val="16"/>
        </w:rPr>
        <w:t>Akademici</w:t>
      </w:r>
      <w:r>
        <w:rPr>
          <w:rFonts w:cstheme="minorHAnsi"/>
          <w:i/>
          <w:sz w:val="16"/>
          <w:szCs w:val="16"/>
        </w:rPr>
        <w:t xml:space="preserve"> a </w:t>
      </w:r>
      <w:r w:rsidRPr="0090736C">
        <w:rPr>
          <w:rFonts w:cstheme="minorHAnsi"/>
          <w:i/>
          <w:sz w:val="16"/>
          <w:szCs w:val="16"/>
        </w:rPr>
        <w:t>akademičky 2018: zpráva</w:t>
      </w:r>
      <w:r>
        <w:rPr>
          <w:rFonts w:cstheme="minorHAnsi"/>
          <w:i/>
          <w:sz w:val="16"/>
          <w:szCs w:val="16"/>
        </w:rPr>
        <w:t xml:space="preserve"> z </w:t>
      </w:r>
      <w:r w:rsidRPr="0090736C">
        <w:rPr>
          <w:rFonts w:cstheme="minorHAnsi"/>
          <w:i/>
          <w:sz w:val="16"/>
          <w:szCs w:val="16"/>
        </w:rPr>
        <w:t>dotazníkového šetření akademických</w:t>
      </w:r>
      <w:r>
        <w:rPr>
          <w:rFonts w:cstheme="minorHAnsi"/>
          <w:i/>
          <w:sz w:val="16"/>
          <w:szCs w:val="16"/>
        </w:rPr>
        <w:t xml:space="preserve"> a </w:t>
      </w:r>
      <w:r w:rsidRPr="0090736C">
        <w:rPr>
          <w:rFonts w:cstheme="minorHAnsi"/>
          <w:i/>
          <w:sz w:val="16"/>
          <w:szCs w:val="16"/>
        </w:rPr>
        <w:t>vědeckých pracovnic</w:t>
      </w:r>
      <w:r>
        <w:rPr>
          <w:rFonts w:cstheme="minorHAnsi"/>
          <w:i/>
          <w:sz w:val="16"/>
          <w:szCs w:val="16"/>
        </w:rPr>
        <w:t xml:space="preserve"> a </w:t>
      </w:r>
      <w:r w:rsidRPr="0090736C">
        <w:rPr>
          <w:rFonts w:cstheme="minorHAnsi"/>
          <w:i/>
          <w:sz w:val="16"/>
          <w:szCs w:val="16"/>
        </w:rPr>
        <w:t>pracovníků ve veřejném sektoru</w:t>
      </w:r>
      <w:r w:rsidRPr="0090736C">
        <w:rPr>
          <w:rFonts w:cstheme="minorHAnsi"/>
          <w:sz w:val="16"/>
          <w:szCs w:val="16"/>
        </w:rPr>
        <w:t>. Sociologický ústav AV ČR, v. v. i.</w:t>
      </w:r>
    </w:p>
  </w:footnote>
  <w:footnote w:id="11">
    <w:p w14:paraId="451E4B81" w14:textId="77777777" w:rsidR="003043E8" w:rsidRPr="004B0688" w:rsidRDefault="003043E8" w:rsidP="00BA25C2">
      <w:pPr>
        <w:pStyle w:val="Textpoznpodarou"/>
        <w:rPr>
          <w:rFonts w:cstheme="minorHAnsi"/>
          <w:color w:val="000000" w:themeColor="text1"/>
          <w:sz w:val="16"/>
          <w:szCs w:val="16"/>
        </w:rPr>
      </w:pPr>
      <w:r w:rsidRPr="004B0688">
        <w:rPr>
          <w:rStyle w:val="Znakapoznpodarou"/>
          <w:rFonts w:cstheme="minorHAnsi"/>
          <w:color w:val="000000" w:themeColor="text1"/>
          <w:sz w:val="16"/>
          <w:szCs w:val="16"/>
        </w:rPr>
        <w:footnoteRef/>
      </w:r>
      <w:r w:rsidRPr="004B0688">
        <w:rPr>
          <w:rFonts w:cstheme="minorHAnsi"/>
          <w:color w:val="000000" w:themeColor="text1"/>
          <w:sz w:val="16"/>
          <w:szCs w:val="16"/>
        </w:rPr>
        <w:t xml:space="preserve"> </w:t>
      </w:r>
      <w:hyperlink r:id="rId2" w:history="1">
        <w:r w:rsidRPr="004B0688">
          <w:rPr>
            <w:rStyle w:val="Hypertextovodkaz"/>
            <w:rFonts w:cstheme="minorHAnsi"/>
            <w:color w:val="000000" w:themeColor="text1"/>
            <w:sz w:val="16"/>
            <w:szCs w:val="16"/>
          </w:rPr>
          <w:t>https://www.euraxess.cz/cs</w:t>
        </w:r>
      </w:hyperlink>
      <w:r w:rsidRPr="004B0688">
        <w:rPr>
          <w:rFonts w:cstheme="minorHAnsi"/>
          <w:color w:val="000000" w:themeColor="text1"/>
          <w:sz w:val="16"/>
          <w:szCs w:val="16"/>
        </w:rPr>
        <w:t xml:space="preserve">. </w:t>
      </w:r>
    </w:p>
  </w:footnote>
  <w:footnote w:id="12">
    <w:p w14:paraId="36436B88" w14:textId="77777777" w:rsidR="003043E8" w:rsidRPr="00415E21" w:rsidRDefault="003043E8" w:rsidP="00BA25C2">
      <w:pPr>
        <w:pStyle w:val="Textpoznpodarou"/>
        <w:rPr>
          <w:rFonts w:asciiTheme="majorHAnsi" w:hAnsiTheme="majorHAnsi" w:cstheme="majorHAnsi"/>
          <w:color w:val="002060"/>
          <w:szCs w:val="18"/>
        </w:rPr>
      </w:pPr>
      <w:r w:rsidRPr="004B0688">
        <w:rPr>
          <w:rStyle w:val="Znakapoznpodarou"/>
          <w:rFonts w:cstheme="minorHAnsi"/>
          <w:color w:val="000000" w:themeColor="text1"/>
          <w:sz w:val="16"/>
          <w:szCs w:val="16"/>
        </w:rPr>
        <w:footnoteRef/>
      </w:r>
      <w:r w:rsidRPr="004B0688">
        <w:rPr>
          <w:rFonts w:cstheme="minorHAnsi"/>
          <w:color w:val="000000" w:themeColor="text1"/>
          <w:sz w:val="16"/>
          <w:szCs w:val="16"/>
        </w:rPr>
        <w:t xml:space="preserve"> </w:t>
      </w:r>
      <w:hyperlink r:id="rId3" w:history="1">
        <w:r w:rsidRPr="004B0688">
          <w:rPr>
            <w:rFonts w:cstheme="minorHAnsi"/>
            <w:color w:val="000000" w:themeColor="text1"/>
            <w:sz w:val="16"/>
            <w:szCs w:val="16"/>
            <w:u w:val="single"/>
          </w:rPr>
          <w:t>https://eupro.vscht.cz/pradip</w:t>
        </w:r>
      </w:hyperlink>
      <w:r w:rsidRPr="004B0688">
        <w:rPr>
          <w:rFonts w:cstheme="minorHAnsi"/>
          <w:color w:val="000000" w:themeColor="text1"/>
          <w:sz w:val="16"/>
          <w:szCs w:val="16"/>
          <w:u w:val="single"/>
        </w:rPr>
        <w:t>.</w:t>
      </w:r>
    </w:p>
  </w:footnote>
  <w:footnote w:id="13">
    <w:p w14:paraId="538107D0" w14:textId="77777777" w:rsidR="003043E8" w:rsidRPr="00302D78" w:rsidRDefault="003043E8" w:rsidP="00BA25C2">
      <w:pPr>
        <w:pStyle w:val="Textpoznpodarou"/>
        <w:rPr>
          <w:rFonts w:cstheme="minorHAnsi"/>
          <w:color w:val="002060"/>
          <w:sz w:val="16"/>
          <w:szCs w:val="16"/>
        </w:rPr>
      </w:pPr>
      <w:r w:rsidRPr="00302D78">
        <w:rPr>
          <w:rStyle w:val="Znakapoznpodarou"/>
          <w:rFonts w:cstheme="minorHAnsi"/>
          <w:color w:val="000000" w:themeColor="text1"/>
          <w:sz w:val="16"/>
          <w:szCs w:val="16"/>
        </w:rPr>
        <w:footnoteRef/>
      </w:r>
      <w:r w:rsidRPr="00302D78">
        <w:rPr>
          <w:rFonts w:cstheme="minorHAnsi"/>
          <w:color w:val="000000" w:themeColor="text1"/>
          <w:sz w:val="16"/>
          <w:szCs w:val="16"/>
        </w:rPr>
        <w:t xml:space="preserve"> Anna Mittnerová, 6.4.2022.</w:t>
      </w:r>
    </w:p>
  </w:footnote>
  <w:footnote w:id="14">
    <w:p w14:paraId="18159460" w14:textId="77777777" w:rsidR="003043E8" w:rsidRPr="00265569" w:rsidRDefault="003043E8" w:rsidP="00BA25C2">
      <w:pPr>
        <w:pStyle w:val="Textpoznpodarou"/>
        <w:rPr>
          <w:sz w:val="16"/>
          <w:szCs w:val="16"/>
        </w:rPr>
      </w:pPr>
      <w:r w:rsidRPr="00265569">
        <w:rPr>
          <w:rStyle w:val="Znakapoznpodarou"/>
          <w:sz w:val="16"/>
          <w:szCs w:val="16"/>
        </w:rPr>
        <w:footnoteRef/>
      </w:r>
      <w:r w:rsidRPr="00265569">
        <w:rPr>
          <w:sz w:val="16"/>
          <w:szCs w:val="16"/>
        </w:rPr>
        <w:t xml:space="preserve"> Šolcová, K. (2019). </w:t>
      </w:r>
      <w:r w:rsidRPr="00265569">
        <w:rPr>
          <w:i/>
          <w:sz w:val="16"/>
          <w:szCs w:val="16"/>
        </w:rPr>
        <w:t>Martina Ulvrová: Nebojte se networkingu</w:t>
      </w:r>
      <w:r w:rsidRPr="00265569">
        <w:rPr>
          <w:sz w:val="16"/>
          <w:szCs w:val="16"/>
        </w:rPr>
        <w:t>. Dostupné z: https://vedavyzkum.cz/rozhovory/rozhovory/martina-ulvrova-nebojte-se-networkingu</w:t>
      </w:r>
    </w:p>
  </w:footnote>
  <w:footnote w:id="15">
    <w:p w14:paraId="0EE9EA3D" w14:textId="77777777" w:rsidR="003043E8" w:rsidRPr="00C82293" w:rsidRDefault="003043E8" w:rsidP="00BA25C2">
      <w:pPr>
        <w:pStyle w:val="Textpoznpodarou"/>
        <w:rPr>
          <w:sz w:val="16"/>
          <w:szCs w:val="16"/>
        </w:rPr>
      </w:pPr>
      <w:r w:rsidRPr="00C82293">
        <w:rPr>
          <w:rStyle w:val="Znakapoznpodarou"/>
          <w:sz w:val="16"/>
          <w:szCs w:val="16"/>
        </w:rPr>
        <w:footnoteRef/>
      </w:r>
      <w:r w:rsidRPr="00C82293">
        <w:rPr>
          <w:sz w:val="16"/>
          <w:szCs w:val="16"/>
        </w:rPr>
        <w:t xml:space="preserve"> Vohlídalová, M. (2008). Akademici</w:t>
      </w:r>
      <w:r>
        <w:rPr>
          <w:sz w:val="16"/>
          <w:szCs w:val="16"/>
        </w:rPr>
        <w:t xml:space="preserve"> a </w:t>
      </w:r>
      <w:r w:rsidRPr="00C82293">
        <w:rPr>
          <w:sz w:val="16"/>
          <w:szCs w:val="16"/>
        </w:rPr>
        <w:t>akademičky 2018: zpráva</w:t>
      </w:r>
      <w:r>
        <w:rPr>
          <w:sz w:val="16"/>
          <w:szCs w:val="16"/>
        </w:rPr>
        <w:t xml:space="preserve"> z </w:t>
      </w:r>
      <w:r w:rsidRPr="00C82293">
        <w:rPr>
          <w:sz w:val="16"/>
          <w:szCs w:val="16"/>
        </w:rPr>
        <w:t>dotazníkového šetření akademických</w:t>
      </w:r>
      <w:r>
        <w:rPr>
          <w:sz w:val="16"/>
          <w:szCs w:val="16"/>
        </w:rPr>
        <w:t xml:space="preserve"> a </w:t>
      </w:r>
      <w:r w:rsidRPr="00C82293">
        <w:rPr>
          <w:sz w:val="16"/>
          <w:szCs w:val="16"/>
        </w:rPr>
        <w:t>vědeckých pracovnic</w:t>
      </w:r>
      <w:r>
        <w:rPr>
          <w:sz w:val="16"/>
          <w:szCs w:val="16"/>
        </w:rPr>
        <w:t xml:space="preserve"> a </w:t>
      </w:r>
      <w:r w:rsidRPr="00C82293">
        <w:rPr>
          <w:sz w:val="16"/>
          <w:szCs w:val="16"/>
        </w:rPr>
        <w:t>pracovníků ve veřejném sektoru. Sociologický ústav AV ČR, v. v. i.</w:t>
      </w:r>
    </w:p>
  </w:footnote>
  <w:footnote w:id="16">
    <w:p w14:paraId="3ECBE4F3" w14:textId="77777777" w:rsidR="003043E8" w:rsidRPr="00C82293" w:rsidRDefault="003043E8" w:rsidP="00BA25C2">
      <w:pPr>
        <w:pStyle w:val="Textpoznpodarou"/>
        <w:rPr>
          <w:sz w:val="16"/>
          <w:szCs w:val="16"/>
        </w:rPr>
      </w:pPr>
      <w:r w:rsidRPr="00C82293">
        <w:rPr>
          <w:rStyle w:val="Znakapoznpodarou"/>
          <w:sz w:val="16"/>
          <w:szCs w:val="16"/>
        </w:rPr>
        <w:footnoteRef/>
      </w:r>
      <w:r w:rsidRPr="00C82293">
        <w:rPr>
          <w:sz w:val="16"/>
          <w:szCs w:val="16"/>
        </w:rPr>
        <w:t xml:space="preserve"> Cidlinská, K. et al. (2018). Akademici</w:t>
      </w:r>
      <w:r>
        <w:rPr>
          <w:sz w:val="16"/>
          <w:szCs w:val="16"/>
        </w:rPr>
        <w:t xml:space="preserve"> a </w:t>
      </w:r>
      <w:r w:rsidRPr="00C82293">
        <w:rPr>
          <w:sz w:val="16"/>
          <w:szCs w:val="16"/>
        </w:rPr>
        <w:t>akademičky 2018: zpráva</w:t>
      </w:r>
      <w:r>
        <w:rPr>
          <w:sz w:val="16"/>
          <w:szCs w:val="16"/>
        </w:rPr>
        <w:t xml:space="preserve"> z </w:t>
      </w:r>
      <w:r w:rsidRPr="00C82293">
        <w:rPr>
          <w:sz w:val="16"/>
          <w:szCs w:val="16"/>
        </w:rPr>
        <w:t>kvalitativní studie veřejných akademických</w:t>
      </w:r>
      <w:r>
        <w:rPr>
          <w:sz w:val="16"/>
          <w:szCs w:val="16"/>
        </w:rPr>
        <w:t xml:space="preserve"> a </w:t>
      </w:r>
      <w:r w:rsidRPr="00C82293">
        <w:rPr>
          <w:sz w:val="16"/>
          <w:szCs w:val="16"/>
        </w:rPr>
        <w:t>výzkumných pracovišť. Sociologický ústav AV ČR, v.</w:t>
      </w:r>
      <w:r w:rsidR="00F168D7">
        <w:rPr>
          <w:sz w:val="16"/>
          <w:szCs w:val="16"/>
        </w:rPr>
        <w:t xml:space="preserve"> </w:t>
      </w:r>
      <w:r w:rsidRPr="00C82293">
        <w:rPr>
          <w:sz w:val="16"/>
          <w:szCs w:val="16"/>
        </w:rPr>
        <w:t>v.</w:t>
      </w:r>
      <w:r w:rsidR="00F168D7">
        <w:rPr>
          <w:sz w:val="16"/>
          <w:szCs w:val="16"/>
        </w:rPr>
        <w:t xml:space="preserve"> i.</w:t>
      </w:r>
    </w:p>
  </w:footnote>
  <w:footnote w:id="17">
    <w:p w14:paraId="2F1B205C" w14:textId="77777777" w:rsidR="003043E8" w:rsidRPr="00576AF7" w:rsidRDefault="003043E8" w:rsidP="00BA25C2">
      <w:pPr>
        <w:pStyle w:val="Textpoznpodarou"/>
        <w:rPr>
          <w:rFonts w:cstheme="minorHAnsi"/>
          <w:sz w:val="16"/>
          <w:szCs w:val="16"/>
        </w:rPr>
      </w:pPr>
      <w:r w:rsidRPr="00576AF7">
        <w:rPr>
          <w:rStyle w:val="Znakapoznpodarou"/>
          <w:rFonts w:cstheme="minorHAnsi"/>
          <w:color w:val="000000" w:themeColor="text1"/>
          <w:sz w:val="16"/>
          <w:szCs w:val="16"/>
        </w:rPr>
        <w:footnoteRef/>
      </w:r>
      <w:r w:rsidRPr="00576AF7">
        <w:rPr>
          <w:rFonts w:cstheme="minorHAnsi"/>
          <w:color w:val="000000" w:themeColor="text1"/>
          <w:sz w:val="16"/>
          <w:szCs w:val="16"/>
        </w:rPr>
        <w:t xml:space="preserve"> </w:t>
      </w:r>
      <w:r w:rsidRPr="00576AF7">
        <w:rPr>
          <w:rFonts w:eastAsia="Calibri" w:cstheme="minorHAnsi"/>
          <w:color w:val="000000" w:themeColor="text1"/>
          <w:sz w:val="16"/>
          <w:szCs w:val="16"/>
        </w:rPr>
        <w:t xml:space="preserve">Kuchařová, V., et al. </w:t>
      </w:r>
      <w:r w:rsidRPr="00E04648">
        <w:rPr>
          <w:rFonts w:eastAsia="Calibri" w:cstheme="minorHAnsi"/>
          <w:i/>
          <w:color w:val="000000" w:themeColor="text1"/>
          <w:sz w:val="16"/>
          <w:szCs w:val="16"/>
        </w:rPr>
        <w:t>Zpráva</w:t>
      </w:r>
      <w:r>
        <w:rPr>
          <w:rFonts w:eastAsia="Calibri" w:cstheme="minorHAnsi"/>
          <w:i/>
          <w:color w:val="000000" w:themeColor="text1"/>
          <w:sz w:val="16"/>
          <w:szCs w:val="16"/>
        </w:rPr>
        <w:t xml:space="preserve"> o </w:t>
      </w:r>
      <w:r w:rsidRPr="00E04648">
        <w:rPr>
          <w:rFonts w:eastAsia="Calibri" w:cstheme="minorHAnsi"/>
          <w:i/>
          <w:color w:val="000000" w:themeColor="text1"/>
          <w:sz w:val="16"/>
          <w:szCs w:val="16"/>
        </w:rPr>
        <w:t>rodině 2020</w:t>
      </w:r>
      <w:r w:rsidRPr="00576AF7">
        <w:rPr>
          <w:rFonts w:eastAsia="Calibri" w:cstheme="minorHAnsi"/>
          <w:color w:val="000000" w:themeColor="text1"/>
          <w:sz w:val="16"/>
          <w:szCs w:val="16"/>
        </w:rPr>
        <w:t xml:space="preserve">. Dostupné z: </w:t>
      </w:r>
      <w:r w:rsidRPr="00576AF7">
        <w:rPr>
          <w:rStyle w:val="Hypertextovodkaz"/>
          <w:rFonts w:eastAsia="Calibri" w:cstheme="minorHAnsi"/>
          <w:color w:val="000000" w:themeColor="text1"/>
          <w:sz w:val="16"/>
          <w:szCs w:val="16"/>
        </w:rPr>
        <w:t>https://www.mpsv.cz/documents/20142/225508/Zpr%C3%A1va+o+rodin%C4%9B+2020.pdf/c3bdc63d-9c95-497d-bded-6a15e9890abd</w:t>
      </w:r>
    </w:p>
  </w:footnote>
  <w:footnote w:id="18">
    <w:p w14:paraId="3EB53A58" w14:textId="77777777" w:rsidR="003043E8" w:rsidRPr="00D57023" w:rsidRDefault="003043E8" w:rsidP="00BF5498">
      <w:pPr>
        <w:pStyle w:val="Textpoznpodarou"/>
        <w:jc w:val="left"/>
        <w:rPr>
          <w:sz w:val="16"/>
          <w:szCs w:val="16"/>
        </w:rPr>
      </w:pPr>
      <w:r w:rsidRPr="00D57023">
        <w:rPr>
          <w:rStyle w:val="Znakapoznpodarou"/>
          <w:sz w:val="16"/>
          <w:szCs w:val="16"/>
        </w:rPr>
        <w:footnoteRef/>
      </w:r>
      <w:r w:rsidRPr="00D57023">
        <w:rPr>
          <w:sz w:val="16"/>
          <w:szCs w:val="16"/>
        </w:rPr>
        <w:t xml:space="preserve"> Viz ERC, MSCA, EMBO či HSP (viz publikace Grants, Research and Parenthood: http://genderaveda.cz/vyzkum-granty-rodicovstvi/), u nás také GA ČR</w:t>
      </w:r>
    </w:p>
  </w:footnote>
  <w:footnote w:id="19">
    <w:p w14:paraId="498C2267" w14:textId="77777777" w:rsidR="003043E8" w:rsidRPr="00C63A59" w:rsidRDefault="003043E8" w:rsidP="00BF5498">
      <w:pPr>
        <w:pStyle w:val="Textpoznpodarou"/>
        <w:jc w:val="left"/>
        <w:rPr>
          <w:sz w:val="16"/>
          <w:szCs w:val="16"/>
        </w:rPr>
      </w:pPr>
      <w:r w:rsidRPr="00C63A59">
        <w:rPr>
          <w:rStyle w:val="Znakapoznpodarou"/>
          <w:sz w:val="16"/>
          <w:szCs w:val="16"/>
        </w:rPr>
        <w:footnoteRef/>
      </w:r>
      <w:r w:rsidRPr="00C63A59">
        <w:rPr>
          <w:sz w:val="16"/>
          <w:szCs w:val="16"/>
        </w:rPr>
        <w:t xml:space="preserve"> Viz např. Christiane Nusslein-Volhard-Stiftung (GER) http://www.cnv-stiftung.de/index.php?id=2, MPG (GER): https://www.mpg.de/11406090/Kleinstkinderbetreuung---Flyer_en.pdf,</w:t>
      </w:r>
      <w:r>
        <w:t xml:space="preserve"> </w:t>
      </w:r>
      <w:r w:rsidRPr="00C63A59">
        <w:rPr>
          <w:sz w:val="16"/>
          <w:szCs w:val="16"/>
        </w:rPr>
        <w:t>http://www.gendermed.at/index.php/kinderbetreuung-a-vereinbarkeit/aktion-wiedereinstieg.html, SNF (CH): https://www.snf.ch/en/ovil4ntsX4h2jEiU/funding/supplementa</w:t>
      </w:r>
      <w:r>
        <w:rPr>
          <w:sz w:val="16"/>
          <w:szCs w:val="16"/>
        </w:rPr>
        <w:t xml:space="preserve">ry-measures/flexibility-grant. </w:t>
      </w:r>
    </w:p>
  </w:footnote>
  <w:footnote w:id="20">
    <w:p w14:paraId="20109A7E" w14:textId="77777777" w:rsidR="003043E8" w:rsidRPr="00C63A59" w:rsidRDefault="003043E8" w:rsidP="00BF5498">
      <w:pPr>
        <w:pStyle w:val="Textpoznpodarou"/>
        <w:jc w:val="left"/>
        <w:rPr>
          <w:sz w:val="16"/>
          <w:szCs w:val="16"/>
        </w:rPr>
      </w:pPr>
      <w:r w:rsidRPr="00C63A59">
        <w:rPr>
          <w:rStyle w:val="Znakapoznpodarou"/>
          <w:sz w:val="16"/>
          <w:szCs w:val="16"/>
        </w:rPr>
        <w:footnoteRef/>
      </w:r>
      <w:r w:rsidRPr="00C63A59">
        <w:rPr>
          <w:sz w:val="16"/>
          <w:szCs w:val="16"/>
        </w:rPr>
        <w:t xml:space="preserve"> </w:t>
      </w:r>
      <w:r>
        <w:rPr>
          <w:sz w:val="16"/>
          <w:szCs w:val="16"/>
        </w:rPr>
        <w:t xml:space="preserve"> </w:t>
      </w:r>
      <w:r w:rsidRPr="00C63A59">
        <w:rPr>
          <w:sz w:val="16"/>
          <w:szCs w:val="16"/>
        </w:rPr>
        <w:t xml:space="preserve">Např. Deutsche Forschungsgemeinschaft (GER). Compensation for Absence or Part-Time Work of Project Staff. Dostupné z: </w:t>
      </w:r>
      <w:hyperlink r:id="rId4" w:history="1">
        <w:r w:rsidRPr="00E04648">
          <w:rPr>
            <w:rStyle w:val="Hypertextovodkaz"/>
            <w:sz w:val="16"/>
            <w:szCs w:val="16"/>
          </w:rPr>
          <w:t>https://www.dfg.de/en/research_funding/principles_dfg_funding/equal_opportunities/measures/compensation_maternity_leave/index.html</w:t>
        </w:r>
      </w:hyperlink>
      <w:r w:rsidRPr="00E04648">
        <w:rPr>
          <w:sz w:val="16"/>
          <w:szCs w:val="16"/>
        </w:rPr>
        <w:t xml:space="preserve"> </w:t>
      </w:r>
    </w:p>
  </w:footnote>
  <w:footnote w:id="21">
    <w:p w14:paraId="38039BC8" w14:textId="77777777" w:rsidR="003043E8" w:rsidRDefault="003043E8" w:rsidP="00BF5498">
      <w:pPr>
        <w:pStyle w:val="Textpoznpodarou"/>
        <w:jc w:val="left"/>
      </w:pPr>
      <w:r w:rsidRPr="00C63A59">
        <w:rPr>
          <w:rStyle w:val="Znakapoznpodarou"/>
          <w:sz w:val="16"/>
          <w:szCs w:val="16"/>
        </w:rPr>
        <w:footnoteRef/>
      </w:r>
      <w:r w:rsidRPr="00C63A59">
        <w:rPr>
          <w:sz w:val="16"/>
          <w:szCs w:val="16"/>
        </w:rPr>
        <w:t xml:space="preserve"> Viz SNF (CH): https://www.snf.ch/en/lmtHcFYxD213PsnU/news/news-160502-call-for-proposals-marie-heim-voegtlin-grants</w:t>
      </w:r>
    </w:p>
  </w:footnote>
  <w:footnote w:id="22">
    <w:p w14:paraId="7D7C107C" w14:textId="77777777" w:rsidR="003043E8" w:rsidRPr="00A667BC" w:rsidRDefault="003043E8" w:rsidP="00BF5498">
      <w:pPr>
        <w:pStyle w:val="Textpoznpodarou"/>
        <w:jc w:val="left"/>
        <w:rPr>
          <w:sz w:val="16"/>
          <w:szCs w:val="16"/>
        </w:rPr>
      </w:pPr>
      <w:r w:rsidRPr="00A667BC">
        <w:rPr>
          <w:rStyle w:val="Znakapoznpodarou"/>
          <w:sz w:val="16"/>
          <w:szCs w:val="16"/>
        </w:rPr>
        <w:footnoteRef/>
      </w:r>
      <w:r w:rsidR="00F168D7">
        <w:rPr>
          <w:sz w:val="16"/>
          <w:szCs w:val="16"/>
        </w:rPr>
        <w:t xml:space="preserve"> NKC G</w:t>
      </w:r>
      <w:r w:rsidRPr="00A667BC">
        <w:rPr>
          <w:sz w:val="16"/>
          <w:szCs w:val="16"/>
        </w:rPr>
        <w:t>ender</w:t>
      </w:r>
      <w:r>
        <w:rPr>
          <w:sz w:val="16"/>
          <w:szCs w:val="16"/>
        </w:rPr>
        <w:t xml:space="preserve"> a </w:t>
      </w:r>
      <w:r w:rsidR="00F168D7">
        <w:rPr>
          <w:sz w:val="16"/>
          <w:szCs w:val="16"/>
        </w:rPr>
        <w:t>věda. (2022)</w:t>
      </w:r>
      <w:r w:rsidRPr="00A667BC">
        <w:rPr>
          <w:sz w:val="16"/>
          <w:szCs w:val="16"/>
        </w:rPr>
        <w:t>.</w:t>
      </w:r>
      <w:r w:rsidR="00F168D7">
        <w:rPr>
          <w:sz w:val="16"/>
          <w:szCs w:val="16"/>
        </w:rPr>
        <w:t xml:space="preserve"> </w:t>
      </w:r>
      <w:r w:rsidRPr="00265569">
        <w:rPr>
          <w:i/>
          <w:sz w:val="16"/>
          <w:szCs w:val="16"/>
        </w:rPr>
        <w:t>Poptávané péče u akademických pracovnic</w:t>
      </w:r>
      <w:r>
        <w:rPr>
          <w:i/>
          <w:sz w:val="16"/>
          <w:szCs w:val="16"/>
        </w:rPr>
        <w:t xml:space="preserve"> a </w:t>
      </w:r>
      <w:r w:rsidRPr="00265569">
        <w:rPr>
          <w:i/>
          <w:sz w:val="16"/>
          <w:szCs w:val="16"/>
        </w:rPr>
        <w:t>pracovníků výstupy ankety: preference</w:t>
      </w:r>
      <w:r>
        <w:rPr>
          <w:i/>
          <w:sz w:val="16"/>
          <w:szCs w:val="16"/>
        </w:rPr>
        <w:t xml:space="preserve"> a </w:t>
      </w:r>
      <w:r w:rsidRPr="00265569">
        <w:rPr>
          <w:i/>
          <w:sz w:val="16"/>
          <w:szCs w:val="16"/>
        </w:rPr>
        <w:t>náklady</w:t>
      </w:r>
      <w:r w:rsidRPr="00A667BC">
        <w:rPr>
          <w:sz w:val="16"/>
          <w:szCs w:val="16"/>
        </w:rPr>
        <w:t xml:space="preserve">. </w:t>
      </w:r>
    </w:p>
  </w:footnote>
  <w:footnote w:id="23">
    <w:p w14:paraId="1B91542B" w14:textId="77777777" w:rsidR="003043E8" w:rsidRDefault="003043E8" w:rsidP="00BF5498">
      <w:pPr>
        <w:pStyle w:val="Textpoznpodarou"/>
        <w:jc w:val="left"/>
      </w:pPr>
      <w:r w:rsidRPr="005E1F6D">
        <w:rPr>
          <w:rStyle w:val="Znakapoznpodarou"/>
          <w:sz w:val="16"/>
          <w:szCs w:val="16"/>
        </w:rPr>
        <w:footnoteRef/>
      </w:r>
      <w:r w:rsidRPr="005E1F6D">
        <w:rPr>
          <w:sz w:val="16"/>
          <w:szCs w:val="16"/>
        </w:rPr>
        <w:t xml:space="preserve"> Linková, M. et al. (2018). </w:t>
      </w:r>
      <w:r w:rsidRPr="00265569">
        <w:rPr>
          <w:i/>
          <w:sz w:val="16"/>
          <w:szCs w:val="16"/>
        </w:rPr>
        <w:t>Akademici</w:t>
      </w:r>
      <w:r>
        <w:rPr>
          <w:i/>
          <w:sz w:val="16"/>
          <w:szCs w:val="16"/>
        </w:rPr>
        <w:t xml:space="preserve"> a </w:t>
      </w:r>
      <w:r w:rsidRPr="00265569">
        <w:rPr>
          <w:i/>
          <w:sz w:val="16"/>
          <w:szCs w:val="16"/>
        </w:rPr>
        <w:t>akademičky 2018: Návrhy opatření na podporu rovnosti ve výzkumném</w:t>
      </w:r>
      <w:r>
        <w:rPr>
          <w:i/>
          <w:sz w:val="16"/>
          <w:szCs w:val="16"/>
        </w:rPr>
        <w:t xml:space="preserve"> a </w:t>
      </w:r>
      <w:r w:rsidRPr="00265569">
        <w:rPr>
          <w:i/>
          <w:sz w:val="16"/>
          <w:szCs w:val="16"/>
        </w:rPr>
        <w:t>vysokoškolském prostředí</w:t>
      </w:r>
      <w:r w:rsidRPr="005E1F6D">
        <w:rPr>
          <w:sz w:val="16"/>
          <w:szCs w:val="16"/>
        </w:rPr>
        <w:t>. Sociologický ústav AV ČR, v. v. i.</w:t>
      </w:r>
    </w:p>
  </w:footnote>
  <w:footnote w:id="24">
    <w:p w14:paraId="3156B77C" w14:textId="77777777" w:rsidR="003043E8" w:rsidRPr="00C27515" w:rsidRDefault="003043E8" w:rsidP="00BF5498">
      <w:pPr>
        <w:pStyle w:val="Textpoznpodarou"/>
        <w:jc w:val="left"/>
        <w:rPr>
          <w:sz w:val="16"/>
          <w:szCs w:val="16"/>
        </w:rPr>
      </w:pPr>
      <w:r w:rsidRPr="00724777">
        <w:rPr>
          <w:rStyle w:val="Znakapoznpodarou"/>
          <w:color w:val="000000" w:themeColor="text1"/>
          <w:sz w:val="16"/>
          <w:szCs w:val="16"/>
        </w:rPr>
        <w:footnoteRef/>
      </w:r>
      <w:r w:rsidRPr="00724777">
        <w:rPr>
          <w:color w:val="000000" w:themeColor="text1"/>
          <w:sz w:val="16"/>
          <w:szCs w:val="16"/>
        </w:rPr>
        <w:t xml:space="preserve"> European Commission. International cooperation. </w:t>
      </w:r>
      <w:hyperlink r:id="rId5" w:history="1">
        <w:r w:rsidRPr="00C27515">
          <w:rPr>
            <w:rStyle w:val="Hypertextovodkaz"/>
            <w:color w:val="000000" w:themeColor="text1"/>
            <w:sz w:val="16"/>
            <w:szCs w:val="16"/>
          </w:rPr>
          <w:t>https://research-and-innovation.ec.europa.eu/strategy/strategy-2020-2024/europe-world/international-cooperation_en</w:t>
        </w:r>
      </w:hyperlink>
      <w:r w:rsidRPr="00C27515">
        <w:rPr>
          <w:color w:val="000000" w:themeColor="text1"/>
          <w:sz w:val="16"/>
          <w:szCs w:val="16"/>
        </w:rPr>
        <w:t xml:space="preserve"> </w:t>
      </w:r>
    </w:p>
  </w:footnote>
  <w:footnote w:id="25">
    <w:p w14:paraId="66C9DCEC" w14:textId="77777777" w:rsidR="003043E8" w:rsidRDefault="003043E8" w:rsidP="00BF5498">
      <w:pPr>
        <w:pStyle w:val="Textpoznpodarou"/>
        <w:jc w:val="left"/>
      </w:pPr>
      <w:r w:rsidRPr="00C27515">
        <w:rPr>
          <w:rStyle w:val="Znakapoznpodarou"/>
          <w:sz w:val="16"/>
          <w:szCs w:val="16"/>
        </w:rPr>
        <w:footnoteRef/>
      </w:r>
      <w:r w:rsidRPr="00C27515">
        <w:rPr>
          <w:sz w:val="16"/>
          <w:szCs w:val="16"/>
        </w:rPr>
        <w:t xml:space="preserve"> Cidlinská, K. et al. (2018). </w:t>
      </w:r>
      <w:r w:rsidRPr="00265569">
        <w:rPr>
          <w:i/>
          <w:sz w:val="16"/>
          <w:szCs w:val="16"/>
        </w:rPr>
        <w:t>Akademici</w:t>
      </w:r>
      <w:r>
        <w:rPr>
          <w:i/>
          <w:sz w:val="16"/>
          <w:szCs w:val="16"/>
        </w:rPr>
        <w:t xml:space="preserve"> a </w:t>
      </w:r>
      <w:r w:rsidRPr="00265569">
        <w:rPr>
          <w:i/>
          <w:sz w:val="16"/>
          <w:szCs w:val="16"/>
        </w:rPr>
        <w:t>akademičky 2018: zpráva</w:t>
      </w:r>
      <w:r>
        <w:rPr>
          <w:i/>
          <w:sz w:val="16"/>
          <w:szCs w:val="16"/>
        </w:rPr>
        <w:t xml:space="preserve"> z </w:t>
      </w:r>
      <w:r w:rsidRPr="00265569">
        <w:rPr>
          <w:i/>
          <w:sz w:val="16"/>
          <w:szCs w:val="16"/>
        </w:rPr>
        <w:t>kvalitativní studie veřejných akademických</w:t>
      </w:r>
      <w:r>
        <w:rPr>
          <w:i/>
          <w:sz w:val="16"/>
          <w:szCs w:val="16"/>
        </w:rPr>
        <w:t xml:space="preserve"> a </w:t>
      </w:r>
      <w:r w:rsidRPr="00265569">
        <w:rPr>
          <w:i/>
          <w:sz w:val="16"/>
          <w:szCs w:val="16"/>
        </w:rPr>
        <w:t>výzkumných pracovišť</w:t>
      </w:r>
      <w:r w:rsidRPr="00C27515">
        <w:rPr>
          <w:sz w:val="16"/>
          <w:szCs w:val="16"/>
        </w:rPr>
        <w:t>. Sociologický ústav AV ČR, v.</w:t>
      </w:r>
      <w:r>
        <w:rPr>
          <w:sz w:val="16"/>
          <w:szCs w:val="16"/>
        </w:rPr>
        <w:t xml:space="preserve"> </w:t>
      </w:r>
      <w:r w:rsidRPr="00C27515">
        <w:rPr>
          <w:sz w:val="16"/>
          <w:szCs w:val="16"/>
        </w:rPr>
        <w:t>v.</w:t>
      </w:r>
      <w:r>
        <w:rPr>
          <w:sz w:val="16"/>
          <w:szCs w:val="16"/>
        </w:rPr>
        <w:t xml:space="preserve"> </w:t>
      </w:r>
      <w:r w:rsidRPr="00C27515">
        <w:rPr>
          <w:sz w:val="16"/>
          <w:szCs w:val="16"/>
        </w:rPr>
        <w:t>i,</w:t>
      </w:r>
    </w:p>
  </w:footnote>
  <w:footnote w:id="26">
    <w:p w14:paraId="692D3182" w14:textId="77777777" w:rsidR="003043E8" w:rsidRDefault="003043E8" w:rsidP="002000CC">
      <w:pPr>
        <w:pStyle w:val="Textpoznpodarou"/>
      </w:pPr>
      <w:r>
        <w:rPr>
          <w:rStyle w:val="Znakapoznpodarou"/>
        </w:rPr>
        <w:footnoteRef/>
      </w:r>
      <w:r>
        <w:t xml:space="preserve"> Úřad vlády ČR, 2018. Metodika hodnocení výzkumných organizací a hodnocení programů účelové podpory výzkumu, vývoje a inovací, s. 9.</w:t>
      </w:r>
      <w:r>
        <w:cr/>
      </w:r>
    </w:p>
  </w:footnote>
  <w:footnote w:id="27">
    <w:p w14:paraId="05D13806" w14:textId="77777777" w:rsidR="003043E8" w:rsidRDefault="003043E8" w:rsidP="002000CC">
      <w:pPr>
        <w:pStyle w:val="Textpoznpodarou"/>
      </w:pPr>
      <w:r>
        <w:rPr>
          <w:rStyle w:val="Znakapoznpodarou"/>
        </w:rPr>
        <w:footnoteRef/>
      </w:r>
      <w:r>
        <w:t xml:space="preserve"> Vysoké školy (bez fakultních nemocnic) a ústavy AV ČR realizují společně přibližně 85 % veřejného výzkumu v ČR (měřeno výdaji na VaV</w:t>
      </w:r>
      <w:r w:rsidR="00F168D7">
        <w:t>aI</w:t>
      </w:r>
      <w:r>
        <w:t>, výdaji na VaV</w:t>
      </w:r>
      <w:r w:rsidR="00F168D7">
        <w:t>aI</w:t>
      </w:r>
      <w:r>
        <w:t xml:space="preserve"> z veřejných zdrojů i počtem výzkumných pracovníků).</w:t>
      </w:r>
    </w:p>
  </w:footnote>
  <w:footnote w:id="28">
    <w:p w14:paraId="465EF1F5" w14:textId="77777777" w:rsidR="003043E8" w:rsidRDefault="003043E8" w:rsidP="00FF30C1">
      <w:pPr>
        <w:pStyle w:val="Textpoznpodarou"/>
      </w:pPr>
      <w:r>
        <w:rPr>
          <w:rStyle w:val="Znakapoznpodarou"/>
        </w:rPr>
        <w:footnoteRef/>
      </w:r>
      <w:r>
        <w:t xml:space="preserve"> Odpovědi ze dvou fakult byly v době zpracování této zprávy ještě neúplné</w:t>
      </w:r>
    </w:p>
  </w:footnote>
  <w:footnote w:id="29">
    <w:p w14:paraId="43750B30" w14:textId="77777777" w:rsidR="003043E8" w:rsidRDefault="003043E8" w:rsidP="00D060A7">
      <w:pPr>
        <w:pStyle w:val="Textpoznpodarou"/>
      </w:pPr>
      <w:r>
        <w:rPr>
          <w:rStyle w:val="Znakapoznpodarou"/>
        </w:rPr>
        <w:footnoteRef/>
      </w:r>
      <w:r>
        <w:t xml:space="preserve"> </w:t>
      </w:r>
      <w:bookmarkStart w:id="41" w:name="_Hlk111647836"/>
      <w:r>
        <w:fldChar w:fldCharType="begin"/>
      </w:r>
      <w:r>
        <w:instrText xml:space="preserve"> HYPERLINK "</w:instrText>
      </w:r>
      <w:r w:rsidRPr="005A7805">
        <w:instrText>https://op.europa.eu/en/publication-detail/-/publication/98885a02-c849-11e7-9b01-01aa75ed71a1/language-en</w:instrText>
      </w:r>
      <w:r>
        <w:instrText xml:space="preserve">" </w:instrText>
      </w:r>
      <w:r>
        <w:fldChar w:fldCharType="separate"/>
      </w:r>
      <w:r w:rsidRPr="00722DBB">
        <w:rPr>
          <w:rStyle w:val="Hypertextovodkaz"/>
        </w:rPr>
        <w:t>https://op.europa.eu/en/publication-detail/-/publication/98885a02-c849-11e7-9b01-01aa75ed71a1/language-en</w:t>
      </w:r>
      <w:r>
        <w:fldChar w:fldCharType="end"/>
      </w:r>
      <w:r>
        <w:t xml:space="preserve"> (str. 98)</w:t>
      </w:r>
      <w:bookmarkEnd w:id="41"/>
    </w:p>
  </w:footnote>
  <w:footnote w:id="30">
    <w:p w14:paraId="7C3AF957" w14:textId="77777777" w:rsidR="003043E8" w:rsidRDefault="003043E8" w:rsidP="00D060A7">
      <w:pPr>
        <w:pStyle w:val="Textpoznpodarou"/>
      </w:pPr>
      <w:r>
        <w:rPr>
          <w:rStyle w:val="Znakapoznpodarou"/>
        </w:rPr>
        <w:footnoteRef/>
      </w:r>
      <w:r>
        <w:t xml:space="preserve"> </w:t>
      </w:r>
      <w:hyperlink r:id="rId6" w:history="1">
        <w:r w:rsidRPr="00820C13">
          <w:rPr>
            <w:rStyle w:val="Hypertextovodkaz"/>
          </w:rPr>
          <w:t>https://op.europa.eu/en/publication-detail/-/publication/98885a02-c849-11e7-9b01-01aa75ed71a1/language-en</w:t>
        </w:r>
      </w:hyperlink>
      <w:r w:rsidRPr="00820C13">
        <w:t xml:space="preserve"> (str. </w:t>
      </w:r>
      <w:r>
        <w:t>101</w:t>
      </w:r>
      <w:r w:rsidRPr="00820C13">
        <w:t>)</w:t>
      </w:r>
    </w:p>
  </w:footnote>
  <w:footnote w:id="31">
    <w:p w14:paraId="7D7C74B0" w14:textId="77777777" w:rsidR="003043E8" w:rsidRDefault="003043E8" w:rsidP="00D060A7">
      <w:pPr>
        <w:pStyle w:val="Textpoznpodarou"/>
      </w:pPr>
      <w:r>
        <w:rPr>
          <w:rStyle w:val="Znakapoznpodarou"/>
        </w:rPr>
        <w:footnoteRef/>
      </w:r>
      <w:r>
        <w:t xml:space="preserve"> Interní data Evropské komise, 2019.</w:t>
      </w:r>
    </w:p>
  </w:footnote>
  <w:footnote w:id="32">
    <w:p w14:paraId="2A958E55" w14:textId="77777777" w:rsidR="003043E8" w:rsidRDefault="003043E8" w:rsidP="00D060A7">
      <w:pPr>
        <w:pStyle w:val="Textpoznpodarou"/>
      </w:pPr>
      <w:r>
        <w:rPr>
          <w:rStyle w:val="Znakapoznpodarou"/>
        </w:rPr>
        <w:footnoteRef/>
      </w:r>
      <w:r>
        <w:t xml:space="preserve"> </w:t>
      </w:r>
      <w:hyperlink r:id="rId7" w:history="1">
        <w:r w:rsidRPr="00AC0A48">
          <w:rPr>
            <w:rStyle w:val="Hypertextovodkaz"/>
          </w:rPr>
          <w:t>https://www.tc.cz/storage/a159cd0668ae4ff3fc94085250bd2be9113e4086</w:t>
        </w:r>
      </w:hyperlink>
      <w:r>
        <w:t xml:space="preserve"> (str. 57)</w:t>
      </w:r>
    </w:p>
  </w:footnote>
  <w:footnote w:id="33">
    <w:p w14:paraId="4682193D" w14:textId="77777777" w:rsidR="003043E8" w:rsidRDefault="003043E8" w:rsidP="00D060A7">
      <w:pPr>
        <w:pStyle w:val="Textpoznpodarou"/>
      </w:pPr>
      <w:r>
        <w:rPr>
          <w:rStyle w:val="Znakapoznpodarou"/>
        </w:rPr>
        <w:footnoteRef/>
      </w:r>
      <w:r>
        <w:t xml:space="preserve"> </w:t>
      </w:r>
      <w:hyperlink r:id="rId8" w:history="1">
        <w:r w:rsidRPr="00AC0A48">
          <w:rPr>
            <w:rStyle w:val="Hypertextovodkaz"/>
          </w:rPr>
          <w:t>https://op.europa.eu/en/publication-detail/-/publication/ec662cff-031c-11ed-acce-01aa75ed71a1/language-en</w:t>
        </w:r>
      </w:hyperlink>
      <w:r>
        <w:t xml:space="preserve"> (str. 168)</w:t>
      </w:r>
    </w:p>
  </w:footnote>
  <w:footnote w:id="34">
    <w:p w14:paraId="080F0225" w14:textId="77777777" w:rsidR="003043E8" w:rsidRDefault="003043E8" w:rsidP="00D060A7">
      <w:pPr>
        <w:pStyle w:val="Textpoznpodarou"/>
      </w:pPr>
      <w:r>
        <w:rPr>
          <w:rStyle w:val="Znakapoznpodarou"/>
        </w:rPr>
        <w:footnoteRef/>
      </w:r>
      <w:r>
        <w:t xml:space="preserve"> </w:t>
      </w:r>
      <w:hyperlink r:id="rId9" w:history="1">
        <w:r w:rsidRPr="00AC0A48">
          <w:rPr>
            <w:rStyle w:val="Hypertextovodkaz"/>
          </w:rPr>
          <w:t>https://op.europa.eu/en/publication-detail/-/publication/ec662cff-031c-11ed-acce-01aa75ed71a1/language-en</w:t>
        </w:r>
      </w:hyperlink>
      <w:r>
        <w:t xml:space="preserve"> (str. 26)</w:t>
      </w:r>
    </w:p>
  </w:footnote>
  <w:footnote w:id="35">
    <w:p w14:paraId="42D1F5C5" w14:textId="77777777" w:rsidR="003043E8" w:rsidRDefault="003043E8">
      <w:pPr>
        <w:pStyle w:val="Textpoznpodarou"/>
      </w:pPr>
      <w:r>
        <w:rPr>
          <w:rStyle w:val="Znakapoznpodarou"/>
        </w:rPr>
        <w:footnoteRef/>
      </w:r>
      <w:r>
        <w:t xml:space="preserve"> Země s nízkou účastí v 7. rámcovém programu a v programu Horizont 2020. Ze zemí EU se jedná o 15 členských zemí: BG, HR, CY, CZ, EE, EL, HU, LT, LV, MT, PL, PT, RO, SK, SI.</w:t>
      </w:r>
    </w:p>
  </w:footnote>
  <w:footnote w:id="36">
    <w:p w14:paraId="0BCE667A" w14:textId="77777777" w:rsidR="003043E8" w:rsidRDefault="003043E8" w:rsidP="00D060A7">
      <w:pPr>
        <w:pStyle w:val="Textpoznpodarou"/>
      </w:pPr>
      <w:r>
        <w:rPr>
          <w:rStyle w:val="Znakapoznpodarou"/>
        </w:rPr>
        <w:footnoteRef/>
      </w:r>
      <w:r>
        <w:t xml:space="preserve"> </w:t>
      </w:r>
      <w:hyperlink r:id="rId10" w:history="1">
        <w:r w:rsidRPr="00AC0A48">
          <w:rPr>
            <w:rStyle w:val="Hypertextovodkaz"/>
          </w:rPr>
          <w:t>https://op.europa.eu/en/publication-detail/-/publication/ec662cff-031c-11ed-acce-01aa75ed71a1/language-en</w:t>
        </w:r>
      </w:hyperlink>
      <w:r>
        <w:t xml:space="preserve"> (str. 127)</w:t>
      </w:r>
    </w:p>
  </w:footnote>
  <w:footnote w:id="37">
    <w:p w14:paraId="083E1CFB" w14:textId="77777777" w:rsidR="003043E8" w:rsidRDefault="003043E8" w:rsidP="00D060A7">
      <w:pPr>
        <w:pStyle w:val="Textpoznpodarou"/>
      </w:pPr>
      <w:r>
        <w:rPr>
          <w:rStyle w:val="Znakapoznpodarou"/>
        </w:rPr>
        <w:footnoteRef/>
      </w:r>
      <w:r>
        <w:t xml:space="preserve"> </w:t>
      </w:r>
      <w:hyperlink r:id="rId11" w:history="1">
        <w:r w:rsidRPr="00AC0A48">
          <w:rPr>
            <w:rStyle w:val="Hypertextovodkaz"/>
          </w:rPr>
          <w:t>https://op.europa.eu/en/publication-detail/-/publication/ec662cff-031c-11ed-acce-01aa75ed71a1/language-en</w:t>
        </w:r>
      </w:hyperlink>
      <w:r>
        <w:t xml:space="preserve"> (str. 74)</w:t>
      </w:r>
    </w:p>
  </w:footnote>
  <w:footnote w:id="38">
    <w:p w14:paraId="51EA87AC" w14:textId="77777777" w:rsidR="003043E8" w:rsidRDefault="003043E8" w:rsidP="00D060A7">
      <w:pPr>
        <w:pStyle w:val="Textpoznpodarou"/>
      </w:pPr>
      <w:r>
        <w:rPr>
          <w:rStyle w:val="Znakapoznpodarou"/>
        </w:rPr>
        <w:footnoteRef/>
      </w:r>
      <w:r>
        <w:t xml:space="preserve"> </w:t>
      </w:r>
      <w:r w:rsidRPr="000C0648">
        <w:t>Z ČR jsou do některého</w:t>
      </w:r>
      <w:r>
        <w:t xml:space="preserve"> z </w:t>
      </w:r>
      <w:r w:rsidRPr="000C0648">
        <w:t>podpořených partnerství zapojené čtyři vysoké školy: Univerzita Karlova, Masarykova univerzita, Univerzita Palackého</w:t>
      </w:r>
      <w:r>
        <w:t xml:space="preserve"> v </w:t>
      </w:r>
      <w:r w:rsidRPr="000C0648">
        <w:t>Olomouci</w:t>
      </w:r>
      <w:r>
        <w:t xml:space="preserve"> a </w:t>
      </w:r>
      <w:r w:rsidRPr="000C0648">
        <w:t>České vysoké učení technické</w:t>
      </w:r>
      <w:r>
        <w:t xml:space="preserve"> v </w:t>
      </w:r>
      <w:r w:rsidRPr="000C0648">
        <w:t>Praze.</w:t>
      </w:r>
    </w:p>
  </w:footnote>
  <w:footnote w:id="39">
    <w:p w14:paraId="2D63BE0F" w14:textId="77777777" w:rsidR="003043E8" w:rsidRDefault="003043E8" w:rsidP="00D060A7">
      <w:pPr>
        <w:pStyle w:val="Textpoznpodarou"/>
      </w:pPr>
      <w:r>
        <w:rPr>
          <w:rStyle w:val="Znakapoznpodarou"/>
        </w:rPr>
        <w:footnoteRef/>
      </w:r>
      <w:r>
        <w:t xml:space="preserve"> </w:t>
      </w:r>
      <w:r w:rsidRPr="007A72FD">
        <w:t xml:space="preserve">Z </w:t>
      </w:r>
      <w:r>
        <w:t>ČR</w:t>
      </w:r>
      <w:r w:rsidRPr="007A72FD">
        <w:t xml:space="preserve"> </w:t>
      </w:r>
      <w:r>
        <w:t xml:space="preserve">ve výzvě v roli koordinátora </w:t>
      </w:r>
      <w:r w:rsidRPr="007A72FD">
        <w:t xml:space="preserve">uspěla </w:t>
      </w:r>
      <w:r>
        <w:t>Česká zemědělská univerzita v Praze.</w:t>
      </w:r>
      <w:r w:rsidRPr="007A72FD">
        <w:t xml:space="preserve"> Další tři české subjekty jsou partnery</w:t>
      </w:r>
      <w:r>
        <w:t xml:space="preserve"> v </w:t>
      </w:r>
      <w:r w:rsidRPr="007A72FD">
        <w:t>úspěšných projektech (</w:t>
      </w:r>
      <w:r w:rsidRPr="000C0648">
        <w:t>České vysoké učení technické</w:t>
      </w:r>
      <w:r>
        <w:t xml:space="preserve"> v </w:t>
      </w:r>
      <w:r w:rsidRPr="000C0648">
        <w:t>Praze</w:t>
      </w:r>
      <w:r w:rsidRPr="007A72FD">
        <w:t xml:space="preserve">, Mendelova univerzita </w:t>
      </w:r>
      <w:r>
        <w:t>V Brně a </w:t>
      </w:r>
      <w:r w:rsidRPr="007A72FD">
        <w:t>U</w:t>
      </w:r>
      <w:r>
        <w:t xml:space="preserve">niverzita </w:t>
      </w:r>
      <w:r w:rsidRPr="007A72FD">
        <w:t>T</w:t>
      </w:r>
      <w:r>
        <w:t xml:space="preserve">omáši </w:t>
      </w:r>
      <w:r w:rsidRPr="007A72FD">
        <w:t>B</w:t>
      </w:r>
      <w:r>
        <w:t>ati ve</w:t>
      </w:r>
      <w:r w:rsidRPr="007A72FD">
        <w:t xml:space="preserve"> Zlín</w:t>
      </w:r>
      <w:r>
        <w:t>ě</w:t>
      </w:r>
      <w:r w:rsidRPr="007A72FD">
        <w:t>).</w:t>
      </w:r>
    </w:p>
  </w:footnote>
  <w:footnote w:id="40">
    <w:p w14:paraId="667F007E" w14:textId="77777777" w:rsidR="003043E8" w:rsidRDefault="003043E8" w:rsidP="008444FF">
      <w:pPr>
        <w:pStyle w:val="Textpoznpodarou"/>
      </w:pPr>
      <w:r>
        <w:rPr>
          <w:rStyle w:val="Znakapoznpodarou"/>
        </w:rPr>
        <w:footnoteRef/>
      </w:r>
      <w:r>
        <w:t xml:space="preserve"> Pracna, P., Kubátová, J. (2017). Role průmyslových asociací v Partnerstvích veřejného a soukromého sektoru v evropských rámcových programech. Echo č. 2/2017. Technologické centrum AV ČR.</w:t>
      </w:r>
    </w:p>
  </w:footnote>
  <w:footnote w:id="41">
    <w:p w14:paraId="3142C0B5" w14:textId="77777777" w:rsidR="003043E8" w:rsidRDefault="003043E8" w:rsidP="008444FF">
      <w:pPr>
        <w:pStyle w:val="Textpoznpodarou"/>
      </w:pPr>
      <w:r>
        <w:rPr>
          <w:rStyle w:val="Znakapoznpodarou"/>
        </w:rPr>
        <w:footnoteRef/>
      </w:r>
      <w:r>
        <w:t xml:space="preserve"> Pracna, P., Čejková, J., Zápařková, I. Možnosti pro české účastníky ve výzvách ERA-NET Cofund rámcového programu Horizont 2020 a česká účast v letech 2017-2020. Echo č. 3-4/2020. Technologické centrum AV ČR.</w:t>
      </w:r>
    </w:p>
  </w:footnote>
  <w:footnote w:id="42">
    <w:p w14:paraId="68E7BEE9" w14:textId="77777777" w:rsidR="003043E8" w:rsidRDefault="003043E8" w:rsidP="008444FF">
      <w:pPr>
        <w:pStyle w:val="Textpoznpodarou"/>
      </w:pPr>
      <w:r>
        <w:rPr>
          <w:rStyle w:val="Znakapoznpodarou"/>
        </w:rPr>
        <w:footnoteRef/>
      </w:r>
      <w:r>
        <w:t xml:space="preserve"> Plný název dokumentu je Enabling synergies between European Structural and Investment Funds, Horizon 2020 and other research, innovation and competitiveness-related Union programmes, Guidance for policy-makers and implementing bodies, dostupné </w:t>
      </w:r>
      <w:hyperlink r:id="rId12" w:history="1">
        <w:r w:rsidRPr="00845712">
          <w:rPr>
            <w:rStyle w:val="Hypertextovodkaz"/>
          </w:rPr>
          <w:t>https://ec.europa.eu/regional_policy/sources/docgener/guides/synergy/synergies_en.pdf</w:t>
        </w:r>
      </w:hyperlink>
      <w:r>
        <w:t xml:space="preserve">. </w:t>
      </w:r>
    </w:p>
  </w:footnote>
  <w:footnote w:id="43">
    <w:p w14:paraId="1D93E4B6" w14:textId="77777777" w:rsidR="003043E8" w:rsidRDefault="003043E8" w:rsidP="008444FF">
      <w:pPr>
        <w:pStyle w:val="Textpoznpodarou"/>
      </w:pPr>
      <w:r>
        <w:rPr>
          <w:rStyle w:val="Znakapoznpodarou"/>
        </w:rPr>
        <w:footnoteRef/>
      </w:r>
      <w:r>
        <w:t xml:space="preserve"> </w:t>
      </w:r>
      <w:hyperlink r:id="rId13" w:anchor="objective-of-the-consultation" w:history="1">
        <w:r w:rsidRPr="009D58B7">
          <w:rPr>
            <w:rStyle w:val="Hypertextovodkaz"/>
          </w:rPr>
          <w:t>https://ec.europa.eu/competition-policy/public-consultations/2019-gber_en#objective-of-the-consultation</w:t>
        </w:r>
      </w:hyperlink>
      <w:r>
        <w:t xml:space="preserve"> </w:t>
      </w:r>
    </w:p>
  </w:footnote>
  <w:footnote w:id="44">
    <w:p w14:paraId="4DB9DB74" w14:textId="77777777" w:rsidR="003043E8" w:rsidRDefault="003043E8" w:rsidP="008444FF">
      <w:pPr>
        <w:pStyle w:val="Textpoznpodarou"/>
      </w:pPr>
      <w:r>
        <w:rPr>
          <w:rStyle w:val="Znakapoznpodarou"/>
        </w:rPr>
        <w:footnoteRef/>
      </w:r>
      <w:r>
        <w:t xml:space="preserve"> </w:t>
      </w:r>
      <w:hyperlink r:id="rId14" w:history="1">
        <w:r w:rsidRPr="009D58B7">
          <w:rPr>
            <w:rStyle w:val="Hypertextovodkaz"/>
          </w:rPr>
          <w:t>https://ec.europa.eu/competition-policy/public-consultations/2020-gber_en</w:t>
        </w:r>
      </w:hyperlink>
      <w:r>
        <w:t xml:space="preserve"> </w:t>
      </w:r>
    </w:p>
  </w:footnote>
  <w:footnote w:id="45">
    <w:p w14:paraId="6E24D9F6" w14:textId="77777777" w:rsidR="003043E8" w:rsidRDefault="003043E8" w:rsidP="008444FF">
      <w:pPr>
        <w:pStyle w:val="Textpoznpodarou"/>
      </w:pPr>
      <w:r>
        <w:rPr>
          <w:rStyle w:val="Znakapoznpodarou"/>
        </w:rPr>
        <w:footnoteRef/>
      </w:r>
      <w:r>
        <w:t xml:space="preserve"> ESIF v programovém období 2014-2020 pracovaly s termíny synergie a komplementarita, fondy EU v programovém období 2021-2027 pracují s pojmem doplňkovost. </w:t>
      </w:r>
      <w:r w:rsidR="00C032C8">
        <w:t xml:space="preserve">RP </w:t>
      </w:r>
      <w:r>
        <w:t>Horizont 2020 a </w:t>
      </w:r>
      <w:r w:rsidR="00C032C8">
        <w:t>Horizont Evropa</w:t>
      </w:r>
      <w:r>
        <w:t xml:space="preserve"> pracují s termínem synergie. Tento text pro zjednodušení stejně jako rámcový program používá pouze pojem synergie. </w:t>
      </w:r>
    </w:p>
  </w:footnote>
  <w:footnote w:id="46">
    <w:p w14:paraId="16CAB6FE" w14:textId="77777777" w:rsidR="003043E8" w:rsidRDefault="003043E8" w:rsidP="008444FF">
      <w:pPr>
        <w:pStyle w:val="Textpoznpodarou"/>
      </w:pPr>
      <w:r>
        <w:rPr>
          <w:rStyle w:val="Znakapoznpodarou"/>
        </w:rPr>
        <w:footnoteRef/>
      </w:r>
      <w:r>
        <w:t xml:space="preserve"> Nařízení Evropského parlamentu a Rady (EU) 2021/695 ze dne 28. dubna 2021, kterým se zavádí rámcový program pro výzkum a inovace Horizont Evropa a stanoví pravidla pro účast a šíření výsledků a zrušují nařízení (EU) č. 1290/2013 a (EU) č. 1291/2013.</w:t>
      </w:r>
    </w:p>
  </w:footnote>
  <w:footnote w:id="47">
    <w:p w14:paraId="79DAF53A" w14:textId="77777777" w:rsidR="003043E8" w:rsidRDefault="003043E8" w:rsidP="008444FF">
      <w:pPr>
        <w:pStyle w:val="Textpoznpodarou"/>
      </w:pPr>
      <w:r>
        <w:rPr>
          <w:rStyle w:val="Znakapoznpodarou"/>
        </w:rPr>
        <w:footnoteRef/>
      </w:r>
      <w:r>
        <w:t xml:space="preserve"> Nařízení Evropského parlamentu a Rady (EU) 2021/1060 ze dne 24. června 2021 o společných ustanoveních pro Evropský fond pro regionální rozvoj, Evropský sociální fond plus, Fond soudržnosti, Fond pro spravedlivou transformaci a Evropský námořní, rybářský a akvakulturní fond a o finančních pravidlech pro tyto fondy a pro Azylový, migrační a integrační fond, Fond pro vnitřní bezpečnost a Nástroj pro finanční podporu správy hranic a vízové politiky; označované také jako CPR (Common Provisions Regulation, Nařízení o společných ustanoveních)  </w:t>
      </w:r>
    </w:p>
  </w:footnote>
  <w:footnote w:id="48">
    <w:p w14:paraId="5FFEB2CC" w14:textId="77777777" w:rsidR="003043E8" w:rsidRDefault="003043E8" w:rsidP="008444FF">
      <w:pPr>
        <w:pStyle w:val="Textpoznpodarou"/>
      </w:pPr>
      <w:r>
        <w:rPr>
          <w:rStyle w:val="Znakapoznpodarou"/>
        </w:rPr>
        <w:footnoteRef/>
      </w:r>
      <w:r>
        <w:t xml:space="preserve"> Přehled vymezení a doplňkovosti mezi fondy a ostatními nástroji EU, Příloha č. 1 Dohody o partnerství v programovém období 2021-2027, Ministerstvo pro místní rozvoj (</w:t>
      </w:r>
      <w:hyperlink r:id="rId15" w:history="1">
        <w:r w:rsidR="003108AE" w:rsidRPr="008E0747">
          <w:rPr>
            <w:rStyle w:val="Hypertextovodkaz"/>
          </w:rPr>
          <w:t>https://www.dotaceeu.cz/getattachment/Evropske-fondy-v-CR/KOHEZNI-POLITIKA-PO-ROCE-2020/Priprava-obdobi-2021-2027/s/Verejna-konzultace-k-prvnimu-navrhu-Dohody-o-partn/Priloha_1_Dohody_o_Partnerstvi_2021-2027_schvaleno_ek_kveten_2022-(1).pdf.aspx?lang=cs-CZ</w:t>
        </w:r>
      </w:hyperlink>
      <w:r>
        <w:t xml:space="preserve">) </w:t>
      </w:r>
    </w:p>
  </w:footnote>
  <w:footnote w:id="49">
    <w:p w14:paraId="491E1859" w14:textId="77777777" w:rsidR="003043E8" w:rsidRPr="000D6DB1" w:rsidRDefault="003043E8" w:rsidP="008444FF">
      <w:pPr>
        <w:pStyle w:val="Textpoznpodarou"/>
        <w:rPr>
          <w:sz w:val="20"/>
          <w:szCs w:val="22"/>
        </w:rPr>
      </w:pPr>
      <w:r>
        <w:rPr>
          <w:rStyle w:val="Znakapoznpodarou"/>
        </w:rPr>
        <w:footnoteRef/>
      </w:r>
      <w:r>
        <w:t xml:space="preserve"> Bližší informace jsou dostupné na webových stránkách Ministerstva pro místní rozvoj </w:t>
      </w:r>
      <w:r>
        <w:rPr>
          <w:sz w:val="20"/>
          <w:szCs w:val="22"/>
        </w:rPr>
        <w:t>(</w:t>
      </w:r>
      <w:hyperlink r:id="rId16" w:history="1">
        <w:r w:rsidRPr="009D58B7">
          <w:rPr>
            <w:rStyle w:val="Hypertextovodkaz"/>
            <w:sz w:val="20"/>
            <w:szCs w:val="22"/>
          </w:rPr>
          <w:t>https://www.dotaceeu.cz/cs/evropske-fondy-v-cr/kohezni-politika-po-roce-2020/priprava-obdobi-2021-2027/s</w:t>
        </w:r>
      </w:hyperlink>
      <w:r>
        <w:rPr>
          <w:sz w:val="20"/>
          <w:szCs w:val="22"/>
        </w:rPr>
        <w:t xml:space="preserve">). </w:t>
      </w:r>
    </w:p>
  </w:footnote>
  <w:footnote w:id="50">
    <w:p w14:paraId="2298D8D0" w14:textId="77777777" w:rsidR="003043E8" w:rsidRDefault="003043E8" w:rsidP="008444FF">
      <w:pPr>
        <w:pStyle w:val="Textpoznpodarou"/>
      </w:pPr>
      <w:r>
        <w:rPr>
          <w:rStyle w:val="Znakapoznpodarou"/>
        </w:rPr>
        <w:footnoteRef/>
      </w:r>
      <w:r>
        <w:t xml:space="preserve"> The Conference on Synergies in the Research and Innovation Funding in Europe se uskutečnila 7. – 8. července 2022 v Praze, v Kongresovém centru. Bližší informace jsou dostupné na webových stránkách konference (</w:t>
      </w:r>
      <w:hyperlink r:id="rId17" w:history="1">
        <w:r w:rsidRPr="009D58B7">
          <w:rPr>
            <w:rStyle w:val="Hypertextovodkaz"/>
          </w:rPr>
          <w:t>https://synergies2022.eu/</w:t>
        </w:r>
      </w:hyperlink>
      <w:r>
        <w:t xml:space="preserve">). </w:t>
      </w:r>
    </w:p>
  </w:footnote>
  <w:footnote w:id="51">
    <w:p w14:paraId="5CC26C2B" w14:textId="77777777" w:rsidR="003043E8" w:rsidRDefault="003043E8" w:rsidP="008444FF">
      <w:pPr>
        <w:pStyle w:val="Textpoznpodarou"/>
      </w:pPr>
      <w:r>
        <w:rPr>
          <w:rStyle w:val="Znakapoznpodarou"/>
        </w:rPr>
        <w:footnoteRef/>
      </w:r>
      <w:r>
        <w:t xml:space="preserve"> Finální verze dostupná na webových stránkách konference: </w:t>
      </w:r>
      <w:hyperlink r:id="rId18" w:history="1">
        <w:r w:rsidRPr="008A0195">
          <w:rPr>
            <w:rStyle w:val="Hypertextovodkaz"/>
          </w:rPr>
          <w:t>https://synergies2022.eu/wp-content/uploads/2022/07/Prague-Declaration-on-Synergies_FINAL.pdf</w:t>
        </w:r>
      </w:hyperlink>
      <w:r>
        <w:t xml:space="preserve">. </w:t>
      </w:r>
    </w:p>
  </w:footnote>
  <w:footnote w:id="52">
    <w:p w14:paraId="29BC87D6" w14:textId="77777777" w:rsidR="003043E8" w:rsidRDefault="003043E8" w:rsidP="00CC0854">
      <w:pPr>
        <w:pStyle w:val="Textpoznpodarou"/>
        <w:jc w:val="left"/>
      </w:pPr>
      <w:r>
        <w:rPr>
          <w:rStyle w:val="Znakapoznpodarou"/>
        </w:rPr>
        <w:footnoteRef/>
      </w:r>
      <w:r>
        <w:t xml:space="preserve"> Draft Commission Notice on the synergies between ERDF programmes and Horizon Europe je dostupný na webových stránkách Evropské komise (</w:t>
      </w:r>
      <w:hyperlink r:id="rId19" w:history="1">
        <w:r w:rsidRPr="009D58B7">
          <w:rPr>
            <w:rStyle w:val="Hypertextovodkaz"/>
          </w:rPr>
          <w:t>https://ec.europa.eu/info/sites/default/files/research_and_innovation/strategy_on_research_and_innovation/documents/c_2022_4747_1_en_annex.pdf</w:t>
        </w:r>
      </w:hyperlink>
      <w:r>
        <w:t xml:space="preserve">). </w:t>
      </w:r>
    </w:p>
  </w:footnote>
  <w:footnote w:id="53">
    <w:p w14:paraId="40B3EAE5" w14:textId="77777777" w:rsidR="003043E8" w:rsidRDefault="003043E8" w:rsidP="008444FF">
      <w:pPr>
        <w:pStyle w:val="Textpoznpodarou"/>
      </w:pPr>
      <w:r>
        <w:rPr>
          <w:rStyle w:val="Znakapoznpodarou"/>
        </w:rPr>
        <w:footnoteRef/>
      </w:r>
      <w:r>
        <w:t xml:space="preserve"> Programy financované z Evropského fondu pro regionální rozvoj </w:t>
      </w:r>
    </w:p>
  </w:footnote>
  <w:footnote w:id="54">
    <w:p w14:paraId="514717FA" w14:textId="77777777" w:rsidR="003043E8" w:rsidRDefault="003043E8" w:rsidP="008444FF">
      <w:pPr>
        <w:pStyle w:val="Textpoznpodarou"/>
      </w:pPr>
      <w:r>
        <w:rPr>
          <w:rStyle w:val="Znakapoznpodarou"/>
        </w:rPr>
        <w:footnoteRef/>
      </w:r>
      <w:r>
        <w:t xml:space="preserve"> Evropský sociální fond </w:t>
      </w:r>
    </w:p>
  </w:footnote>
  <w:footnote w:id="55">
    <w:p w14:paraId="2F6FA1EC" w14:textId="77777777" w:rsidR="003043E8" w:rsidRDefault="003043E8" w:rsidP="008444FF">
      <w:pPr>
        <w:pStyle w:val="Textpoznpodarou"/>
      </w:pPr>
      <w:r>
        <w:rPr>
          <w:rStyle w:val="Znakapoznpodarou"/>
        </w:rPr>
        <w:footnoteRef/>
      </w:r>
      <w:r>
        <w:t xml:space="preserve"> Jedná se o přehled a hlavní podmínky, detailní informace jsou uvedeny v daném dokumentu a legislativních nařízeních. </w:t>
      </w:r>
    </w:p>
  </w:footnote>
  <w:footnote w:id="56">
    <w:p w14:paraId="68A394E0" w14:textId="77777777" w:rsidR="003043E8" w:rsidRDefault="003043E8" w:rsidP="008444FF">
      <w:pPr>
        <w:pStyle w:val="Textpoznpodarou"/>
      </w:pPr>
      <w:r>
        <w:rPr>
          <w:rStyle w:val="Znakapoznpodarou"/>
        </w:rPr>
        <w:footnoteRef/>
      </w:r>
      <w:r>
        <w:t xml:space="preserve"> Příkladem může být program SME Instrument Brno, který podporoval projekty firem se sídlem nebo pobočkou v Jihomoravském kraji, které získaly hodnocení v rozmezí 12,00-12,99 bodu. Program běžel mezi lety 2017-2020. Bližší informace na webových stránkách Jihomoravského inovačního centra (</w:t>
      </w:r>
      <w:hyperlink r:id="rId20" w:history="1">
        <w:r w:rsidRPr="008A0195">
          <w:rPr>
            <w:rStyle w:val="Hypertextovodkaz"/>
          </w:rPr>
          <w:t>https://www.jic.cz/sme-instrument-brno/</w:t>
        </w:r>
      </w:hyperlink>
      <w:r>
        <w:t xml:space="preserve">). </w:t>
      </w:r>
    </w:p>
  </w:footnote>
  <w:footnote w:id="57">
    <w:p w14:paraId="669353C7" w14:textId="77777777" w:rsidR="003043E8" w:rsidRDefault="003043E8" w:rsidP="008444FF">
      <w:pPr>
        <w:pStyle w:val="Textpoznpodarou"/>
      </w:pPr>
      <w:r>
        <w:rPr>
          <w:rStyle w:val="Znakapoznpodarou"/>
        </w:rPr>
        <w:footnoteRef/>
      </w:r>
      <w:r>
        <w:t xml:space="preserve"> European Innovation Council </w:t>
      </w:r>
    </w:p>
  </w:footnote>
  <w:footnote w:id="58">
    <w:p w14:paraId="3D01E38B" w14:textId="77777777" w:rsidR="003043E8" w:rsidRDefault="003043E8" w:rsidP="008444FF">
      <w:pPr>
        <w:pStyle w:val="Textpoznpodarou"/>
      </w:pPr>
      <w:r>
        <w:rPr>
          <w:rStyle w:val="Znakapoznpodarou"/>
        </w:rPr>
        <w:footnoteRef/>
      </w:r>
      <w:r>
        <w:t xml:space="preserve"> European Research Centre </w:t>
      </w:r>
    </w:p>
  </w:footnote>
  <w:footnote w:id="59">
    <w:p w14:paraId="0C8314B4" w14:textId="77777777" w:rsidR="003043E8" w:rsidRDefault="003043E8" w:rsidP="008444FF">
      <w:pPr>
        <w:pStyle w:val="Textpoznpodarou"/>
      </w:pPr>
      <w:r>
        <w:rPr>
          <w:rStyle w:val="Znakapoznpodarou"/>
        </w:rPr>
        <w:footnoteRef/>
      </w:r>
      <w:r>
        <w:t xml:space="preserve"> Ač </w:t>
      </w:r>
      <w:r w:rsidR="00AA2026">
        <w:t>Evropská komise</w:t>
      </w:r>
      <w:r>
        <w:t xml:space="preserve"> považuje Teaming za mono-beneficiary komponentu, tak projekt vždy musí být složen z žadatele a min. jednoho partnera. </w:t>
      </w:r>
    </w:p>
  </w:footnote>
  <w:footnote w:id="60">
    <w:p w14:paraId="1BBE02A0" w14:textId="77777777" w:rsidR="003043E8" w:rsidRDefault="003043E8" w:rsidP="008444FF">
      <w:pPr>
        <w:pStyle w:val="Textpoznpodarou"/>
      </w:pPr>
      <w:r>
        <w:rPr>
          <w:rStyle w:val="Znakapoznpodarou"/>
        </w:rPr>
        <w:footnoteRef/>
      </w:r>
      <w:r>
        <w:t xml:space="preserve"> Konkrétně se bude jednat o podporu MSCA Postdoctoral Fellowships z Horizontu Evropa. MSCA Individual Fellowships byly nástrojem Horizontu 2020. Oba nástroje rozlišují evropské fellowships a globální fellowships. </w:t>
      </w:r>
    </w:p>
  </w:footnote>
  <w:footnote w:id="61">
    <w:p w14:paraId="637787AB" w14:textId="77777777" w:rsidR="003043E8" w:rsidRDefault="003043E8" w:rsidP="008444FF">
      <w:pPr>
        <w:pStyle w:val="Textpoznpodarou"/>
      </w:pPr>
      <w:r>
        <w:rPr>
          <w:rStyle w:val="Znakapoznpodarou"/>
        </w:rPr>
        <w:footnoteRef/>
      </w:r>
      <w:r>
        <w:t xml:space="preserve"> Schéma bylo vytvořeno z mezinárodního CSA projektu GO – SME financovaného z Horizontu 2020 (reg. č. 101034176) a bylo koordinovaně vyhlášeno v 12 zemích. </w:t>
      </w:r>
    </w:p>
  </w:footnote>
  <w:footnote w:id="62">
    <w:p w14:paraId="7B9C9943" w14:textId="77777777" w:rsidR="003043E8" w:rsidRDefault="003043E8" w:rsidP="008444FF">
      <w:pPr>
        <w:pStyle w:val="Textpoznpodarou"/>
      </w:pPr>
      <w:r>
        <w:rPr>
          <w:rStyle w:val="Znakapoznpodarou"/>
        </w:rPr>
        <w:footnoteRef/>
      </w:r>
      <w:r>
        <w:t xml:space="preserve"> Jedná se o zjednodušení, ve skutečnosti řídicí orgán žádá o dodatek k danému programu. </w:t>
      </w:r>
    </w:p>
  </w:footnote>
  <w:footnote w:id="63">
    <w:p w14:paraId="41B09FFE" w14:textId="77777777" w:rsidR="003043E8" w:rsidRDefault="003043E8" w:rsidP="008444FF">
      <w:pPr>
        <w:pStyle w:val="Textpoznpodarou"/>
      </w:pPr>
      <w:r>
        <w:rPr>
          <w:rStyle w:val="Znakapoznpodarou"/>
        </w:rPr>
        <w:footnoteRef/>
      </w:r>
      <w:r>
        <w:t xml:space="preserve"> Kap. 4 Dohody o partnerství, dostupné </w:t>
      </w:r>
      <w:hyperlink r:id="rId21" w:history="1">
        <w:r w:rsidRPr="00E808EF">
          <w:rPr>
            <w:rStyle w:val="Hypertextovodkaz"/>
          </w:rPr>
          <w:t>https://dotaceeu.cz/getattachment/Evropske-fondy-v-CR/KOHEZNI-POLITIKA-PO-ROCE-2020/Priprava-obdobi-2021-2027/s/Verejna-konzultace-k-prvnimu-navrhu-Dohody-o-partn/Dohoda_o_partnerstvi_2021-2027_schvaleno_</w:t>
        </w:r>
        <w:r w:rsidR="00AA2026">
          <w:rPr>
            <w:rStyle w:val="Hypertextovodkaz"/>
          </w:rPr>
          <w:t>Evropská komise</w:t>
        </w:r>
        <w:r w:rsidRPr="00E808EF">
          <w:rPr>
            <w:rStyle w:val="Hypertextovodkaz"/>
          </w:rPr>
          <w:t>_kveten_2022.pdf.aspx?lang=cs-CZ</w:t>
        </w:r>
      </w:hyperlink>
      <w:r>
        <w:t xml:space="preserve"> </w:t>
      </w:r>
    </w:p>
  </w:footnote>
  <w:footnote w:id="64">
    <w:p w14:paraId="2FF6A878" w14:textId="77777777" w:rsidR="003043E8" w:rsidRDefault="003043E8" w:rsidP="008444FF">
      <w:pPr>
        <w:pStyle w:val="Textpoznpodarou"/>
      </w:pPr>
      <w:r>
        <w:rPr>
          <w:rStyle w:val="Znakapoznpodarou"/>
        </w:rPr>
        <w:footnoteRef/>
      </w:r>
      <w:r>
        <w:t xml:space="preserve"> Jedná se o Národní výzkumnou a inovační strategii pro inteligentní specializaci České republiky 2021-2027 (v aktuálním znění dostupná na webových stránkách Ministerstva průmyslu a obchodu: </w:t>
      </w:r>
      <w:hyperlink r:id="rId22" w:history="1">
        <w:r w:rsidRPr="000826CC">
          <w:rPr>
            <w:rStyle w:val="Hypertextovodkaz"/>
          </w:rPr>
          <w:t>https://www.mpo.cz/assets/cz/podnikani/ris3-strategie/dokumenty/2022/1/RIS3-Strategie-_A_RIS3-Strategie_.pdf</w:t>
        </w:r>
      </w:hyperlink>
      <w:r>
        <w:t xml:space="preserve">). </w:t>
      </w:r>
    </w:p>
  </w:footnote>
  <w:footnote w:id="65">
    <w:p w14:paraId="24A9CB3A" w14:textId="77777777" w:rsidR="003043E8" w:rsidRDefault="003043E8" w:rsidP="008444FF">
      <w:pPr>
        <w:pStyle w:val="Textpoznpodarou"/>
      </w:pPr>
      <w:r>
        <w:rPr>
          <w:rStyle w:val="Znakapoznpodarou"/>
        </w:rPr>
        <w:footnoteRef/>
      </w:r>
      <w:r>
        <w:t xml:space="preserve"> Viz pohled TA ČR na ERA-NET Cofundy dostupný na jejích stránkách: </w:t>
      </w:r>
      <w:hyperlink r:id="rId23" w:history="1">
        <w:r w:rsidRPr="000826CC">
          <w:rPr>
            <w:rStyle w:val="Hypertextovodkaz"/>
          </w:rPr>
          <w:t>https://www.tacr.cz/wp-content/uploads/documents/2021/07/27/1627386367_Koncept%20ERA-NET%20COFUND%C5%AE.pdf</w:t>
        </w:r>
      </w:hyperlink>
      <w:r>
        <w:t xml:space="preserve"> </w:t>
      </w:r>
    </w:p>
  </w:footnote>
  <w:footnote w:id="66">
    <w:p w14:paraId="20E63C6D" w14:textId="77777777" w:rsidR="003043E8" w:rsidRDefault="003043E8" w:rsidP="008444FF">
      <w:pPr>
        <w:pStyle w:val="Textpoznpodarou"/>
      </w:pPr>
      <w:r>
        <w:rPr>
          <w:rStyle w:val="Znakapoznpodarou"/>
        </w:rPr>
        <w:footnoteRef/>
      </w:r>
      <w:r>
        <w:t xml:space="preserve"> Bližší informace jsou dostupné na webu MPO </w:t>
      </w:r>
      <w:hyperlink r:id="rId24" w:history="1">
        <w:r w:rsidRPr="000826CC">
          <w:rPr>
            <w:rStyle w:val="Hypertextovodkaz"/>
          </w:rPr>
          <w:t>https://www.mpo.cz/cz/podnikani/dotace-a-podpora-podnikani/programy-eu-na-podporu-msp/horizon/clean-sky-2--232905/</w:t>
        </w:r>
      </w:hyperlink>
      <w:r>
        <w:t xml:space="preserve">. </w:t>
      </w:r>
    </w:p>
  </w:footnote>
  <w:footnote w:id="67">
    <w:p w14:paraId="3BA8D898" w14:textId="77777777" w:rsidR="003043E8" w:rsidRDefault="003043E8" w:rsidP="00DD1E9D">
      <w:pPr>
        <w:pStyle w:val="Textpoznpodarou"/>
      </w:pPr>
      <w:r>
        <w:rPr>
          <w:rStyle w:val="Znakapoznpodarou"/>
        </w:rPr>
        <w:footnoteRef/>
      </w:r>
      <w:r>
        <w:t xml:space="preserve"> Detailnější informací k problematice lump sum jsou k dispozici zde: </w:t>
      </w:r>
      <w:hyperlink r:id="rId25" w:history="1">
        <w:r w:rsidRPr="0007528B">
          <w:rPr>
            <w:rStyle w:val="Hypertextovodkaz"/>
          </w:rPr>
          <w:t>https://www.horizontevropa.cz/cs/mohlo-by-vas-zajimat/pravni-financni-aspekty/yiifnews/1181/lump-sum-v-horizontu-evropa-%E2%80%93</w:t>
        </w:r>
      </w:hyperlink>
      <w:r w:rsidRPr="00235AA1">
        <w:t>...</w:t>
      </w:r>
      <w:r>
        <w:t xml:space="preserve">. </w:t>
      </w:r>
    </w:p>
  </w:footnote>
  <w:footnote w:id="68">
    <w:p w14:paraId="578A257F" w14:textId="77777777" w:rsidR="003043E8" w:rsidRDefault="003043E8" w:rsidP="00B631F2">
      <w:pPr>
        <w:pStyle w:val="Textpoznpodarou"/>
      </w:pPr>
      <w:r>
        <w:rPr>
          <w:rStyle w:val="Znakapoznpodarou"/>
        </w:rPr>
        <w:footnoteRef/>
      </w:r>
      <w:r>
        <w:t xml:space="preserve"> Výjimkou jsou projekty typu MSCA, pro které </w:t>
      </w:r>
      <w:r w:rsidR="00AA2026">
        <w:t>Evropská komise</w:t>
      </w:r>
      <w:r>
        <w:t xml:space="preserve"> stanovuje přesné částky pro odměňování, nicméně, ani zde neplatí pravidlo rovné mzdy pro všechny. Naopak, částky jsou vždy upravené korekčním koeficientem podle státu příjemce grantu. </w:t>
      </w:r>
    </w:p>
  </w:footnote>
  <w:footnote w:id="69">
    <w:p w14:paraId="69CD50A7" w14:textId="77777777" w:rsidR="003043E8" w:rsidRDefault="003043E8" w:rsidP="00B631F2">
      <w:pPr>
        <w:pStyle w:val="Textpoznpodarou"/>
      </w:pPr>
      <w:r>
        <w:rPr>
          <w:rStyle w:val="Znakapoznpodarou"/>
        </w:rPr>
        <w:footnoteRef/>
      </w:r>
      <w:r>
        <w:t xml:space="preserve"> Detailní pravidla pro způsobilost osobních nákladů v projektech rámcových programů EU, konkrétně Horizont Evropa, je možné nalézt v Anotované modelové grantové dohodě pro Horizont Evropa a brožuře VADEMECUM Technologického centra AV ČR „Pravidla financování projektů Horizontu Evropa“.</w:t>
      </w:r>
    </w:p>
  </w:footnote>
  <w:footnote w:id="70">
    <w:p w14:paraId="049BF681" w14:textId="77777777" w:rsidR="003043E8" w:rsidRDefault="003043E8" w:rsidP="00B631F2">
      <w:pPr>
        <w:pStyle w:val="Textpoznpodarou"/>
      </w:pPr>
      <w:r>
        <w:rPr>
          <w:rStyle w:val="Znakapoznpodarou"/>
        </w:rPr>
        <w:footnoteRef/>
      </w:r>
      <w:r>
        <w:t xml:space="preserve"> Více informací k CZARMA zde </w:t>
      </w:r>
      <w:hyperlink r:id="rId26" w:history="1">
        <w:r w:rsidRPr="006C7600">
          <w:rPr>
            <w:rStyle w:val="Hypertextovodkaz"/>
          </w:rPr>
          <w:t>https://www.czarma.cz/</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58CF5" w14:textId="77777777" w:rsidR="003043E8" w:rsidRDefault="003043E8" w:rsidP="002C1E77">
    <w:pPr>
      <w:tabs>
        <w:tab w:val="center" w:pos="4536"/>
        <w:tab w:val="right" w:pos="9072"/>
      </w:tabs>
      <w:spacing w:after="0"/>
      <w:rPr>
        <w:i/>
        <w:sz w:val="18"/>
      </w:rPr>
    </w:pPr>
    <w:r w:rsidRPr="0099612B">
      <w:rPr>
        <w:i/>
        <w:sz w:val="18"/>
      </w:rPr>
      <w:t>Analýza mezinárodní spolupráce ve VaV</w:t>
    </w:r>
    <w:r>
      <w:rPr>
        <w:i/>
        <w:sz w:val="18"/>
      </w:rPr>
      <w:t>aI a </w:t>
    </w:r>
    <w:r w:rsidRPr="0099612B">
      <w:rPr>
        <w:i/>
        <w:sz w:val="18"/>
      </w:rPr>
      <w:t>návrh doporučení ke zlepšení účasti ČR</w:t>
    </w:r>
    <w:r>
      <w:rPr>
        <w:i/>
        <w:sz w:val="18"/>
      </w:rPr>
      <w:t xml:space="preserve"> v </w:t>
    </w:r>
    <w:r w:rsidRPr="0099612B">
      <w:rPr>
        <w:i/>
        <w:sz w:val="18"/>
      </w:rPr>
      <w:t>Horizontu Evropa</w:t>
    </w:r>
  </w:p>
  <w:p w14:paraId="65BD795B" w14:textId="77777777" w:rsidR="003043E8" w:rsidRPr="00172827" w:rsidRDefault="003043E8" w:rsidP="00FA11FB">
    <w:pPr>
      <w:tabs>
        <w:tab w:val="center" w:pos="4536"/>
        <w:tab w:val="right" w:pos="9072"/>
      </w:tabs>
      <w:spacing w:after="0"/>
      <w:rPr>
        <w:sz w:val="18"/>
      </w:rPr>
    </w:pPr>
    <w:r>
      <w:rPr>
        <w:noProof/>
        <w:lang w:eastAsia="cs-CZ"/>
      </w:rPr>
      <mc:AlternateContent>
        <mc:Choice Requires="wps">
          <w:drawing>
            <wp:anchor distT="4294967293" distB="4294967293" distL="114300" distR="114300" simplePos="0" relativeHeight="251658240" behindDoc="0" locked="0" layoutInCell="1" allowOverlap="1" wp14:anchorId="2874C244" wp14:editId="224D7974">
              <wp:simplePos x="0" y="0"/>
              <wp:positionH relativeFrom="column">
                <wp:posOffset>-4445</wp:posOffset>
              </wp:positionH>
              <wp:positionV relativeFrom="paragraph">
                <wp:posOffset>86994</wp:posOffset>
              </wp:positionV>
              <wp:extent cx="5743575" cy="0"/>
              <wp:effectExtent l="0" t="0" r="9525" b="19050"/>
              <wp:wrapNone/>
              <wp:docPr id="47" name="Přímá spojnice 2"/>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EditPoints="1" noChangeArrowheads="1" noChangeShapeType="1"/>
                    </wps:cNvCnPr>
                    <wps:spPr>
                      <a:xfrm>
                        <a:off x="0" y="0"/>
                        <a:ext cx="574357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827B035" id="Přímá spojnice 2" o:spid="_x0000_s1026" style="position:absolute;z-index:2516582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35pt,6.85pt" to="451.9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" strokecolor="#4a7ebb">
              <v:path arrowok="f"/>
              <o:lock v:ext="edit" aspectratio="t" verticies="t"/>
            </v:line>
          </w:pict>
        </mc:Fallback>
      </mc:AlternateContent>
    </w:r>
  </w:p>
  <w:p w14:paraId="30E576B2" w14:textId="77777777" w:rsidR="003043E8" w:rsidRDefault="003043E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9672D6" w14:textId="77777777" w:rsidR="003043E8" w:rsidRDefault="003043E8">
    <w:pPr>
      <w:pStyle w:val="Zhlav"/>
    </w:pPr>
    <w:r w:rsidRPr="00CB53FD">
      <w:rPr>
        <w:noProof/>
        <w:lang w:eastAsia="cs-CZ"/>
      </w:rPr>
      <w:drawing>
        <wp:inline distT="0" distB="0" distL="0" distR="0" wp14:anchorId="11392D50" wp14:editId="598C0531">
          <wp:extent cx="4096322" cy="1247949"/>
          <wp:effectExtent l="0" t="0" r="0" b="9525"/>
          <wp:docPr id="49" name="Obráze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4096322" cy="124794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A6200E"/>
    <w:multiLevelType w:val="hybridMultilevel"/>
    <w:tmpl w:val="D0E0D6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994E11"/>
    <w:multiLevelType w:val="hybridMultilevel"/>
    <w:tmpl w:val="395002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6EE63F1"/>
    <w:multiLevelType w:val="hybridMultilevel"/>
    <w:tmpl w:val="C52A54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8275830"/>
    <w:multiLevelType w:val="hybridMultilevel"/>
    <w:tmpl w:val="F60CE6CA"/>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4" w15:restartNumberingAfterBreak="0">
    <w:nsid w:val="1ED342C9"/>
    <w:multiLevelType w:val="hybridMultilevel"/>
    <w:tmpl w:val="B112906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23D30A22"/>
    <w:multiLevelType w:val="hybridMultilevel"/>
    <w:tmpl w:val="8752B740"/>
    <w:lvl w:ilvl="0" w:tplc="BB124752">
      <w:start w:val="1"/>
      <w:numFmt w:val="decimal"/>
      <w:pStyle w:val="Citace1"/>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7981B1D"/>
    <w:multiLevelType w:val="hybridMultilevel"/>
    <w:tmpl w:val="9A8672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81440C3"/>
    <w:multiLevelType w:val="hybridMultilevel"/>
    <w:tmpl w:val="76586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FB60754"/>
    <w:multiLevelType w:val="hybridMultilevel"/>
    <w:tmpl w:val="CADC08EE"/>
    <w:lvl w:ilvl="0" w:tplc="FFFFFFFF">
      <w:start w:val="11"/>
      <w:numFmt w:val="bullet"/>
      <w:lvlText w:val="-"/>
      <w:lvlJc w:val="left"/>
      <w:pPr>
        <w:ind w:left="720" w:hanging="360"/>
      </w:pPr>
      <w:rPr>
        <w:rFonts w:ascii="Calibri" w:hAnsi="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1804746"/>
    <w:multiLevelType w:val="hybridMultilevel"/>
    <w:tmpl w:val="FFFFFFFF"/>
    <w:lvl w:ilvl="0" w:tplc="CC5434BA">
      <w:start w:val="1"/>
      <w:numFmt w:val="bullet"/>
      <w:lvlText w:val="·"/>
      <w:lvlJc w:val="left"/>
      <w:pPr>
        <w:ind w:left="720" w:hanging="360"/>
      </w:pPr>
      <w:rPr>
        <w:rFonts w:ascii="Symbol" w:hAnsi="Symbol" w:hint="default"/>
      </w:rPr>
    </w:lvl>
    <w:lvl w:ilvl="1" w:tplc="552E37E0">
      <w:start w:val="1"/>
      <w:numFmt w:val="bullet"/>
      <w:lvlText w:val="o"/>
      <w:lvlJc w:val="left"/>
      <w:pPr>
        <w:ind w:left="1440" w:hanging="360"/>
      </w:pPr>
      <w:rPr>
        <w:rFonts w:ascii="Courier New" w:hAnsi="Courier New" w:hint="default"/>
      </w:rPr>
    </w:lvl>
    <w:lvl w:ilvl="2" w:tplc="F68624AC">
      <w:start w:val="1"/>
      <w:numFmt w:val="bullet"/>
      <w:lvlText w:val=""/>
      <w:lvlJc w:val="left"/>
      <w:pPr>
        <w:ind w:left="2160" w:hanging="360"/>
      </w:pPr>
      <w:rPr>
        <w:rFonts w:ascii="Wingdings" w:hAnsi="Wingdings" w:hint="default"/>
      </w:rPr>
    </w:lvl>
    <w:lvl w:ilvl="3" w:tplc="5CEC215A">
      <w:start w:val="1"/>
      <w:numFmt w:val="bullet"/>
      <w:lvlText w:val=""/>
      <w:lvlJc w:val="left"/>
      <w:pPr>
        <w:ind w:left="2880" w:hanging="360"/>
      </w:pPr>
      <w:rPr>
        <w:rFonts w:ascii="Symbol" w:hAnsi="Symbol" w:hint="default"/>
      </w:rPr>
    </w:lvl>
    <w:lvl w:ilvl="4" w:tplc="E252ECD8">
      <w:start w:val="1"/>
      <w:numFmt w:val="bullet"/>
      <w:lvlText w:val="o"/>
      <w:lvlJc w:val="left"/>
      <w:pPr>
        <w:ind w:left="3600" w:hanging="360"/>
      </w:pPr>
      <w:rPr>
        <w:rFonts w:ascii="Courier New" w:hAnsi="Courier New" w:hint="default"/>
      </w:rPr>
    </w:lvl>
    <w:lvl w:ilvl="5" w:tplc="9C225430">
      <w:start w:val="1"/>
      <w:numFmt w:val="bullet"/>
      <w:lvlText w:val=""/>
      <w:lvlJc w:val="left"/>
      <w:pPr>
        <w:ind w:left="4320" w:hanging="360"/>
      </w:pPr>
      <w:rPr>
        <w:rFonts w:ascii="Wingdings" w:hAnsi="Wingdings" w:hint="default"/>
      </w:rPr>
    </w:lvl>
    <w:lvl w:ilvl="6" w:tplc="267019F0">
      <w:start w:val="1"/>
      <w:numFmt w:val="bullet"/>
      <w:lvlText w:val=""/>
      <w:lvlJc w:val="left"/>
      <w:pPr>
        <w:ind w:left="5040" w:hanging="360"/>
      </w:pPr>
      <w:rPr>
        <w:rFonts w:ascii="Symbol" w:hAnsi="Symbol" w:hint="default"/>
      </w:rPr>
    </w:lvl>
    <w:lvl w:ilvl="7" w:tplc="79CC2968">
      <w:start w:val="1"/>
      <w:numFmt w:val="bullet"/>
      <w:lvlText w:val="o"/>
      <w:lvlJc w:val="left"/>
      <w:pPr>
        <w:ind w:left="5760" w:hanging="360"/>
      </w:pPr>
      <w:rPr>
        <w:rFonts w:ascii="Courier New" w:hAnsi="Courier New" w:hint="default"/>
      </w:rPr>
    </w:lvl>
    <w:lvl w:ilvl="8" w:tplc="F2A2F2EC">
      <w:start w:val="1"/>
      <w:numFmt w:val="bullet"/>
      <w:lvlText w:val=""/>
      <w:lvlJc w:val="left"/>
      <w:pPr>
        <w:ind w:left="6480" w:hanging="360"/>
      </w:pPr>
      <w:rPr>
        <w:rFonts w:ascii="Wingdings" w:hAnsi="Wingdings" w:hint="default"/>
      </w:rPr>
    </w:lvl>
  </w:abstractNum>
  <w:abstractNum w:abstractNumId="10" w15:restartNumberingAfterBreak="0">
    <w:nsid w:val="33951BE1"/>
    <w:multiLevelType w:val="hybridMultilevel"/>
    <w:tmpl w:val="77043A7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860705"/>
    <w:multiLevelType w:val="hybridMultilevel"/>
    <w:tmpl w:val="FFFFFFFF"/>
    <w:lvl w:ilvl="0" w:tplc="790070FE">
      <w:start w:val="1"/>
      <w:numFmt w:val="bullet"/>
      <w:lvlText w:val="·"/>
      <w:lvlJc w:val="left"/>
      <w:pPr>
        <w:ind w:left="720" w:hanging="360"/>
      </w:pPr>
      <w:rPr>
        <w:rFonts w:ascii="Symbol" w:hAnsi="Symbol" w:hint="default"/>
      </w:rPr>
    </w:lvl>
    <w:lvl w:ilvl="1" w:tplc="647423A8">
      <w:start w:val="1"/>
      <w:numFmt w:val="bullet"/>
      <w:lvlText w:val="o"/>
      <w:lvlJc w:val="left"/>
      <w:pPr>
        <w:ind w:left="1440" w:hanging="360"/>
      </w:pPr>
      <w:rPr>
        <w:rFonts w:ascii="Courier New" w:hAnsi="Courier New" w:hint="default"/>
      </w:rPr>
    </w:lvl>
    <w:lvl w:ilvl="2" w:tplc="4790F3DA">
      <w:start w:val="1"/>
      <w:numFmt w:val="bullet"/>
      <w:lvlText w:val=""/>
      <w:lvlJc w:val="left"/>
      <w:pPr>
        <w:ind w:left="2160" w:hanging="360"/>
      </w:pPr>
      <w:rPr>
        <w:rFonts w:ascii="Wingdings" w:hAnsi="Wingdings" w:hint="default"/>
      </w:rPr>
    </w:lvl>
    <w:lvl w:ilvl="3" w:tplc="7AD0F10C">
      <w:start w:val="1"/>
      <w:numFmt w:val="bullet"/>
      <w:lvlText w:val=""/>
      <w:lvlJc w:val="left"/>
      <w:pPr>
        <w:ind w:left="2880" w:hanging="360"/>
      </w:pPr>
      <w:rPr>
        <w:rFonts w:ascii="Symbol" w:hAnsi="Symbol" w:hint="default"/>
      </w:rPr>
    </w:lvl>
    <w:lvl w:ilvl="4" w:tplc="F0DCE64E">
      <w:start w:val="1"/>
      <w:numFmt w:val="bullet"/>
      <w:lvlText w:val="o"/>
      <w:lvlJc w:val="left"/>
      <w:pPr>
        <w:ind w:left="3600" w:hanging="360"/>
      </w:pPr>
      <w:rPr>
        <w:rFonts w:ascii="Courier New" w:hAnsi="Courier New" w:hint="default"/>
      </w:rPr>
    </w:lvl>
    <w:lvl w:ilvl="5" w:tplc="F6024EFE">
      <w:start w:val="1"/>
      <w:numFmt w:val="bullet"/>
      <w:lvlText w:val=""/>
      <w:lvlJc w:val="left"/>
      <w:pPr>
        <w:ind w:left="4320" w:hanging="360"/>
      </w:pPr>
      <w:rPr>
        <w:rFonts w:ascii="Wingdings" w:hAnsi="Wingdings" w:hint="default"/>
      </w:rPr>
    </w:lvl>
    <w:lvl w:ilvl="6" w:tplc="E94821C6">
      <w:start w:val="1"/>
      <w:numFmt w:val="bullet"/>
      <w:lvlText w:val=""/>
      <w:lvlJc w:val="left"/>
      <w:pPr>
        <w:ind w:left="5040" w:hanging="360"/>
      </w:pPr>
      <w:rPr>
        <w:rFonts w:ascii="Symbol" w:hAnsi="Symbol" w:hint="default"/>
      </w:rPr>
    </w:lvl>
    <w:lvl w:ilvl="7" w:tplc="0E205276">
      <w:start w:val="1"/>
      <w:numFmt w:val="bullet"/>
      <w:lvlText w:val="o"/>
      <w:lvlJc w:val="left"/>
      <w:pPr>
        <w:ind w:left="5760" w:hanging="360"/>
      </w:pPr>
      <w:rPr>
        <w:rFonts w:ascii="Courier New" w:hAnsi="Courier New" w:hint="default"/>
      </w:rPr>
    </w:lvl>
    <w:lvl w:ilvl="8" w:tplc="FB0CA40A">
      <w:start w:val="1"/>
      <w:numFmt w:val="bullet"/>
      <w:lvlText w:val=""/>
      <w:lvlJc w:val="left"/>
      <w:pPr>
        <w:ind w:left="6480" w:hanging="360"/>
      </w:pPr>
      <w:rPr>
        <w:rFonts w:ascii="Wingdings" w:hAnsi="Wingdings" w:hint="default"/>
      </w:rPr>
    </w:lvl>
  </w:abstractNum>
  <w:abstractNum w:abstractNumId="12" w15:restartNumberingAfterBreak="0">
    <w:nsid w:val="3C9D0228"/>
    <w:multiLevelType w:val="hybridMultilevel"/>
    <w:tmpl w:val="0D3E4242"/>
    <w:lvl w:ilvl="0" w:tplc="04050001">
      <w:start w:val="1"/>
      <w:numFmt w:val="bullet"/>
      <w:lvlText w:val=""/>
      <w:lvlJc w:val="left"/>
      <w:pPr>
        <w:ind w:left="720" w:hanging="360"/>
      </w:pPr>
      <w:rPr>
        <w:rFonts w:ascii="Symbol" w:hAnsi="Symbol" w:hint="default"/>
      </w:rPr>
    </w:lvl>
    <w:lvl w:ilvl="1" w:tplc="5E462D74">
      <w:numFmt w:val="bullet"/>
      <w:lvlText w:val="•"/>
      <w:lvlJc w:val="left"/>
      <w:pPr>
        <w:ind w:left="1785" w:hanging="705"/>
      </w:pPr>
      <w:rPr>
        <w:rFonts w:ascii="Calibri" w:eastAsia="Calibri"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D1E5FB1"/>
    <w:multiLevelType w:val="hybridMultilevel"/>
    <w:tmpl w:val="8A984F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1A22EB2"/>
    <w:multiLevelType w:val="hybridMultilevel"/>
    <w:tmpl w:val="2BFCD9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3432B0C"/>
    <w:multiLevelType w:val="hybridMultilevel"/>
    <w:tmpl w:val="7292B3D6"/>
    <w:lvl w:ilvl="0" w:tplc="FFFFFFFF">
      <w:start w:val="1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6574006"/>
    <w:multiLevelType w:val="multilevel"/>
    <w:tmpl w:val="53789AC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7" w15:restartNumberingAfterBreak="0">
    <w:nsid w:val="481F0F3E"/>
    <w:multiLevelType w:val="hybridMultilevel"/>
    <w:tmpl w:val="EDE0483A"/>
    <w:lvl w:ilvl="0" w:tplc="A3D2261E">
      <w:start w:val="1"/>
      <w:numFmt w:val="decimal"/>
      <w:lvlText w:val="[I%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8844417"/>
    <w:multiLevelType w:val="hybridMultilevel"/>
    <w:tmpl w:val="FFFFFFFF"/>
    <w:lvl w:ilvl="0" w:tplc="CAFE0FA4">
      <w:start w:val="1"/>
      <w:numFmt w:val="bullet"/>
      <w:lvlText w:val=""/>
      <w:lvlJc w:val="left"/>
      <w:pPr>
        <w:ind w:left="720" w:hanging="360"/>
      </w:pPr>
      <w:rPr>
        <w:rFonts w:ascii="Symbol" w:hAnsi="Symbol" w:hint="default"/>
      </w:rPr>
    </w:lvl>
    <w:lvl w:ilvl="1" w:tplc="801E7940">
      <w:start w:val="1"/>
      <w:numFmt w:val="bullet"/>
      <w:lvlText w:val="o"/>
      <w:lvlJc w:val="left"/>
      <w:pPr>
        <w:ind w:left="1440" w:hanging="360"/>
      </w:pPr>
      <w:rPr>
        <w:rFonts w:ascii="Courier New" w:hAnsi="Courier New" w:hint="default"/>
      </w:rPr>
    </w:lvl>
    <w:lvl w:ilvl="2" w:tplc="083C41EC">
      <w:start w:val="1"/>
      <w:numFmt w:val="bullet"/>
      <w:lvlText w:val=""/>
      <w:lvlJc w:val="left"/>
      <w:pPr>
        <w:ind w:left="2160" w:hanging="360"/>
      </w:pPr>
      <w:rPr>
        <w:rFonts w:ascii="Wingdings" w:hAnsi="Wingdings" w:hint="default"/>
      </w:rPr>
    </w:lvl>
    <w:lvl w:ilvl="3" w:tplc="858E0B20">
      <w:start w:val="1"/>
      <w:numFmt w:val="bullet"/>
      <w:lvlText w:val=""/>
      <w:lvlJc w:val="left"/>
      <w:pPr>
        <w:ind w:left="2880" w:hanging="360"/>
      </w:pPr>
      <w:rPr>
        <w:rFonts w:ascii="Symbol" w:hAnsi="Symbol" w:hint="default"/>
      </w:rPr>
    </w:lvl>
    <w:lvl w:ilvl="4" w:tplc="35485E78">
      <w:start w:val="1"/>
      <w:numFmt w:val="bullet"/>
      <w:lvlText w:val="o"/>
      <w:lvlJc w:val="left"/>
      <w:pPr>
        <w:ind w:left="3600" w:hanging="360"/>
      </w:pPr>
      <w:rPr>
        <w:rFonts w:ascii="Courier New" w:hAnsi="Courier New" w:hint="default"/>
      </w:rPr>
    </w:lvl>
    <w:lvl w:ilvl="5" w:tplc="A906E3FE">
      <w:start w:val="1"/>
      <w:numFmt w:val="bullet"/>
      <w:lvlText w:val=""/>
      <w:lvlJc w:val="left"/>
      <w:pPr>
        <w:ind w:left="4320" w:hanging="360"/>
      </w:pPr>
      <w:rPr>
        <w:rFonts w:ascii="Wingdings" w:hAnsi="Wingdings" w:hint="default"/>
      </w:rPr>
    </w:lvl>
    <w:lvl w:ilvl="6" w:tplc="293C6482">
      <w:start w:val="1"/>
      <w:numFmt w:val="bullet"/>
      <w:lvlText w:val=""/>
      <w:lvlJc w:val="left"/>
      <w:pPr>
        <w:ind w:left="5040" w:hanging="360"/>
      </w:pPr>
      <w:rPr>
        <w:rFonts w:ascii="Symbol" w:hAnsi="Symbol" w:hint="default"/>
      </w:rPr>
    </w:lvl>
    <w:lvl w:ilvl="7" w:tplc="610C81F6">
      <w:start w:val="1"/>
      <w:numFmt w:val="bullet"/>
      <w:lvlText w:val="o"/>
      <w:lvlJc w:val="left"/>
      <w:pPr>
        <w:ind w:left="5760" w:hanging="360"/>
      </w:pPr>
      <w:rPr>
        <w:rFonts w:ascii="Courier New" w:hAnsi="Courier New" w:hint="default"/>
      </w:rPr>
    </w:lvl>
    <w:lvl w:ilvl="8" w:tplc="418CEA18">
      <w:start w:val="1"/>
      <w:numFmt w:val="bullet"/>
      <w:lvlText w:val=""/>
      <w:lvlJc w:val="left"/>
      <w:pPr>
        <w:ind w:left="6480" w:hanging="360"/>
      </w:pPr>
      <w:rPr>
        <w:rFonts w:ascii="Wingdings" w:hAnsi="Wingdings" w:hint="default"/>
      </w:rPr>
    </w:lvl>
  </w:abstractNum>
  <w:abstractNum w:abstractNumId="19" w15:restartNumberingAfterBreak="0">
    <w:nsid w:val="4C966CBD"/>
    <w:multiLevelType w:val="hybridMultilevel"/>
    <w:tmpl w:val="985690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DCA7995"/>
    <w:multiLevelType w:val="hybridMultilevel"/>
    <w:tmpl w:val="F582258C"/>
    <w:lvl w:ilvl="0" w:tplc="EE04BF8C">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1B560CB"/>
    <w:multiLevelType w:val="hybridMultilevel"/>
    <w:tmpl w:val="1514DCD0"/>
    <w:lvl w:ilvl="0" w:tplc="B60A55AA">
      <w:start w:val="1"/>
      <w:numFmt w:val="bullet"/>
      <w:lvlText w:val=""/>
      <w:lvlJc w:val="left"/>
      <w:pPr>
        <w:ind w:left="720" w:hanging="360"/>
      </w:pPr>
      <w:rPr>
        <w:rFonts w:ascii="Symbol" w:hAnsi="Symbol" w:hint="default"/>
      </w:rPr>
    </w:lvl>
    <w:lvl w:ilvl="1" w:tplc="D55A63E2">
      <w:start w:val="1"/>
      <w:numFmt w:val="bullet"/>
      <w:lvlText w:val="o"/>
      <w:lvlJc w:val="left"/>
      <w:pPr>
        <w:ind w:left="1440" w:hanging="360"/>
      </w:pPr>
      <w:rPr>
        <w:rFonts w:ascii="Courier New" w:hAnsi="Courier New" w:hint="default"/>
      </w:rPr>
    </w:lvl>
    <w:lvl w:ilvl="2" w:tplc="3BF0EFCA">
      <w:start w:val="1"/>
      <w:numFmt w:val="bullet"/>
      <w:lvlText w:val=""/>
      <w:lvlJc w:val="left"/>
      <w:pPr>
        <w:ind w:left="2160" w:hanging="360"/>
      </w:pPr>
      <w:rPr>
        <w:rFonts w:ascii="Wingdings" w:hAnsi="Wingdings" w:hint="default"/>
      </w:rPr>
    </w:lvl>
    <w:lvl w:ilvl="3" w:tplc="B61853EE">
      <w:start w:val="1"/>
      <w:numFmt w:val="bullet"/>
      <w:lvlText w:val=""/>
      <w:lvlJc w:val="left"/>
      <w:pPr>
        <w:ind w:left="2880" w:hanging="360"/>
      </w:pPr>
      <w:rPr>
        <w:rFonts w:ascii="Symbol" w:hAnsi="Symbol" w:hint="default"/>
      </w:rPr>
    </w:lvl>
    <w:lvl w:ilvl="4" w:tplc="68EA47A0">
      <w:start w:val="1"/>
      <w:numFmt w:val="bullet"/>
      <w:lvlText w:val="o"/>
      <w:lvlJc w:val="left"/>
      <w:pPr>
        <w:ind w:left="3600" w:hanging="360"/>
      </w:pPr>
      <w:rPr>
        <w:rFonts w:ascii="Courier New" w:hAnsi="Courier New" w:hint="default"/>
      </w:rPr>
    </w:lvl>
    <w:lvl w:ilvl="5" w:tplc="153882A2">
      <w:start w:val="1"/>
      <w:numFmt w:val="bullet"/>
      <w:lvlText w:val=""/>
      <w:lvlJc w:val="left"/>
      <w:pPr>
        <w:ind w:left="4320" w:hanging="360"/>
      </w:pPr>
      <w:rPr>
        <w:rFonts w:ascii="Wingdings" w:hAnsi="Wingdings" w:hint="default"/>
      </w:rPr>
    </w:lvl>
    <w:lvl w:ilvl="6" w:tplc="03AC1C9E">
      <w:start w:val="1"/>
      <w:numFmt w:val="bullet"/>
      <w:lvlText w:val=""/>
      <w:lvlJc w:val="left"/>
      <w:pPr>
        <w:ind w:left="5040" w:hanging="360"/>
      </w:pPr>
      <w:rPr>
        <w:rFonts w:ascii="Symbol" w:hAnsi="Symbol" w:hint="default"/>
      </w:rPr>
    </w:lvl>
    <w:lvl w:ilvl="7" w:tplc="2380280E">
      <w:start w:val="1"/>
      <w:numFmt w:val="bullet"/>
      <w:lvlText w:val="o"/>
      <w:lvlJc w:val="left"/>
      <w:pPr>
        <w:ind w:left="5760" w:hanging="360"/>
      </w:pPr>
      <w:rPr>
        <w:rFonts w:ascii="Courier New" w:hAnsi="Courier New" w:hint="default"/>
      </w:rPr>
    </w:lvl>
    <w:lvl w:ilvl="8" w:tplc="10B09C56">
      <w:start w:val="1"/>
      <w:numFmt w:val="bullet"/>
      <w:lvlText w:val=""/>
      <w:lvlJc w:val="left"/>
      <w:pPr>
        <w:ind w:left="6480" w:hanging="360"/>
      </w:pPr>
      <w:rPr>
        <w:rFonts w:ascii="Wingdings" w:hAnsi="Wingdings" w:hint="default"/>
      </w:rPr>
    </w:lvl>
  </w:abstractNum>
  <w:abstractNum w:abstractNumId="22" w15:restartNumberingAfterBreak="0">
    <w:nsid w:val="54132F5B"/>
    <w:multiLevelType w:val="hybridMultilevel"/>
    <w:tmpl w:val="96B4FA8C"/>
    <w:lvl w:ilvl="0" w:tplc="8EEA3152">
      <w:start w:val="1"/>
      <w:numFmt w:val="decimal"/>
      <w:lvlText w:val="[N%1]"/>
      <w:lvlJc w:val="left"/>
      <w:pPr>
        <w:ind w:left="720" w:hanging="360"/>
      </w:pPr>
      <w:rPr>
        <w:rFonts w:hint="default"/>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E315060"/>
    <w:multiLevelType w:val="hybridMultilevel"/>
    <w:tmpl w:val="8A848F5C"/>
    <w:lvl w:ilvl="0" w:tplc="499EA3D2">
      <w:start w:val="1"/>
      <w:numFmt w:val="upperRoman"/>
      <w:lvlText w:val="%1."/>
      <w:lvlJc w:val="left"/>
      <w:pPr>
        <w:ind w:left="720" w:hanging="360"/>
      </w:pPr>
    </w:lvl>
    <w:lvl w:ilvl="1" w:tplc="4F748DF0">
      <w:start w:val="1"/>
      <w:numFmt w:val="lowerLetter"/>
      <w:lvlText w:val="%2."/>
      <w:lvlJc w:val="left"/>
      <w:pPr>
        <w:ind w:left="1440" w:hanging="360"/>
      </w:pPr>
    </w:lvl>
    <w:lvl w:ilvl="2" w:tplc="C62E7C8C">
      <w:start w:val="1"/>
      <w:numFmt w:val="lowerRoman"/>
      <w:lvlText w:val="%3."/>
      <w:lvlJc w:val="right"/>
      <w:pPr>
        <w:ind w:left="2160" w:hanging="180"/>
      </w:pPr>
    </w:lvl>
    <w:lvl w:ilvl="3" w:tplc="94A05D6A">
      <w:start w:val="1"/>
      <w:numFmt w:val="decimal"/>
      <w:lvlText w:val="%4."/>
      <w:lvlJc w:val="left"/>
      <w:pPr>
        <w:ind w:left="2880" w:hanging="360"/>
      </w:pPr>
    </w:lvl>
    <w:lvl w:ilvl="4" w:tplc="0FE29266">
      <w:start w:val="1"/>
      <w:numFmt w:val="lowerLetter"/>
      <w:lvlText w:val="%5."/>
      <w:lvlJc w:val="left"/>
      <w:pPr>
        <w:ind w:left="3600" w:hanging="360"/>
      </w:pPr>
    </w:lvl>
    <w:lvl w:ilvl="5" w:tplc="C5D04112">
      <w:start w:val="1"/>
      <w:numFmt w:val="lowerRoman"/>
      <w:lvlText w:val="%6."/>
      <w:lvlJc w:val="right"/>
      <w:pPr>
        <w:ind w:left="4320" w:hanging="180"/>
      </w:pPr>
    </w:lvl>
    <w:lvl w:ilvl="6" w:tplc="A9CCA6D6">
      <w:start w:val="1"/>
      <w:numFmt w:val="decimal"/>
      <w:lvlText w:val="%7."/>
      <w:lvlJc w:val="left"/>
      <w:pPr>
        <w:ind w:left="5040" w:hanging="360"/>
      </w:pPr>
    </w:lvl>
    <w:lvl w:ilvl="7" w:tplc="E04A0E44">
      <w:start w:val="1"/>
      <w:numFmt w:val="lowerLetter"/>
      <w:lvlText w:val="%8."/>
      <w:lvlJc w:val="left"/>
      <w:pPr>
        <w:ind w:left="5760" w:hanging="360"/>
      </w:pPr>
    </w:lvl>
    <w:lvl w:ilvl="8" w:tplc="89782570">
      <w:start w:val="1"/>
      <w:numFmt w:val="lowerRoman"/>
      <w:lvlText w:val="%9."/>
      <w:lvlJc w:val="right"/>
      <w:pPr>
        <w:ind w:left="6480" w:hanging="180"/>
      </w:pPr>
    </w:lvl>
  </w:abstractNum>
  <w:abstractNum w:abstractNumId="24" w15:restartNumberingAfterBreak="0">
    <w:nsid w:val="5F4E6DA0"/>
    <w:multiLevelType w:val="hybridMultilevel"/>
    <w:tmpl w:val="63FE826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614315E4"/>
    <w:multiLevelType w:val="hybridMultilevel"/>
    <w:tmpl w:val="FEDAA2E4"/>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6" w15:restartNumberingAfterBreak="0">
    <w:nsid w:val="62FF2292"/>
    <w:multiLevelType w:val="hybridMultilevel"/>
    <w:tmpl w:val="CAF81818"/>
    <w:lvl w:ilvl="0" w:tplc="9F9EF07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5EA80BE"/>
    <w:multiLevelType w:val="hybridMultilevel"/>
    <w:tmpl w:val="FFFFFFFF"/>
    <w:lvl w:ilvl="0" w:tplc="D54C7748">
      <w:start w:val="1"/>
      <w:numFmt w:val="bullet"/>
      <w:lvlText w:val=""/>
      <w:lvlJc w:val="left"/>
      <w:pPr>
        <w:ind w:left="720" w:hanging="360"/>
      </w:pPr>
      <w:rPr>
        <w:rFonts w:ascii="Symbol" w:hAnsi="Symbol" w:hint="default"/>
      </w:rPr>
    </w:lvl>
    <w:lvl w:ilvl="1" w:tplc="6706C16C">
      <w:start w:val="1"/>
      <w:numFmt w:val="bullet"/>
      <w:lvlText w:val="o"/>
      <w:lvlJc w:val="left"/>
      <w:pPr>
        <w:ind w:left="1440" w:hanging="360"/>
      </w:pPr>
      <w:rPr>
        <w:rFonts w:ascii="Courier New" w:hAnsi="Courier New" w:hint="default"/>
      </w:rPr>
    </w:lvl>
    <w:lvl w:ilvl="2" w:tplc="F7A4D0C4">
      <w:start w:val="1"/>
      <w:numFmt w:val="bullet"/>
      <w:lvlText w:val=""/>
      <w:lvlJc w:val="left"/>
      <w:pPr>
        <w:ind w:left="2160" w:hanging="360"/>
      </w:pPr>
      <w:rPr>
        <w:rFonts w:ascii="Wingdings" w:hAnsi="Wingdings" w:hint="default"/>
      </w:rPr>
    </w:lvl>
    <w:lvl w:ilvl="3" w:tplc="784690D8">
      <w:start w:val="1"/>
      <w:numFmt w:val="bullet"/>
      <w:lvlText w:val=""/>
      <w:lvlJc w:val="left"/>
      <w:pPr>
        <w:ind w:left="2880" w:hanging="360"/>
      </w:pPr>
      <w:rPr>
        <w:rFonts w:ascii="Symbol" w:hAnsi="Symbol" w:hint="default"/>
      </w:rPr>
    </w:lvl>
    <w:lvl w:ilvl="4" w:tplc="565C9590">
      <w:start w:val="1"/>
      <w:numFmt w:val="bullet"/>
      <w:lvlText w:val="o"/>
      <w:lvlJc w:val="left"/>
      <w:pPr>
        <w:ind w:left="3600" w:hanging="360"/>
      </w:pPr>
      <w:rPr>
        <w:rFonts w:ascii="Courier New" w:hAnsi="Courier New" w:hint="default"/>
      </w:rPr>
    </w:lvl>
    <w:lvl w:ilvl="5" w:tplc="25C2013E">
      <w:start w:val="1"/>
      <w:numFmt w:val="bullet"/>
      <w:lvlText w:val=""/>
      <w:lvlJc w:val="left"/>
      <w:pPr>
        <w:ind w:left="4320" w:hanging="360"/>
      </w:pPr>
      <w:rPr>
        <w:rFonts w:ascii="Wingdings" w:hAnsi="Wingdings" w:hint="default"/>
      </w:rPr>
    </w:lvl>
    <w:lvl w:ilvl="6" w:tplc="F2287C4A">
      <w:start w:val="1"/>
      <w:numFmt w:val="bullet"/>
      <w:lvlText w:val=""/>
      <w:lvlJc w:val="left"/>
      <w:pPr>
        <w:ind w:left="5040" w:hanging="360"/>
      </w:pPr>
      <w:rPr>
        <w:rFonts w:ascii="Symbol" w:hAnsi="Symbol" w:hint="default"/>
      </w:rPr>
    </w:lvl>
    <w:lvl w:ilvl="7" w:tplc="BFCC9D60">
      <w:start w:val="1"/>
      <w:numFmt w:val="bullet"/>
      <w:lvlText w:val="o"/>
      <w:lvlJc w:val="left"/>
      <w:pPr>
        <w:ind w:left="5760" w:hanging="360"/>
      </w:pPr>
      <w:rPr>
        <w:rFonts w:ascii="Courier New" w:hAnsi="Courier New" w:hint="default"/>
      </w:rPr>
    </w:lvl>
    <w:lvl w:ilvl="8" w:tplc="FDBE07AA">
      <w:start w:val="1"/>
      <w:numFmt w:val="bullet"/>
      <w:lvlText w:val=""/>
      <w:lvlJc w:val="left"/>
      <w:pPr>
        <w:ind w:left="6480" w:hanging="360"/>
      </w:pPr>
      <w:rPr>
        <w:rFonts w:ascii="Wingdings" w:hAnsi="Wingdings" w:hint="default"/>
      </w:rPr>
    </w:lvl>
  </w:abstractNum>
  <w:abstractNum w:abstractNumId="28" w15:restartNumberingAfterBreak="0">
    <w:nsid w:val="6B00388D"/>
    <w:multiLevelType w:val="hybridMultilevel"/>
    <w:tmpl w:val="7DEC54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B87771D"/>
    <w:multiLevelType w:val="hybridMultilevel"/>
    <w:tmpl w:val="A9B4D5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CFB2FF9"/>
    <w:multiLevelType w:val="hybridMultilevel"/>
    <w:tmpl w:val="2BDE56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72D3C98"/>
    <w:multiLevelType w:val="hybridMultilevel"/>
    <w:tmpl w:val="933832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7BE7415"/>
    <w:multiLevelType w:val="hybridMultilevel"/>
    <w:tmpl w:val="DD7456D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6"/>
  </w:num>
  <w:num w:numId="2">
    <w:abstractNumId w:val="5"/>
  </w:num>
  <w:num w:numId="3">
    <w:abstractNumId w:val="8"/>
  </w:num>
  <w:num w:numId="4">
    <w:abstractNumId w:val="10"/>
  </w:num>
  <w:num w:numId="5">
    <w:abstractNumId w:val="7"/>
  </w:num>
  <w:num w:numId="6">
    <w:abstractNumId w:val="2"/>
  </w:num>
  <w:num w:numId="7">
    <w:abstractNumId w:val="29"/>
  </w:num>
  <w:num w:numId="8">
    <w:abstractNumId w:val="12"/>
  </w:num>
  <w:num w:numId="9">
    <w:abstractNumId w:val="23"/>
  </w:num>
  <w:num w:numId="10">
    <w:abstractNumId w:val="21"/>
  </w:num>
  <w:num w:numId="11">
    <w:abstractNumId w:val="30"/>
  </w:num>
  <w:num w:numId="12">
    <w:abstractNumId w:val="32"/>
  </w:num>
  <w:num w:numId="13">
    <w:abstractNumId w:val="20"/>
  </w:num>
  <w:num w:numId="14">
    <w:abstractNumId w:val="24"/>
  </w:num>
  <w:num w:numId="15">
    <w:abstractNumId w:val="4"/>
  </w:num>
  <w:num w:numId="16">
    <w:abstractNumId w:val="13"/>
  </w:num>
  <w:num w:numId="17">
    <w:abstractNumId w:val="14"/>
  </w:num>
  <w:num w:numId="18">
    <w:abstractNumId w:val="27"/>
  </w:num>
  <w:num w:numId="19">
    <w:abstractNumId w:val="18"/>
  </w:num>
  <w:num w:numId="20">
    <w:abstractNumId w:val="11"/>
  </w:num>
  <w:num w:numId="21">
    <w:abstractNumId w:val="9"/>
  </w:num>
  <w:num w:numId="22">
    <w:abstractNumId w:val="6"/>
  </w:num>
  <w:num w:numId="23">
    <w:abstractNumId w:val="0"/>
  </w:num>
  <w:num w:numId="24">
    <w:abstractNumId w:val="15"/>
  </w:num>
  <w:num w:numId="25">
    <w:abstractNumId w:val="3"/>
  </w:num>
  <w:num w:numId="26">
    <w:abstractNumId w:val="31"/>
  </w:num>
  <w:num w:numId="27">
    <w:abstractNumId w:val="25"/>
  </w:num>
  <w:num w:numId="28">
    <w:abstractNumId w:val="1"/>
  </w:num>
  <w:num w:numId="29">
    <w:abstractNumId w:val="19"/>
  </w:num>
  <w:num w:numId="30">
    <w:abstractNumId w:val="26"/>
  </w:num>
  <w:num w:numId="31">
    <w:abstractNumId w:val="22"/>
  </w:num>
  <w:num w:numId="32">
    <w:abstractNumId w:val="17"/>
  </w:num>
  <w:num w:numId="33">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documentProtection w:formatting="1" w:enforcement="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bYwMrS0sDA0sLQwMTdT0lEKTi0uzszPAykwrQUAs5wSiywAAAA="/>
  </w:docVars>
  <w:rsids>
    <w:rsidRoot w:val="00156DFA"/>
    <w:rsid w:val="000003B6"/>
    <w:rsid w:val="000006C7"/>
    <w:rsid w:val="00000B98"/>
    <w:rsid w:val="00000C77"/>
    <w:rsid w:val="00000E75"/>
    <w:rsid w:val="00001143"/>
    <w:rsid w:val="00002017"/>
    <w:rsid w:val="00002079"/>
    <w:rsid w:val="0000208A"/>
    <w:rsid w:val="000027B4"/>
    <w:rsid w:val="00002C81"/>
    <w:rsid w:val="00002E6E"/>
    <w:rsid w:val="0000305B"/>
    <w:rsid w:val="000031D2"/>
    <w:rsid w:val="0000413E"/>
    <w:rsid w:val="00004721"/>
    <w:rsid w:val="0000473D"/>
    <w:rsid w:val="000047D6"/>
    <w:rsid w:val="0000499A"/>
    <w:rsid w:val="00004EC2"/>
    <w:rsid w:val="00004EF5"/>
    <w:rsid w:val="00004F9D"/>
    <w:rsid w:val="000052C5"/>
    <w:rsid w:val="0000572D"/>
    <w:rsid w:val="00005FB2"/>
    <w:rsid w:val="0000688D"/>
    <w:rsid w:val="00006895"/>
    <w:rsid w:val="00006AC5"/>
    <w:rsid w:val="00006B8B"/>
    <w:rsid w:val="00006E98"/>
    <w:rsid w:val="00006FC5"/>
    <w:rsid w:val="0000719A"/>
    <w:rsid w:val="00007726"/>
    <w:rsid w:val="0000787E"/>
    <w:rsid w:val="00007D74"/>
    <w:rsid w:val="00007E3C"/>
    <w:rsid w:val="000103E6"/>
    <w:rsid w:val="0001059E"/>
    <w:rsid w:val="000108CD"/>
    <w:rsid w:val="00010CF5"/>
    <w:rsid w:val="00010DA9"/>
    <w:rsid w:val="00011314"/>
    <w:rsid w:val="000114FC"/>
    <w:rsid w:val="000115C9"/>
    <w:rsid w:val="00011A1C"/>
    <w:rsid w:val="00011A71"/>
    <w:rsid w:val="00011F6B"/>
    <w:rsid w:val="00012012"/>
    <w:rsid w:val="000120AB"/>
    <w:rsid w:val="00012308"/>
    <w:rsid w:val="0001268A"/>
    <w:rsid w:val="00013867"/>
    <w:rsid w:val="00013988"/>
    <w:rsid w:val="00013C95"/>
    <w:rsid w:val="000142DA"/>
    <w:rsid w:val="000145C7"/>
    <w:rsid w:val="000152BF"/>
    <w:rsid w:val="00015C89"/>
    <w:rsid w:val="00016487"/>
    <w:rsid w:val="00016A0C"/>
    <w:rsid w:val="00016F6A"/>
    <w:rsid w:val="00016FA3"/>
    <w:rsid w:val="00017525"/>
    <w:rsid w:val="00017685"/>
    <w:rsid w:val="00017A23"/>
    <w:rsid w:val="00017AF2"/>
    <w:rsid w:val="00017C6C"/>
    <w:rsid w:val="00017C8D"/>
    <w:rsid w:val="00017E38"/>
    <w:rsid w:val="00017E47"/>
    <w:rsid w:val="00020578"/>
    <w:rsid w:val="00020B1C"/>
    <w:rsid w:val="00020DD5"/>
    <w:rsid w:val="00021695"/>
    <w:rsid w:val="00021950"/>
    <w:rsid w:val="00021964"/>
    <w:rsid w:val="00021A10"/>
    <w:rsid w:val="00021A6B"/>
    <w:rsid w:val="00021B89"/>
    <w:rsid w:val="000224DA"/>
    <w:rsid w:val="0002254C"/>
    <w:rsid w:val="00022596"/>
    <w:rsid w:val="00023FE4"/>
    <w:rsid w:val="000248E2"/>
    <w:rsid w:val="000249C1"/>
    <w:rsid w:val="00024C8B"/>
    <w:rsid w:val="00024CAF"/>
    <w:rsid w:val="000252C3"/>
    <w:rsid w:val="00025BEA"/>
    <w:rsid w:val="00025C57"/>
    <w:rsid w:val="00025EBD"/>
    <w:rsid w:val="000262E5"/>
    <w:rsid w:val="000268E0"/>
    <w:rsid w:val="00026DAA"/>
    <w:rsid w:val="0002746A"/>
    <w:rsid w:val="0002762F"/>
    <w:rsid w:val="000278EB"/>
    <w:rsid w:val="000279AF"/>
    <w:rsid w:val="00027A36"/>
    <w:rsid w:val="00027B2D"/>
    <w:rsid w:val="00027BD8"/>
    <w:rsid w:val="00027F87"/>
    <w:rsid w:val="00030130"/>
    <w:rsid w:val="00030169"/>
    <w:rsid w:val="00030261"/>
    <w:rsid w:val="00030440"/>
    <w:rsid w:val="0003048C"/>
    <w:rsid w:val="00030C12"/>
    <w:rsid w:val="00030EFE"/>
    <w:rsid w:val="00030F00"/>
    <w:rsid w:val="000312DA"/>
    <w:rsid w:val="00031801"/>
    <w:rsid w:val="00031D3B"/>
    <w:rsid w:val="00031FA1"/>
    <w:rsid w:val="000322AA"/>
    <w:rsid w:val="000327AB"/>
    <w:rsid w:val="000327B3"/>
    <w:rsid w:val="00032C6F"/>
    <w:rsid w:val="0003326E"/>
    <w:rsid w:val="000333C2"/>
    <w:rsid w:val="0003360D"/>
    <w:rsid w:val="0003396E"/>
    <w:rsid w:val="000340D9"/>
    <w:rsid w:val="000340DC"/>
    <w:rsid w:val="00034181"/>
    <w:rsid w:val="000342F8"/>
    <w:rsid w:val="0003471C"/>
    <w:rsid w:val="0003474F"/>
    <w:rsid w:val="00034E0B"/>
    <w:rsid w:val="00034F7B"/>
    <w:rsid w:val="00035088"/>
    <w:rsid w:val="000352B9"/>
    <w:rsid w:val="000352E0"/>
    <w:rsid w:val="0003531E"/>
    <w:rsid w:val="00035690"/>
    <w:rsid w:val="00035C09"/>
    <w:rsid w:val="00036124"/>
    <w:rsid w:val="000361F7"/>
    <w:rsid w:val="00036698"/>
    <w:rsid w:val="00036783"/>
    <w:rsid w:val="00036878"/>
    <w:rsid w:val="0003694B"/>
    <w:rsid w:val="00036AB3"/>
    <w:rsid w:val="00036ADA"/>
    <w:rsid w:val="00036BEF"/>
    <w:rsid w:val="00036DC9"/>
    <w:rsid w:val="00037D4E"/>
    <w:rsid w:val="00040016"/>
    <w:rsid w:val="00041970"/>
    <w:rsid w:val="00041B52"/>
    <w:rsid w:val="00041CC3"/>
    <w:rsid w:val="000426D8"/>
    <w:rsid w:val="00042715"/>
    <w:rsid w:val="000428E7"/>
    <w:rsid w:val="00042947"/>
    <w:rsid w:val="00042AE0"/>
    <w:rsid w:val="00043060"/>
    <w:rsid w:val="000432E9"/>
    <w:rsid w:val="0004340E"/>
    <w:rsid w:val="00043848"/>
    <w:rsid w:val="00043A6F"/>
    <w:rsid w:val="00043D20"/>
    <w:rsid w:val="00043EA3"/>
    <w:rsid w:val="00044096"/>
    <w:rsid w:val="000440A3"/>
    <w:rsid w:val="0004428C"/>
    <w:rsid w:val="0004492C"/>
    <w:rsid w:val="000454B0"/>
    <w:rsid w:val="0004555F"/>
    <w:rsid w:val="0004597D"/>
    <w:rsid w:val="000459BA"/>
    <w:rsid w:val="00045A2A"/>
    <w:rsid w:val="00045A79"/>
    <w:rsid w:val="00045FB4"/>
    <w:rsid w:val="00045FF0"/>
    <w:rsid w:val="0004603C"/>
    <w:rsid w:val="00046493"/>
    <w:rsid w:val="00046C0A"/>
    <w:rsid w:val="00046FA2"/>
    <w:rsid w:val="00047346"/>
    <w:rsid w:val="00047A76"/>
    <w:rsid w:val="00050072"/>
    <w:rsid w:val="00050319"/>
    <w:rsid w:val="00050334"/>
    <w:rsid w:val="000506CF"/>
    <w:rsid w:val="000506D6"/>
    <w:rsid w:val="00050D8D"/>
    <w:rsid w:val="00051013"/>
    <w:rsid w:val="000510E9"/>
    <w:rsid w:val="000519D2"/>
    <w:rsid w:val="00051B54"/>
    <w:rsid w:val="00051C18"/>
    <w:rsid w:val="00051CDC"/>
    <w:rsid w:val="0005200D"/>
    <w:rsid w:val="0005203B"/>
    <w:rsid w:val="000534FC"/>
    <w:rsid w:val="00053561"/>
    <w:rsid w:val="000537EA"/>
    <w:rsid w:val="000538AA"/>
    <w:rsid w:val="00053AD2"/>
    <w:rsid w:val="00053D57"/>
    <w:rsid w:val="00053D8B"/>
    <w:rsid w:val="00053FA8"/>
    <w:rsid w:val="000543C1"/>
    <w:rsid w:val="00054A86"/>
    <w:rsid w:val="00054B6F"/>
    <w:rsid w:val="000552C6"/>
    <w:rsid w:val="00055775"/>
    <w:rsid w:val="00055899"/>
    <w:rsid w:val="00055D37"/>
    <w:rsid w:val="00055F65"/>
    <w:rsid w:val="000563A0"/>
    <w:rsid w:val="00056476"/>
    <w:rsid w:val="000564B4"/>
    <w:rsid w:val="00056BDF"/>
    <w:rsid w:val="00057134"/>
    <w:rsid w:val="0005721A"/>
    <w:rsid w:val="0005787F"/>
    <w:rsid w:val="0005793B"/>
    <w:rsid w:val="00057B51"/>
    <w:rsid w:val="00057EDA"/>
    <w:rsid w:val="0006019C"/>
    <w:rsid w:val="000602C4"/>
    <w:rsid w:val="000604E6"/>
    <w:rsid w:val="000605DA"/>
    <w:rsid w:val="0006076F"/>
    <w:rsid w:val="00060C88"/>
    <w:rsid w:val="00061186"/>
    <w:rsid w:val="00061431"/>
    <w:rsid w:val="00061745"/>
    <w:rsid w:val="00061A91"/>
    <w:rsid w:val="00061F92"/>
    <w:rsid w:val="00061FE8"/>
    <w:rsid w:val="000620CF"/>
    <w:rsid w:val="000628A5"/>
    <w:rsid w:val="000639E4"/>
    <w:rsid w:val="00063D05"/>
    <w:rsid w:val="00063E33"/>
    <w:rsid w:val="00063E57"/>
    <w:rsid w:val="00063E72"/>
    <w:rsid w:val="00063EF9"/>
    <w:rsid w:val="0006459B"/>
    <w:rsid w:val="000647C8"/>
    <w:rsid w:val="0006488B"/>
    <w:rsid w:val="00064AAD"/>
    <w:rsid w:val="00064C3D"/>
    <w:rsid w:val="000654E0"/>
    <w:rsid w:val="00065E3C"/>
    <w:rsid w:val="000660D0"/>
    <w:rsid w:val="00066413"/>
    <w:rsid w:val="00066451"/>
    <w:rsid w:val="00066F2B"/>
    <w:rsid w:val="00067586"/>
    <w:rsid w:val="0006760F"/>
    <w:rsid w:val="00067713"/>
    <w:rsid w:val="00067CCE"/>
    <w:rsid w:val="00070980"/>
    <w:rsid w:val="000709EB"/>
    <w:rsid w:val="00070A82"/>
    <w:rsid w:val="00070C53"/>
    <w:rsid w:val="00070EA8"/>
    <w:rsid w:val="00070F13"/>
    <w:rsid w:val="00071211"/>
    <w:rsid w:val="000716B6"/>
    <w:rsid w:val="00071F79"/>
    <w:rsid w:val="00072643"/>
    <w:rsid w:val="000728B0"/>
    <w:rsid w:val="00072EEB"/>
    <w:rsid w:val="00072F87"/>
    <w:rsid w:val="0007342A"/>
    <w:rsid w:val="000734DE"/>
    <w:rsid w:val="0007369D"/>
    <w:rsid w:val="0007394C"/>
    <w:rsid w:val="00073ADB"/>
    <w:rsid w:val="00073BD8"/>
    <w:rsid w:val="00074022"/>
    <w:rsid w:val="00074125"/>
    <w:rsid w:val="00074147"/>
    <w:rsid w:val="00074212"/>
    <w:rsid w:val="000742DA"/>
    <w:rsid w:val="00074DCE"/>
    <w:rsid w:val="00074FEA"/>
    <w:rsid w:val="00075028"/>
    <w:rsid w:val="000750A4"/>
    <w:rsid w:val="00075427"/>
    <w:rsid w:val="00075923"/>
    <w:rsid w:val="00075AE6"/>
    <w:rsid w:val="00075DDC"/>
    <w:rsid w:val="000760D8"/>
    <w:rsid w:val="000763BF"/>
    <w:rsid w:val="00076985"/>
    <w:rsid w:val="000769E1"/>
    <w:rsid w:val="00076C48"/>
    <w:rsid w:val="00076EFB"/>
    <w:rsid w:val="00077330"/>
    <w:rsid w:val="000777DB"/>
    <w:rsid w:val="000777FB"/>
    <w:rsid w:val="00077B5E"/>
    <w:rsid w:val="00080042"/>
    <w:rsid w:val="000806C2"/>
    <w:rsid w:val="00080AD7"/>
    <w:rsid w:val="00080E75"/>
    <w:rsid w:val="00081300"/>
    <w:rsid w:val="0008134B"/>
    <w:rsid w:val="000813AB"/>
    <w:rsid w:val="0008149D"/>
    <w:rsid w:val="000815F0"/>
    <w:rsid w:val="00081603"/>
    <w:rsid w:val="000819C7"/>
    <w:rsid w:val="00081C7D"/>
    <w:rsid w:val="00081D28"/>
    <w:rsid w:val="00081D7E"/>
    <w:rsid w:val="00081DFA"/>
    <w:rsid w:val="00081E5D"/>
    <w:rsid w:val="00082A82"/>
    <w:rsid w:val="0008357A"/>
    <w:rsid w:val="000835B8"/>
    <w:rsid w:val="000837BF"/>
    <w:rsid w:val="00083E5F"/>
    <w:rsid w:val="00083F57"/>
    <w:rsid w:val="0008443D"/>
    <w:rsid w:val="00085233"/>
    <w:rsid w:val="00085553"/>
    <w:rsid w:val="00086122"/>
    <w:rsid w:val="00086370"/>
    <w:rsid w:val="000863BF"/>
    <w:rsid w:val="000863C6"/>
    <w:rsid w:val="000867E6"/>
    <w:rsid w:val="000868C0"/>
    <w:rsid w:val="0008699C"/>
    <w:rsid w:val="000872FC"/>
    <w:rsid w:val="00087305"/>
    <w:rsid w:val="0008738E"/>
    <w:rsid w:val="0008746B"/>
    <w:rsid w:val="000878D9"/>
    <w:rsid w:val="00087916"/>
    <w:rsid w:val="000900AD"/>
    <w:rsid w:val="00090270"/>
    <w:rsid w:val="0009048A"/>
    <w:rsid w:val="000904C9"/>
    <w:rsid w:val="00090AB9"/>
    <w:rsid w:val="00090B15"/>
    <w:rsid w:val="00091260"/>
    <w:rsid w:val="000914CE"/>
    <w:rsid w:val="000917B0"/>
    <w:rsid w:val="00091D12"/>
    <w:rsid w:val="00091E3D"/>
    <w:rsid w:val="00092197"/>
    <w:rsid w:val="000925A9"/>
    <w:rsid w:val="00092806"/>
    <w:rsid w:val="00092968"/>
    <w:rsid w:val="00092981"/>
    <w:rsid w:val="00092D45"/>
    <w:rsid w:val="00093199"/>
    <w:rsid w:val="000931E8"/>
    <w:rsid w:val="00093233"/>
    <w:rsid w:val="00093576"/>
    <w:rsid w:val="0009367E"/>
    <w:rsid w:val="000936B2"/>
    <w:rsid w:val="00093916"/>
    <w:rsid w:val="00093F11"/>
    <w:rsid w:val="00094517"/>
    <w:rsid w:val="00094847"/>
    <w:rsid w:val="00095149"/>
    <w:rsid w:val="0009585C"/>
    <w:rsid w:val="000959B1"/>
    <w:rsid w:val="00095ECC"/>
    <w:rsid w:val="000964CF"/>
    <w:rsid w:val="0009686E"/>
    <w:rsid w:val="000968A0"/>
    <w:rsid w:val="000968CD"/>
    <w:rsid w:val="00096DCB"/>
    <w:rsid w:val="00096ED6"/>
    <w:rsid w:val="0009722D"/>
    <w:rsid w:val="00097873"/>
    <w:rsid w:val="00097919"/>
    <w:rsid w:val="00097E34"/>
    <w:rsid w:val="00097ED2"/>
    <w:rsid w:val="000A026D"/>
    <w:rsid w:val="000A026E"/>
    <w:rsid w:val="000A02AD"/>
    <w:rsid w:val="000A03E1"/>
    <w:rsid w:val="000A0594"/>
    <w:rsid w:val="000A0A9B"/>
    <w:rsid w:val="000A0C31"/>
    <w:rsid w:val="000A1025"/>
    <w:rsid w:val="000A1029"/>
    <w:rsid w:val="000A13EF"/>
    <w:rsid w:val="000A1C5B"/>
    <w:rsid w:val="000A1E19"/>
    <w:rsid w:val="000A2052"/>
    <w:rsid w:val="000A22D1"/>
    <w:rsid w:val="000A29E2"/>
    <w:rsid w:val="000A3301"/>
    <w:rsid w:val="000A374F"/>
    <w:rsid w:val="000A3772"/>
    <w:rsid w:val="000A3B94"/>
    <w:rsid w:val="000A3F43"/>
    <w:rsid w:val="000A4811"/>
    <w:rsid w:val="000A4954"/>
    <w:rsid w:val="000A4BA0"/>
    <w:rsid w:val="000A4FC6"/>
    <w:rsid w:val="000A519A"/>
    <w:rsid w:val="000A5220"/>
    <w:rsid w:val="000A546A"/>
    <w:rsid w:val="000A555D"/>
    <w:rsid w:val="000A597E"/>
    <w:rsid w:val="000A59F3"/>
    <w:rsid w:val="000A5DE1"/>
    <w:rsid w:val="000A6203"/>
    <w:rsid w:val="000A647A"/>
    <w:rsid w:val="000A6AC3"/>
    <w:rsid w:val="000A6AF1"/>
    <w:rsid w:val="000A6CFA"/>
    <w:rsid w:val="000A6E34"/>
    <w:rsid w:val="000A6EA8"/>
    <w:rsid w:val="000A6EC0"/>
    <w:rsid w:val="000A73D4"/>
    <w:rsid w:val="000A761D"/>
    <w:rsid w:val="000A798C"/>
    <w:rsid w:val="000A7CE0"/>
    <w:rsid w:val="000B0001"/>
    <w:rsid w:val="000B0096"/>
    <w:rsid w:val="000B0352"/>
    <w:rsid w:val="000B0EA7"/>
    <w:rsid w:val="000B1750"/>
    <w:rsid w:val="000B1881"/>
    <w:rsid w:val="000B1893"/>
    <w:rsid w:val="000B1C73"/>
    <w:rsid w:val="000B2168"/>
    <w:rsid w:val="000B22D9"/>
    <w:rsid w:val="000B253C"/>
    <w:rsid w:val="000B27D0"/>
    <w:rsid w:val="000B2963"/>
    <w:rsid w:val="000B302A"/>
    <w:rsid w:val="000B383D"/>
    <w:rsid w:val="000B3F9A"/>
    <w:rsid w:val="000B481F"/>
    <w:rsid w:val="000B4E3F"/>
    <w:rsid w:val="000B4F8C"/>
    <w:rsid w:val="000B4FA5"/>
    <w:rsid w:val="000B5208"/>
    <w:rsid w:val="000B5307"/>
    <w:rsid w:val="000B5E5F"/>
    <w:rsid w:val="000B62A2"/>
    <w:rsid w:val="000B6319"/>
    <w:rsid w:val="000B6683"/>
    <w:rsid w:val="000B6EF6"/>
    <w:rsid w:val="000B729F"/>
    <w:rsid w:val="000B72CF"/>
    <w:rsid w:val="000B751A"/>
    <w:rsid w:val="000B75D7"/>
    <w:rsid w:val="000B7664"/>
    <w:rsid w:val="000C008C"/>
    <w:rsid w:val="000C0890"/>
    <w:rsid w:val="000C0A25"/>
    <w:rsid w:val="000C0D84"/>
    <w:rsid w:val="000C1030"/>
    <w:rsid w:val="000C12CC"/>
    <w:rsid w:val="000C1984"/>
    <w:rsid w:val="000C1C2F"/>
    <w:rsid w:val="000C1E07"/>
    <w:rsid w:val="000C1F89"/>
    <w:rsid w:val="000C2018"/>
    <w:rsid w:val="000C2381"/>
    <w:rsid w:val="000C297E"/>
    <w:rsid w:val="000C2A5D"/>
    <w:rsid w:val="000C3049"/>
    <w:rsid w:val="000C3920"/>
    <w:rsid w:val="000C39E7"/>
    <w:rsid w:val="000C3B60"/>
    <w:rsid w:val="000C3CC8"/>
    <w:rsid w:val="000C4ABD"/>
    <w:rsid w:val="000C4B4C"/>
    <w:rsid w:val="000C4E11"/>
    <w:rsid w:val="000C50DA"/>
    <w:rsid w:val="000C5295"/>
    <w:rsid w:val="000C52AB"/>
    <w:rsid w:val="000C543F"/>
    <w:rsid w:val="000C552F"/>
    <w:rsid w:val="000C5531"/>
    <w:rsid w:val="000C5629"/>
    <w:rsid w:val="000C5736"/>
    <w:rsid w:val="000C5856"/>
    <w:rsid w:val="000C5D1A"/>
    <w:rsid w:val="000C5FE1"/>
    <w:rsid w:val="000C633B"/>
    <w:rsid w:val="000C6C40"/>
    <w:rsid w:val="000C6C9F"/>
    <w:rsid w:val="000C6CC1"/>
    <w:rsid w:val="000C6F0E"/>
    <w:rsid w:val="000C72F8"/>
    <w:rsid w:val="000C7424"/>
    <w:rsid w:val="000C78C9"/>
    <w:rsid w:val="000C7964"/>
    <w:rsid w:val="000C7F68"/>
    <w:rsid w:val="000D014B"/>
    <w:rsid w:val="000D01EA"/>
    <w:rsid w:val="000D1479"/>
    <w:rsid w:val="000D152C"/>
    <w:rsid w:val="000D1E9E"/>
    <w:rsid w:val="000D1EAE"/>
    <w:rsid w:val="000D1EEF"/>
    <w:rsid w:val="000D22E3"/>
    <w:rsid w:val="000D298C"/>
    <w:rsid w:val="000D2EFF"/>
    <w:rsid w:val="000D3388"/>
    <w:rsid w:val="000D33FE"/>
    <w:rsid w:val="000D346B"/>
    <w:rsid w:val="000D34DC"/>
    <w:rsid w:val="000D36B2"/>
    <w:rsid w:val="000D3779"/>
    <w:rsid w:val="000D39AA"/>
    <w:rsid w:val="000D3D1D"/>
    <w:rsid w:val="000D3D42"/>
    <w:rsid w:val="000D3E4F"/>
    <w:rsid w:val="000D4128"/>
    <w:rsid w:val="000D4201"/>
    <w:rsid w:val="000D4442"/>
    <w:rsid w:val="000D4BA5"/>
    <w:rsid w:val="000D4EF2"/>
    <w:rsid w:val="000D4F8A"/>
    <w:rsid w:val="000D51ED"/>
    <w:rsid w:val="000D5A32"/>
    <w:rsid w:val="000D5FB9"/>
    <w:rsid w:val="000D6A16"/>
    <w:rsid w:val="000D6C92"/>
    <w:rsid w:val="000D752A"/>
    <w:rsid w:val="000D759F"/>
    <w:rsid w:val="000D7B84"/>
    <w:rsid w:val="000D7BB0"/>
    <w:rsid w:val="000D7E4E"/>
    <w:rsid w:val="000E0078"/>
    <w:rsid w:val="000E01BD"/>
    <w:rsid w:val="000E02C7"/>
    <w:rsid w:val="000E0349"/>
    <w:rsid w:val="000E0ECA"/>
    <w:rsid w:val="000E119C"/>
    <w:rsid w:val="000E11BF"/>
    <w:rsid w:val="000E1642"/>
    <w:rsid w:val="000E243A"/>
    <w:rsid w:val="000E271D"/>
    <w:rsid w:val="000E290E"/>
    <w:rsid w:val="000E354B"/>
    <w:rsid w:val="000E36D4"/>
    <w:rsid w:val="000E36EE"/>
    <w:rsid w:val="000E3795"/>
    <w:rsid w:val="000E3E25"/>
    <w:rsid w:val="000E428B"/>
    <w:rsid w:val="000E4452"/>
    <w:rsid w:val="000E44E5"/>
    <w:rsid w:val="000E49C6"/>
    <w:rsid w:val="000E4B30"/>
    <w:rsid w:val="000E5356"/>
    <w:rsid w:val="000E596F"/>
    <w:rsid w:val="000E6049"/>
    <w:rsid w:val="000E6613"/>
    <w:rsid w:val="000E681F"/>
    <w:rsid w:val="000E6B56"/>
    <w:rsid w:val="000E6E98"/>
    <w:rsid w:val="000E73E7"/>
    <w:rsid w:val="000E750D"/>
    <w:rsid w:val="000E76A1"/>
    <w:rsid w:val="000E780B"/>
    <w:rsid w:val="000E7980"/>
    <w:rsid w:val="000E7C37"/>
    <w:rsid w:val="000F0185"/>
    <w:rsid w:val="000F058A"/>
    <w:rsid w:val="000F05B8"/>
    <w:rsid w:val="000F10AC"/>
    <w:rsid w:val="000F14C0"/>
    <w:rsid w:val="000F1BB4"/>
    <w:rsid w:val="000F1BE4"/>
    <w:rsid w:val="000F1CA3"/>
    <w:rsid w:val="000F1CC9"/>
    <w:rsid w:val="000F1FC9"/>
    <w:rsid w:val="000F2165"/>
    <w:rsid w:val="000F226A"/>
    <w:rsid w:val="000F239F"/>
    <w:rsid w:val="000F26A1"/>
    <w:rsid w:val="000F2B68"/>
    <w:rsid w:val="000F2F40"/>
    <w:rsid w:val="000F3059"/>
    <w:rsid w:val="000F31C3"/>
    <w:rsid w:val="000F34AE"/>
    <w:rsid w:val="000F3678"/>
    <w:rsid w:val="000F3B9E"/>
    <w:rsid w:val="000F3BD8"/>
    <w:rsid w:val="000F43FD"/>
    <w:rsid w:val="000F478C"/>
    <w:rsid w:val="000F4859"/>
    <w:rsid w:val="000F4C97"/>
    <w:rsid w:val="000F4E8D"/>
    <w:rsid w:val="000F508A"/>
    <w:rsid w:val="000F5706"/>
    <w:rsid w:val="000F5A54"/>
    <w:rsid w:val="000F5B6B"/>
    <w:rsid w:val="000F5EC9"/>
    <w:rsid w:val="000F641A"/>
    <w:rsid w:val="000F6E8D"/>
    <w:rsid w:val="000F75E6"/>
    <w:rsid w:val="000F765B"/>
    <w:rsid w:val="000F7C52"/>
    <w:rsid w:val="000F7E3F"/>
    <w:rsid w:val="0010009E"/>
    <w:rsid w:val="00100354"/>
    <w:rsid w:val="00100367"/>
    <w:rsid w:val="00100E98"/>
    <w:rsid w:val="00100FE6"/>
    <w:rsid w:val="001015C0"/>
    <w:rsid w:val="0010198C"/>
    <w:rsid w:val="00101C18"/>
    <w:rsid w:val="00101DD2"/>
    <w:rsid w:val="00102122"/>
    <w:rsid w:val="00102F7C"/>
    <w:rsid w:val="001033B5"/>
    <w:rsid w:val="00103D51"/>
    <w:rsid w:val="0010406A"/>
    <w:rsid w:val="001042B3"/>
    <w:rsid w:val="00104319"/>
    <w:rsid w:val="00104962"/>
    <w:rsid w:val="00104DBC"/>
    <w:rsid w:val="00105900"/>
    <w:rsid w:val="00105EB9"/>
    <w:rsid w:val="00106F3F"/>
    <w:rsid w:val="001072BA"/>
    <w:rsid w:val="00107339"/>
    <w:rsid w:val="0010747E"/>
    <w:rsid w:val="00107681"/>
    <w:rsid w:val="0011045B"/>
    <w:rsid w:val="001108BE"/>
    <w:rsid w:val="00110D3E"/>
    <w:rsid w:val="00111072"/>
    <w:rsid w:val="001111E2"/>
    <w:rsid w:val="00111D31"/>
    <w:rsid w:val="00111EBD"/>
    <w:rsid w:val="0011229F"/>
    <w:rsid w:val="00112337"/>
    <w:rsid w:val="00112357"/>
    <w:rsid w:val="00112B12"/>
    <w:rsid w:val="00112BBB"/>
    <w:rsid w:val="00112D19"/>
    <w:rsid w:val="00112EF9"/>
    <w:rsid w:val="00112F6E"/>
    <w:rsid w:val="001134E9"/>
    <w:rsid w:val="001137FB"/>
    <w:rsid w:val="001138AF"/>
    <w:rsid w:val="00113A42"/>
    <w:rsid w:val="0011455F"/>
    <w:rsid w:val="001145A6"/>
    <w:rsid w:val="00114C4F"/>
    <w:rsid w:val="00114D78"/>
    <w:rsid w:val="00114F3E"/>
    <w:rsid w:val="0011524F"/>
    <w:rsid w:val="00115787"/>
    <w:rsid w:val="00115BA6"/>
    <w:rsid w:val="00115F00"/>
    <w:rsid w:val="001160F5"/>
    <w:rsid w:val="001163C0"/>
    <w:rsid w:val="00116983"/>
    <w:rsid w:val="00116A89"/>
    <w:rsid w:val="00116AC8"/>
    <w:rsid w:val="00116B7A"/>
    <w:rsid w:val="0011702F"/>
    <w:rsid w:val="0011731F"/>
    <w:rsid w:val="001176A6"/>
    <w:rsid w:val="0011783E"/>
    <w:rsid w:val="00117926"/>
    <w:rsid w:val="00117D4A"/>
    <w:rsid w:val="00117E1B"/>
    <w:rsid w:val="00117E59"/>
    <w:rsid w:val="00117FE0"/>
    <w:rsid w:val="00120189"/>
    <w:rsid w:val="00120223"/>
    <w:rsid w:val="00120228"/>
    <w:rsid w:val="00120C28"/>
    <w:rsid w:val="00121373"/>
    <w:rsid w:val="00121398"/>
    <w:rsid w:val="00121BF8"/>
    <w:rsid w:val="0012217B"/>
    <w:rsid w:val="001223F2"/>
    <w:rsid w:val="00122441"/>
    <w:rsid w:val="001224EA"/>
    <w:rsid w:val="001226E2"/>
    <w:rsid w:val="00122B24"/>
    <w:rsid w:val="00122DAA"/>
    <w:rsid w:val="00122E49"/>
    <w:rsid w:val="0012305F"/>
    <w:rsid w:val="00123131"/>
    <w:rsid w:val="001232BD"/>
    <w:rsid w:val="0012336A"/>
    <w:rsid w:val="001233CB"/>
    <w:rsid w:val="00123458"/>
    <w:rsid w:val="00123647"/>
    <w:rsid w:val="00123BF7"/>
    <w:rsid w:val="00123CA4"/>
    <w:rsid w:val="00123D6C"/>
    <w:rsid w:val="001246F8"/>
    <w:rsid w:val="00124783"/>
    <w:rsid w:val="00124BA9"/>
    <w:rsid w:val="00124C8F"/>
    <w:rsid w:val="00124DCF"/>
    <w:rsid w:val="00125304"/>
    <w:rsid w:val="0012548A"/>
    <w:rsid w:val="001255CD"/>
    <w:rsid w:val="001255F2"/>
    <w:rsid w:val="00125B15"/>
    <w:rsid w:val="00125F59"/>
    <w:rsid w:val="00125FC2"/>
    <w:rsid w:val="00126364"/>
    <w:rsid w:val="00126972"/>
    <w:rsid w:val="00126F05"/>
    <w:rsid w:val="00126F8D"/>
    <w:rsid w:val="0012747A"/>
    <w:rsid w:val="0012792E"/>
    <w:rsid w:val="00130798"/>
    <w:rsid w:val="001309FE"/>
    <w:rsid w:val="00130DAF"/>
    <w:rsid w:val="001310A3"/>
    <w:rsid w:val="00131898"/>
    <w:rsid w:val="00131CAD"/>
    <w:rsid w:val="0013259F"/>
    <w:rsid w:val="00132951"/>
    <w:rsid w:val="00132A11"/>
    <w:rsid w:val="001330A0"/>
    <w:rsid w:val="00133D4C"/>
    <w:rsid w:val="00133D6C"/>
    <w:rsid w:val="00134041"/>
    <w:rsid w:val="00134256"/>
    <w:rsid w:val="0013435F"/>
    <w:rsid w:val="001345E9"/>
    <w:rsid w:val="00134939"/>
    <w:rsid w:val="00134BE6"/>
    <w:rsid w:val="00134DBF"/>
    <w:rsid w:val="0013507C"/>
    <w:rsid w:val="001353B1"/>
    <w:rsid w:val="00135AE2"/>
    <w:rsid w:val="001362F6"/>
    <w:rsid w:val="001363D1"/>
    <w:rsid w:val="001364C9"/>
    <w:rsid w:val="001369C8"/>
    <w:rsid w:val="00136B73"/>
    <w:rsid w:val="00137388"/>
    <w:rsid w:val="001376D2"/>
    <w:rsid w:val="00137C50"/>
    <w:rsid w:val="0014023E"/>
    <w:rsid w:val="00140243"/>
    <w:rsid w:val="00140409"/>
    <w:rsid w:val="00140497"/>
    <w:rsid w:val="001413C3"/>
    <w:rsid w:val="001416E9"/>
    <w:rsid w:val="00141883"/>
    <w:rsid w:val="001419E4"/>
    <w:rsid w:val="001419F5"/>
    <w:rsid w:val="00141D90"/>
    <w:rsid w:val="00142759"/>
    <w:rsid w:val="00142EAB"/>
    <w:rsid w:val="0014335A"/>
    <w:rsid w:val="00143850"/>
    <w:rsid w:val="001439A3"/>
    <w:rsid w:val="00143B48"/>
    <w:rsid w:val="00143C16"/>
    <w:rsid w:val="00143D05"/>
    <w:rsid w:val="00144115"/>
    <w:rsid w:val="0014415F"/>
    <w:rsid w:val="001444BA"/>
    <w:rsid w:val="001449FA"/>
    <w:rsid w:val="00144ABE"/>
    <w:rsid w:val="00144BF5"/>
    <w:rsid w:val="00144C6D"/>
    <w:rsid w:val="00144DA8"/>
    <w:rsid w:val="00145182"/>
    <w:rsid w:val="0014518C"/>
    <w:rsid w:val="001453A2"/>
    <w:rsid w:val="00145F0D"/>
    <w:rsid w:val="001460F0"/>
    <w:rsid w:val="00146372"/>
    <w:rsid w:val="0014642F"/>
    <w:rsid w:val="00146842"/>
    <w:rsid w:val="001468E2"/>
    <w:rsid w:val="00146A81"/>
    <w:rsid w:val="00146B54"/>
    <w:rsid w:val="00146B70"/>
    <w:rsid w:val="00146D12"/>
    <w:rsid w:val="00146F2A"/>
    <w:rsid w:val="00146F50"/>
    <w:rsid w:val="00147001"/>
    <w:rsid w:val="00147013"/>
    <w:rsid w:val="0014705E"/>
    <w:rsid w:val="0014729C"/>
    <w:rsid w:val="00147361"/>
    <w:rsid w:val="00147ED1"/>
    <w:rsid w:val="00150622"/>
    <w:rsid w:val="001506A2"/>
    <w:rsid w:val="00150F95"/>
    <w:rsid w:val="0015191A"/>
    <w:rsid w:val="001519BF"/>
    <w:rsid w:val="00151C78"/>
    <w:rsid w:val="00151D47"/>
    <w:rsid w:val="00152137"/>
    <w:rsid w:val="0015234C"/>
    <w:rsid w:val="001530C1"/>
    <w:rsid w:val="001541D6"/>
    <w:rsid w:val="00154D44"/>
    <w:rsid w:val="00155021"/>
    <w:rsid w:val="00155282"/>
    <w:rsid w:val="00155321"/>
    <w:rsid w:val="0015543E"/>
    <w:rsid w:val="00155504"/>
    <w:rsid w:val="001558D3"/>
    <w:rsid w:val="00155970"/>
    <w:rsid w:val="00155A8F"/>
    <w:rsid w:val="00155C7D"/>
    <w:rsid w:val="00155CDB"/>
    <w:rsid w:val="00155CEA"/>
    <w:rsid w:val="0015658C"/>
    <w:rsid w:val="00156614"/>
    <w:rsid w:val="001567AB"/>
    <w:rsid w:val="00156A55"/>
    <w:rsid w:val="00156DFA"/>
    <w:rsid w:val="001571C9"/>
    <w:rsid w:val="001572FD"/>
    <w:rsid w:val="001576D9"/>
    <w:rsid w:val="00157E0E"/>
    <w:rsid w:val="00157E20"/>
    <w:rsid w:val="00160106"/>
    <w:rsid w:val="001607FD"/>
    <w:rsid w:val="001608F8"/>
    <w:rsid w:val="00160A74"/>
    <w:rsid w:val="00160F42"/>
    <w:rsid w:val="00161209"/>
    <w:rsid w:val="0016135A"/>
    <w:rsid w:val="00161AFF"/>
    <w:rsid w:val="00161B1C"/>
    <w:rsid w:val="00161B50"/>
    <w:rsid w:val="00162002"/>
    <w:rsid w:val="0016236C"/>
    <w:rsid w:val="001624C8"/>
    <w:rsid w:val="0016279F"/>
    <w:rsid w:val="0016298A"/>
    <w:rsid w:val="0016299A"/>
    <w:rsid w:val="00162AC2"/>
    <w:rsid w:val="00162AEB"/>
    <w:rsid w:val="00164071"/>
    <w:rsid w:val="00164492"/>
    <w:rsid w:val="0016465C"/>
    <w:rsid w:val="00164871"/>
    <w:rsid w:val="00164E66"/>
    <w:rsid w:val="0016507C"/>
    <w:rsid w:val="00165275"/>
    <w:rsid w:val="001655AA"/>
    <w:rsid w:val="001657BF"/>
    <w:rsid w:val="00165B0D"/>
    <w:rsid w:val="00165CC7"/>
    <w:rsid w:val="00165D7E"/>
    <w:rsid w:val="00165DC3"/>
    <w:rsid w:val="00165E75"/>
    <w:rsid w:val="00165F46"/>
    <w:rsid w:val="00165FC0"/>
    <w:rsid w:val="001661B8"/>
    <w:rsid w:val="00166324"/>
    <w:rsid w:val="0016708C"/>
    <w:rsid w:val="00167141"/>
    <w:rsid w:val="001671E5"/>
    <w:rsid w:val="001674C9"/>
    <w:rsid w:val="00167793"/>
    <w:rsid w:val="00167C87"/>
    <w:rsid w:val="00170AC0"/>
    <w:rsid w:val="00170B1E"/>
    <w:rsid w:val="00170CAD"/>
    <w:rsid w:val="00170CD8"/>
    <w:rsid w:val="00171022"/>
    <w:rsid w:val="0017125B"/>
    <w:rsid w:val="00171273"/>
    <w:rsid w:val="00171632"/>
    <w:rsid w:val="00171B03"/>
    <w:rsid w:val="00172260"/>
    <w:rsid w:val="00172396"/>
    <w:rsid w:val="00172505"/>
    <w:rsid w:val="00172827"/>
    <w:rsid w:val="0017287A"/>
    <w:rsid w:val="001728FE"/>
    <w:rsid w:val="00172AF0"/>
    <w:rsid w:val="00172D6A"/>
    <w:rsid w:val="00173142"/>
    <w:rsid w:val="001733B8"/>
    <w:rsid w:val="00173AD7"/>
    <w:rsid w:val="00173C06"/>
    <w:rsid w:val="00174DBA"/>
    <w:rsid w:val="001755F9"/>
    <w:rsid w:val="001756D9"/>
    <w:rsid w:val="00175792"/>
    <w:rsid w:val="0017598F"/>
    <w:rsid w:val="00175BEC"/>
    <w:rsid w:val="00176392"/>
    <w:rsid w:val="00176461"/>
    <w:rsid w:val="00176683"/>
    <w:rsid w:val="00176A6B"/>
    <w:rsid w:val="0017711F"/>
    <w:rsid w:val="00177144"/>
    <w:rsid w:val="001771F0"/>
    <w:rsid w:val="00177C81"/>
    <w:rsid w:val="001803AE"/>
    <w:rsid w:val="001804F1"/>
    <w:rsid w:val="001808A7"/>
    <w:rsid w:val="00180C1B"/>
    <w:rsid w:val="00180D48"/>
    <w:rsid w:val="00180E4A"/>
    <w:rsid w:val="001810FE"/>
    <w:rsid w:val="001813AB"/>
    <w:rsid w:val="0018144B"/>
    <w:rsid w:val="00181954"/>
    <w:rsid w:val="00182086"/>
    <w:rsid w:val="001822E2"/>
    <w:rsid w:val="0018293B"/>
    <w:rsid w:val="00182B42"/>
    <w:rsid w:val="00183005"/>
    <w:rsid w:val="00183304"/>
    <w:rsid w:val="00183374"/>
    <w:rsid w:val="001834B0"/>
    <w:rsid w:val="00183718"/>
    <w:rsid w:val="00183736"/>
    <w:rsid w:val="00183BD6"/>
    <w:rsid w:val="00183F96"/>
    <w:rsid w:val="001842C5"/>
    <w:rsid w:val="0018442E"/>
    <w:rsid w:val="0018454F"/>
    <w:rsid w:val="00184605"/>
    <w:rsid w:val="00184795"/>
    <w:rsid w:val="00184CE2"/>
    <w:rsid w:val="0018538F"/>
    <w:rsid w:val="00185559"/>
    <w:rsid w:val="0018555B"/>
    <w:rsid w:val="00185734"/>
    <w:rsid w:val="00185D76"/>
    <w:rsid w:val="00185ECC"/>
    <w:rsid w:val="00185FE5"/>
    <w:rsid w:val="00186B4E"/>
    <w:rsid w:val="00186D6C"/>
    <w:rsid w:val="001872D5"/>
    <w:rsid w:val="00187968"/>
    <w:rsid w:val="00187C45"/>
    <w:rsid w:val="00187C93"/>
    <w:rsid w:val="00187E89"/>
    <w:rsid w:val="001900A4"/>
    <w:rsid w:val="00190243"/>
    <w:rsid w:val="001902BF"/>
    <w:rsid w:val="0019073C"/>
    <w:rsid w:val="00190948"/>
    <w:rsid w:val="00190B30"/>
    <w:rsid w:val="00190C51"/>
    <w:rsid w:val="00190F44"/>
    <w:rsid w:val="00190F5B"/>
    <w:rsid w:val="0019106B"/>
    <w:rsid w:val="001912B8"/>
    <w:rsid w:val="00191404"/>
    <w:rsid w:val="00191475"/>
    <w:rsid w:val="001914BA"/>
    <w:rsid w:val="0019156A"/>
    <w:rsid w:val="001918F9"/>
    <w:rsid w:val="00191937"/>
    <w:rsid w:val="00191AD5"/>
    <w:rsid w:val="00191CF2"/>
    <w:rsid w:val="00191D5F"/>
    <w:rsid w:val="00191E99"/>
    <w:rsid w:val="0019217D"/>
    <w:rsid w:val="0019242C"/>
    <w:rsid w:val="001924EA"/>
    <w:rsid w:val="00192BAF"/>
    <w:rsid w:val="00192E3B"/>
    <w:rsid w:val="0019354C"/>
    <w:rsid w:val="001937A5"/>
    <w:rsid w:val="001938F6"/>
    <w:rsid w:val="00193E5B"/>
    <w:rsid w:val="00194549"/>
    <w:rsid w:val="00194837"/>
    <w:rsid w:val="001949D9"/>
    <w:rsid w:val="00194C41"/>
    <w:rsid w:val="00195849"/>
    <w:rsid w:val="001959AE"/>
    <w:rsid w:val="001959F0"/>
    <w:rsid w:val="00195BBC"/>
    <w:rsid w:val="0019624D"/>
    <w:rsid w:val="001967B9"/>
    <w:rsid w:val="001968FB"/>
    <w:rsid w:val="00196A8D"/>
    <w:rsid w:val="00196CBE"/>
    <w:rsid w:val="0019712A"/>
    <w:rsid w:val="001972D9"/>
    <w:rsid w:val="00197830"/>
    <w:rsid w:val="00197C6F"/>
    <w:rsid w:val="001A021C"/>
    <w:rsid w:val="001A02C3"/>
    <w:rsid w:val="001A04F0"/>
    <w:rsid w:val="001A089F"/>
    <w:rsid w:val="001A0CD8"/>
    <w:rsid w:val="001A1418"/>
    <w:rsid w:val="001A144A"/>
    <w:rsid w:val="001A1461"/>
    <w:rsid w:val="001A1623"/>
    <w:rsid w:val="001A1654"/>
    <w:rsid w:val="001A1754"/>
    <w:rsid w:val="001A1819"/>
    <w:rsid w:val="001A19B1"/>
    <w:rsid w:val="001A1D2B"/>
    <w:rsid w:val="001A1E53"/>
    <w:rsid w:val="001A2903"/>
    <w:rsid w:val="001A2918"/>
    <w:rsid w:val="001A2BAC"/>
    <w:rsid w:val="001A36F8"/>
    <w:rsid w:val="001A450D"/>
    <w:rsid w:val="001A4605"/>
    <w:rsid w:val="001A48CC"/>
    <w:rsid w:val="001A4AFE"/>
    <w:rsid w:val="001A4EDA"/>
    <w:rsid w:val="001A5214"/>
    <w:rsid w:val="001A5796"/>
    <w:rsid w:val="001A5DD3"/>
    <w:rsid w:val="001A5F5B"/>
    <w:rsid w:val="001A658E"/>
    <w:rsid w:val="001A6905"/>
    <w:rsid w:val="001A6DCB"/>
    <w:rsid w:val="001A6E01"/>
    <w:rsid w:val="001A7063"/>
    <w:rsid w:val="001A78A9"/>
    <w:rsid w:val="001A7D3F"/>
    <w:rsid w:val="001A7E4A"/>
    <w:rsid w:val="001B014F"/>
    <w:rsid w:val="001B048D"/>
    <w:rsid w:val="001B09D6"/>
    <w:rsid w:val="001B0B3C"/>
    <w:rsid w:val="001B0C8A"/>
    <w:rsid w:val="001B12FE"/>
    <w:rsid w:val="001B19C5"/>
    <w:rsid w:val="001B1BC6"/>
    <w:rsid w:val="001B1CBB"/>
    <w:rsid w:val="001B1E17"/>
    <w:rsid w:val="001B1EA3"/>
    <w:rsid w:val="001B21BC"/>
    <w:rsid w:val="001B232E"/>
    <w:rsid w:val="001B2605"/>
    <w:rsid w:val="001B29DB"/>
    <w:rsid w:val="001B2BAA"/>
    <w:rsid w:val="001B2CA3"/>
    <w:rsid w:val="001B2E60"/>
    <w:rsid w:val="001B3021"/>
    <w:rsid w:val="001B314C"/>
    <w:rsid w:val="001B3200"/>
    <w:rsid w:val="001B375C"/>
    <w:rsid w:val="001B38DA"/>
    <w:rsid w:val="001B3A15"/>
    <w:rsid w:val="001B3ABA"/>
    <w:rsid w:val="001B3C12"/>
    <w:rsid w:val="001B3C76"/>
    <w:rsid w:val="001B3DE8"/>
    <w:rsid w:val="001B3EAA"/>
    <w:rsid w:val="001B3FEC"/>
    <w:rsid w:val="001B42E7"/>
    <w:rsid w:val="001B44C1"/>
    <w:rsid w:val="001B4851"/>
    <w:rsid w:val="001B4A9A"/>
    <w:rsid w:val="001B51C7"/>
    <w:rsid w:val="001B5231"/>
    <w:rsid w:val="001B566A"/>
    <w:rsid w:val="001B56DB"/>
    <w:rsid w:val="001B5788"/>
    <w:rsid w:val="001B57F3"/>
    <w:rsid w:val="001B5E16"/>
    <w:rsid w:val="001B60B0"/>
    <w:rsid w:val="001B6295"/>
    <w:rsid w:val="001B62AA"/>
    <w:rsid w:val="001B655D"/>
    <w:rsid w:val="001B6C20"/>
    <w:rsid w:val="001B6F5E"/>
    <w:rsid w:val="001B76AC"/>
    <w:rsid w:val="001C0AA0"/>
    <w:rsid w:val="001C0D36"/>
    <w:rsid w:val="001C1671"/>
    <w:rsid w:val="001C19AB"/>
    <w:rsid w:val="001C1BE8"/>
    <w:rsid w:val="001C1CFE"/>
    <w:rsid w:val="001C1D83"/>
    <w:rsid w:val="001C2002"/>
    <w:rsid w:val="001C201C"/>
    <w:rsid w:val="001C21C5"/>
    <w:rsid w:val="001C239C"/>
    <w:rsid w:val="001C2431"/>
    <w:rsid w:val="001C28E1"/>
    <w:rsid w:val="001C2C85"/>
    <w:rsid w:val="001C2CC5"/>
    <w:rsid w:val="001C2FCB"/>
    <w:rsid w:val="001C3448"/>
    <w:rsid w:val="001C34C3"/>
    <w:rsid w:val="001C379A"/>
    <w:rsid w:val="001C3862"/>
    <w:rsid w:val="001C3BA6"/>
    <w:rsid w:val="001C3CA2"/>
    <w:rsid w:val="001C3CCD"/>
    <w:rsid w:val="001C400B"/>
    <w:rsid w:val="001C40ED"/>
    <w:rsid w:val="001C43E7"/>
    <w:rsid w:val="001C44CB"/>
    <w:rsid w:val="001C46AC"/>
    <w:rsid w:val="001C487B"/>
    <w:rsid w:val="001C55D7"/>
    <w:rsid w:val="001C567A"/>
    <w:rsid w:val="001C56E0"/>
    <w:rsid w:val="001C58CB"/>
    <w:rsid w:val="001C5900"/>
    <w:rsid w:val="001C5D5F"/>
    <w:rsid w:val="001C5D61"/>
    <w:rsid w:val="001C5F26"/>
    <w:rsid w:val="001C62E2"/>
    <w:rsid w:val="001C689B"/>
    <w:rsid w:val="001C74EF"/>
    <w:rsid w:val="001C7643"/>
    <w:rsid w:val="001C789E"/>
    <w:rsid w:val="001C79A1"/>
    <w:rsid w:val="001C7AD1"/>
    <w:rsid w:val="001C7C05"/>
    <w:rsid w:val="001D002D"/>
    <w:rsid w:val="001D053F"/>
    <w:rsid w:val="001D0742"/>
    <w:rsid w:val="001D0E28"/>
    <w:rsid w:val="001D0F93"/>
    <w:rsid w:val="001D1087"/>
    <w:rsid w:val="001D10A7"/>
    <w:rsid w:val="001D1273"/>
    <w:rsid w:val="001D1888"/>
    <w:rsid w:val="001D1952"/>
    <w:rsid w:val="001D1BEF"/>
    <w:rsid w:val="001D1C2E"/>
    <w:rsid w:val="001D1EE0"/>
    <w:rsid w:val="001D285E"/>
    <w:rsid w:val="001D2939"/>
    <w:rsid w:val="001D2D35"/>
    <w:rsid w:val="001D2E14"/>
    <w:rsid w:val="001D2E60"/>
    <w:rsid w:val="001D30AB"/>
    <w:rsid w:val="001D34C4"/>
    <w:rsid w:val="001D373F"/>
    <w:rsid w:val="001D3E30"/>
    <w:rsid w:val="001D4236"/>
    <w:rsid w:val="001D43B9"/>
    <w:rsid w:val="001D444D"/>
    <w:rsid w:val="001D44BD"/>
    <w:rsid w:val="001D4A1B"/>
    <w:rsid w:val="001D4DB2"/>
    <w:rsid w:val="001D5423"/>
    <w:rsid w:val="001D5956"/>
    <w:rsid w:val="001D5DB8"/>
    <w:rsid w:val="001D613A"/>
    <w:rsid w:val="001D624E"/>
    <w:rsid w:val="001D650C"/>
    <w:rsid w:val="001D6624"/>
    <w:rsid w:val="001D6A45"/>
    <w:rsid w:val="001D6F23"/>
    <w:rsid w:val="001D6F6D"/>
    <w:rsid w:val="001D6FE9"/>
    <w:rsid w:val="001D72D6"/>
    <w:rsid w:val="001D7426"/>
    <w:rsid w:val="001E0125"/>
    <w:rsid w:val="001E055C"/>
    <w:rsid w:val="001E0EA8"/>
    <w:rsid w:val="001E100D"/>
    <w:rsid w:val="001E1024"/>
    <w:rsid w:val="001E1395"/>
    <w:rsid w:val="001E163D"/>
    <w:rsid w:val="001E174C"/>
    <w:rsid w:val="001E2051"/>
    <w:rsid w:val="001E221F"/>
    <w:rsid w:val="001E23F6"/>
    <w:rsid w:val="001E24A3"/>
    <w:rsid w:val="001E26F6"/>
    <w:rsid w:val="001E27EE"/>
    <w:rsid w:val="001E2BFE"/>
    <w:rsid w:val="001E2C9B"/>
    <w:rsid w:val="001E2F6F"/>
    <w:rsid w:val="001E2F89"/>
    <w:rsid w:val="001E32AC"/>
    <w:rsid w:val="001E35DD"/>
    <w:rsid w:val="001E3743"/>
    <w:rsid w:val="001E39B5"/>
    <w:rsid w:val="001E3F75"/>
    <w:rsid w:val="001E425A"/>
    <w:rsid w:val="001E4274"/>
    <w:rsid w:val="001E4491"/>
    <w:rsid w:val="001E4552"/>
    <w:rsid w:val="001E46D7"/>
    <w:rsid w:val="001E47ED"/>
    <w:rsid w:val="001E484E"/>
    <w:rsid w:val="001E49F0"/>
    <w:rsid w:val="001E4BE4"/>
    <w:rsid w:val="001E56A7"/>
    <w:rsid w:val="001E577B"/>
    <w:rsid w:val="001E629E"/>
    <w:rsid w:val="001E6330"/>
    <w:rsid w:val="001E6422"/>
    <w:rsid w:val="001E6599"/>
    <w:rsid w:val="001E6BF5"/>
    <w:rsid w:val="001E6D54"/>
    <w:rsid w:val="001E6FC3"/>
    <w:rsid w:val="001E715D"/>
    <w:rsid w:val="001E731F"/>
    <w:rsid w:val="001E73B3"/>
    <w:rsid w:val="001E78B3"/>
    <w:rsid w:val="001E7938"/>
    <w:rsid w:val="001F00F6"/>
    <w:rsid w:val="001F023B"/>
    <w:rsid w:val="001F054C"/>
    <w:rsid w:val="001F0735"/>
    <w:rsid w:val="001F07E0"/>
    <w:rsid w:val="001F09C8"/>
    <w:rsid w:val="001F0A9C"/>
    <w:rsid w:val="001F0CCA"/>
    <w:rsid w:val="001F140A"/>
    <w:rsid w:val="001F1B8A"/>
    <w:rsid w:val="001F2100"/>
    <w:rsid w:val="001F216C"/>
    <w:rsid w:val="001F2E4A"/>
    <w:rsid w:val="001F3560"/>
    <w:rsid w:val="001F35B0"/>
    <w:rsid w:val="001F376C"/>
    <w:rsid w:val="001F39C3"/>
    <w:rsid w:val="001F3CF3"/>
    <w:rsid w:val="001F4342"/>
    <w:rsid w:val="001F444B"/>
    <w:rsid w:val="001F44A3"/>
    <w:rsid w:val="001F49FF"/>
    <w:rsid w:val="001F4FF2"/>
    <w:rsid w:val="001F53AD"/>
    <w:rsid w:val="001F5780"/>
    <w:rsid w:val="001F5A5C"/>
    <w:rsid w:val="001F60CF"/>
    <w:rsid w:val="001F647C"/>
    <w:rsid w:val="001F6719"/>
    <w:rsid w:val="001F6850"/>
    <w:rsid w:val="001F6AC0"/>
    <w:rsid w:val="001F6D66"/>
    <w:rsid w:val="001F75A1"/>
    <w:rsid w:val="001F77AD"/>
    <w:rsid w:val="001F7E73"/>
    <w:rsid w:val="001F7F09"/>
    <w:rsid w:val="002000CC"/>
    <w:rsid w:val="0020011B"/>
    <w:rsid w:val="00200250"/>
    <w:rsid w:val="00200AFA"/>
    <w:rsid w:val="00200BB4"/>
    <w:rsid w:val="0020101E"/>
    <w:rsid w:val="0020102B"/>
    <w:rsid w:val="00201350"/>
    <w:rsid w:val="002014C7"/>
    <w:rsid w:val="002019E4"/>
    <w:rsid w:val="00201A73"/>
    <w:rsid w:val="00201D2C"/>
    <w:rsid w:val="00201F01"/>
    <w:rsid w:val="0020235E"/>
    <w:rsid w:val="002024CB"/>
    <w:rsid w:val="00202815"/>
    <w:rsid w:val="00202A2C"/>
    <w:rsid w:val="00202D89"/>
    <w:rsid w:val="00202F51"/>
    <w:rsid w:val="002032B6"/>
    <w:rsid w:val="00203459"/>
    <w:rsid w:val="002034AC"/>
    <w:rsid w:val="002034B2"/>
    <w:rsid w:val="002039CF"/>
    <w:rsid w:val="002039D4"/>
    <w:rsid w:val="00203F9F"/>
    <w:rsid w:val="00204258"/>
    <w:rsid w:val="0020484F"/>
    <w:rsid w:val="00205669"/>
    <w:rsid w:val="00205704"/>
    <w:rsid w:val="00205A33"/>
    <w:rsid w:val="00205BA5"/>
    <w:rsid w:val="00205D1A"/>
    <w:rsid w:val="00205DBB"/>
    <w:rsid w:val="00205E8A"/>
    <w:rsid w:val="0020614C"/>
    <w:rsid w:val="002062D6"/>
    <w:rsid w:val="00206317"/>
    <w:rsid w:val="002064D0"/>
    <w:rsid w:val="002066D3"/>
    <w:rsid w:val="002069EF"/>
    <w:rsid w:val="00206E19"/>
    <w:rsid w:val="00207113"/>
    <w:rsid w:val="0020715C"/>
    <w:rsid w:val="00207796"/>
    <w:rsid w:val="00207EB8"/>
    <w:rsid w:val="002100EF"/>
    <w:rsid w:val="00210242"/>
    <w:rsid w:val="00210497"/>
    <w:rsid w:val="00210A65"/>
    <w:rsid w:val="00210A6A"/>
    <w:rsid w:val="00210B10"/>
    <w:rsid w:val="00210C24"/>
    <w:rsid w:val="00210E36"/>
    <w:rsid w:val="0021138F"/>
    <w:rsid w:val="00211479"/>
    <w:rsid w:val="0021185D"/>
    <w:rsid w:val="00211A46"/>
    <w:rsid w:val="00211DFC"/>
    <w:rsid w:val="00212170"/>
    <w:rsid w:val="00212256"/>
    <w:rsid w:val="0021247D"/>
    <w:rsid w:val="002127B2"/>
    <w:rsid w:val="00212D90"/>
    <w:rsid w:val="002137B5"/>
    <w:rsid w:val="00213AE9"/>
    <w:rsid w:val="00213F41"/>
    <w:rsid w:val="00214248"/>
    <w:rsid w:val="002142C4"/>
    <w:rsid w:val="002142CB"/>
    <w:rsid w:val="00214533"/>
    <w:rsid w:val="00214808"/>
    <w:rsid w:val="00214CC2"/>
    <w:rsid w:val="00214D52"/>
    <w:rsid w:val="00214DBB"/>
    <w:rsid w:val="00214F6E"/>
    <w:rsid w:val="002151D8"/>
    <w:rsid w:val="00215452"/>
    <w:rsid w:val="002155B8"/>
    <w:rsid w:val="0021561A"/>
    <w:rsid w:val="002157EF"/>
    <w:rsid w:val="00215810"/>
    <w:rsid w:val="00215D21"/>
    <w:rsid w:val="00217113"/>
    <w:rsid w:val="002173B6"/>
    <w:rsid w:val="00217599"/>
    <w:rsid w:val="002177F1"/>
    <w:rsid w:val="00217AA8"/>
    <w:rsid w:val="00217F8D"/>
    <w:rsid w:val="00220586"/>
    <w:rsid w:val="0022092E"/>
    <w:rsid w:val="00220F0C"/>
    <w:rsid w:val="0022118B"/>
    <w:rsid w:val="00221372"/>
    <w:rsid w:val="0022151C"/>
    <w:rsid w:val="002217CD"/>
    <w:rsid w:val="00221EC2"/>
    <w:rsid w:val="00221F0B"/>
    <w:rsid w:val="0022212F"/>
    <w:rsid w:val="0022227D"/>
    <w:rsid w:val="00222339"/>
    <w:rsid w:val="002225CD"/>
    <w:rsid w:val="002228D5"/>
    <w:rsid w:val="0022290A"/>
    <w:rsid w:val="00222BC7"/>
    <w:rsid w:val="00223124"/>
    <w:rsid w:val="00224990"/>
    <w:rsid w:val="00224A66"/>
    <w:rsid w:val="00224EB1"/>
    <w:rsid w:val="002253DD"/>
    <w:rsid w:val="002259CC"/>
    <w:rsid w:val="00225A26"/>
    <w:rsid w:val="00225CAA"/>
    <w:rsid w:val="00226574"/>
    <w:rsid w:val="00226615"/>
    <w:rsid w:val="00227328"/>
    <w:rsid w:val="002273DA"/>
    <w:rsid w:val="002274E1"/>
    <w:rsid w:val="00227728"/>
    <w:rsid w:val="00227887"/>
    <w:rsid w:val="0023050C"/>
    <w:rsid w:val="00231192"/>
    <w:rsid w:val="0023148A"/>
    <w:rsid w:val="002314F2"/>
    <w:rsid w:val="00231B69"/>
    <w:rsid w:val="00231C38"/>
    <w:rsid w:val="00231DCD"/>
    <w:rsid w:val="00232B74"/>
    <w:rsid w:val="00232C18"/>
    <w:rsid w:val="00232DC2"/>
    <w:rsid w:val="00233598"/>
    <w:rsid w:val="00233856"/>
    <w:rsid w:val="0023393C"/>
    <w:rsid w:val="00233D0F"/>
    <w:rsid w:val="00233E57"/>
    <w:rsid w:val="00233FCE"/>
    <w:rsid w:val="00233FF7"/>
    <w:rsid w:val="002341EE"/>
    <w:rsid w:val="00234507"/>
    <w:rsid w:val="0023467A"/>
    <w:rsid w:val="00234C47"/>
    <w:rsid w:val="00234DD8"/>
    <w:rsid w:val="00234E9F"/>
    <w:rsid w:val="00234EF5"/>
    <w:rsid w:val="00235195"/>
    <w:rsid w:val="002351DD"/>
    <w:rsid w:val="002353D5"/>
    <w:rsid w:val="002358EF"/>
    <w:rsid w:val="00235B64"/>
    <w:rsid w:val="00236245"/>
    <w:rsid w:val="0023625B"/>
    <w:rsid w:val="00236268"/>
    <w:rsid w:val="0023681D"/>
    <w:rsid w:val="0023698B"/>
    <w:rsid w:val="00237038"/>
    <w:rsid w:val="00237788"/>
    <w:rsid w:val="0023788A"/>
    <w:rsid w:val="0024088B"/>
    <w:rsid w:val="00240922"/>
    <w:rsid w:val="0024098F"/>
    <w:rsid w:val="002409F1"/>
    <w:rsid w:val="00240A95"/>
    <w:rsid w:val="00240C6D"/>
    <w:rsid w:val="00240DDE"/>
    <w:rsid w:val="002411C8"/>
    <w:rsid w:val="0024144A"/>
    <w:rsid w:val="00241A27"/>
    <w:rsid w:val="00241B42"/>
    <w:rsid w:val="00241B64"/>
    <w:rsid w:val="00241C7A"/>
    <w:rsid w:val="002420F5"/>
    <w:rsid w:val="00242E0C"/>
    <w:rsid w:val="0024301A"/>
    <w:rsid w:val="0024322E"/>
    <w:rsid w:val="002436D2"/>
    <w:rsid w:val="00243E38"/>
    <w:rsid w:val="002440CA"/>
    <w:rsid w:val="0024416C"/>
    <w:rsid w:val="00244244"/>
    <w:rsid w:val="002443CB"/>
    <w:rsid w:val="00244420"/>
    <w:rsid w:val="00245113"/>
    <w:rsid w:val="0024517B"/>
    <w:rsid w:val="002452FB"/>
    <w:rsid w:val="0024554A"/>
    <w:rsid w:val="00245713"/>
    <w:rsid w:val="002459E5"/>
    <w:rsid w:val="002460A1"/>
    <w:rsid w:val="002466B6"/>
    <w:rsid w:val="0024749F"/>
    <w:rsid w:val="0024792F"/>
    <w:rsid w:val="00247B89"/>
    <w:rsid w:val="00247E80"/>
    <w:rsid w:val="00250892"/>
    <w:rsid w:val="00250AB4"/>
    <w:rsid w:val="00250C8F"/>
    <w:rsid w:val="00251349"/>
    <w:rsid w:val="002513A9"/>
    <w:rsid w:val="0025158E"/>
    <w:rsid w:val="002516E8"/>
    <w:rsid w:val="002520B3"/>
    <w:rsid w:val="00252356"/>
    <w:rsid w:val="0025255C"/>
    <w:rsid w:val="00252647"/>
    <w:rsid w:val="002526D3"/>
    <w:rsid w:val="00252AA0"/>
    <w:rsid w:val="00252B26"/>
    <w:rsid w:val="00252B7D"/>
    <w:rsid w:val="00252C10"/>
    <w:rsid w:val="00252C59"/>
    <w:rsid w:val="00252E2A"/>
    <w:rsid w:val="00252E90"/>
    <w:rsid w:val="00253000"/>
    <w:rsid w:val="002532A8"/>
    <w:rsid w:val="002533E6"/>
    <w:rsid w:val="002533E9"/>
    <w:rsid w:val="00253531"/>
    <w:rsid w:val="00253976"/>
    <w:rsid w:val="00253B23"/>
    <w:rsid w:val="00253D0F"/>
    <w:rsid w:val="00253E06"/>
    <w:rsid w:val="00253FEE"/>
    <w:rsid w:val="0025473C"/>
    <w:rsid w:val="00254925"/>
    <w:rsid w:val="00255233"/>
    <w:rsid w:val="00255256"/>
    <w:rsid w:val="002559BC"/>
    <w:rsid w:val="00255F26"/>
    <w:rsid w:val="0025610E"/>
    <w:rsid w:val="00256407"/>
    <w:rsid w:val="00256773"/>
    <w:rsid w:val="002568BB"/>
    <w:rsid w:val="00256ED2"/>
    <w:rsid w:val="00257713"/>
    <w:rsid w:val="00257D1A"/>
    <w:rsid w:val="00257DB3"/>
    <w:rsid w:val="00257F8E"/>
    <w:rsid w:val="0026028E"/>
    <w:rsid w:val="002602AA"/>
    <w:rsid w:val="002609CE"/>
    <w:rsid w:val="00260BB1"/>
    <w:rsid w:val="00260C4B"/>
    <w:rsid w:val="002616AA"/>
    <w:rsid w:val="00261760"/>
    <w:rsid w:val="00261AF3"/>
    <w:rsid w:val="00261C2B"/>
    <w:rsid w:val="002621CA"/>
    <w:rsid w:val="002622D4"/>
    <w:rsid w:val="0026241A"/>
    <w:rsid w:val="00262778"/>
    <w:rsid w:val="00262AF9"/>
    <w:rsid w:val="00262C22"/>
    <w:rsid w:val="00263013"/>
    <w:rsid w:val="00263130"/>
    <w:rsid w:val="00263235"/>
    <w:rsid w:val="00263746"/>
    <w:rsid w:val="00263B0A"/>
    <w:rsid w:val="00263D3E"/>
    <w:rsid w:val="00263F4A"/>
    <w:rsid w:val="00264725"/>
    <w:rsid w:val="00264937"/>
    <w:rsid w:val="00264B46"/>
    <w:rsid w:val="00264B86"/>
    <w:rsid w:val="00264E36"/>
    <w:rsid w:val="00264E8D"/>
    <w:rsid w:val="00264E9F"/>
    <w:rsid w:val="002650E8"/>
    <w:rsid w:val="0026516C"/>
    <w:rsid w:val="0026528B"/>
    <w:rsid w:val="0026540C"/>
    <w:rsid w:val="002655E7"/>
    <w:rsid w:val="002656A6"/>
    <w:rsid w:val="002667B4"/>
    <w:rsid w:val="002668A8"/>
    <w:rsid w:val="00266A65"/>
    <w:rsid w:val="00267C81"/>
    <w:rsid w:val="00267DEA"/>
    <w:rsid w:val="002700D8"/>
    <w:rsid w:val="002701E9"/>
    <w:rsid w:val="00270977"/>
    <w:rsid w:val="00270ADD"/>
    <w:rsid w:val="0027127A"/>
    <w:rsid w:val="002712BC"/>
    <w:rsid w:val="00271B97"/>
    <w:rsid w:val="00271C6C"/>
    <w:rsid w:val="00271E8A"/>
    <w:rsid w:val="00272136"/>
    <w:rsid w:val="0027255D"/>
    <w:rsid w:val="002725E1"/>
    <w:rsid w:val="00272882"/>
    <w:rsid w:val="00272B24"/>
    <w:rsid w:val="00272C78"/>
    <w:rsid w:val="00272FD7"/>
    <w:rsid w:val="00273233"/>
    <w:rsid w:val="002734C4"/>
    <w:rsid w:val="002734D4"/>
    <w:rsid w:val="002738C3"/>
    <w:rsid w:val="00274139"/>
    <w:rsid w:val="002744F4"/>
    <w:rsid w:val="00274575"/>
    <w:rsid w:val="00274C7C"/>
    <w:rsid w:val="002750FC"/>
    <w:rsid w:val="00275A73"/>
    <w:rsid w:val="00275B15"/>
    <w:rsid w:val="00275BB6"/>
    <w:rsid w:val="00275F3C"/>
    <w:rsid w:val="00276BDC"/>
    <w:rsid w:val="00276DFF"/>
    <w:rsid w:val="00276F04"/>
    <w:rsid w:val="0027763B"/>
    <w:rsid w:val="00277702"/>
    <w:rsid w:val="0028035E"/>
    <w:rsid w:val="002805B7"/>
    <w:rsid w:val="00280CCA"/>
    <w:rsid w:val="00280F9E"/>
    <w:rsid w:val="00281388"/>
    <w:rsid w:val="002815A1"/>
    <w:rsid w:val="00281607"/>
    <w:rsid w:val="00281AB0"/>
    <w:rsid w:val="00281E28"/>
    <w:rsid w:val="00282051"/>
    <w:rsid w:val="0028205D"/>
    <w:rsid w:val="002822DD"/>
    <w:rsid w:val="00282639"/>
    <w:rsid w:val="00282883"/>
    <w:rsid w:val="00283320"/>
    <w:rsid w:val="002833DF"/>
    <w:rsid w:val="002834D1"/>
    <w:rsid w:val="002835C4"/>
    <w:rsid w:val="00283854"/>
    <w:rsid w:val="002839D6"/>
    <w:rsid w:val="00283B6C"/>
    <w:rsid w:val="00283D1F"/>
    <w:rsid w:val="00284091"/>
    <w:rsid w:val="002845C1"/>
    <w:rsid w:val="0028465F"/>
    <w:rsid w:val="00284B0D"/>
    <w:rsid w:val="00284C71"/>
    <w:rsid w:val="0028512F"/>
    <w:rsid w:val="00285222"/>
    <w:rsid w:val="0028523C"/>
    <w:rsid w:val="0028553C"/>
    <w:rsid w:val="002855EB"/>
    <w:rsid w:val="0028571F"/>
    <w:rsid w:val="00285B25"/>
    <w:rsid w:val="00285E36"/>
    <w:rsid w:val="00285E77"/>
    <w:rsid w:val="00285E81"/>
    <w:rsid w:val="00286276"/>
    <w:rsid w:val="00286295"/>
    <w:rsid w:val="002863A4"/>
    <w:rsid w:val="0028663C"/>
    <w:rsid w:val="00286654"/>
    <w:rsid w:val="002868A5"/>
    <w:rsid w:val="002868AD"/>
    <w:rsid w:val="00286A05"/>
    <w:rsid w:val="00286AB9"/>
    <w:rsid w:val="00286B9E"/>
    <w:rsid w:val="00286FD6"/>
    <w:rsid w:val="00287612"/>
    <w:rsid w:val="0028765E"/>
    <w:rsid w:val="00287679"/>
    <w:rsid w:val="002879A8"/>
    <w:rsid w:val="00287BF2"/>
    <w:rsid w:val="00287CEE"/>
    <w:rsid w:val="00287F11"/>
    <w:rsid w:val="00290146"/>
    <w:rsid w:val="002905EF"/>
    <w:rsid w:val="00290681"/>
    <w:rsid w:val="002906F4"/>
    <w:rsid w:val="00290ADC"/>
    <w:rsid w:val="002919C0"/>
    <w:rsid w:val="00291CC6"/>
    <w:rsid w:val="00291FCF"/>
    <w:rsid w:val="00292225"/>
    <w:rsid w:val="00292783"/>
    <w:rsid w:val="00292ADB"/>
    <w:rsid w:val="00293383"/>
    <w:rsid w:val="002936BF"/>
    <w:rsid w:val="002937C3"/>
    <w:rsid w:val="00294150"/>
    <w:rsid w:val="002943F2"/>
    <w:rsid w:val="0029454C"/>
    <w:rsid w:val="002945D1"/>
    <w:rsid w:val="002946EF"/>
    <w:rsid w:val="002947AE"/>
    <w:rsid w:val="002947D1"/>
    <w:rsid w:val="0029497B"/>
    <w:rsid w:val="00294CF9"/>
    <w:rsid w:val="00294D15"/>
    <w:rsid w:val="002952B6"/>
    <w:rsid w:val="00295412"/>
    <w:rsid w:val="002955A4"/>
    <w:rsid w:val="00295645"/>
    <w:rsid w:val="0029586D"/>
    <w:rsid w:val="00295DC0"/>
    <w:rsid w:val="00296239"/>
    <w:rsid w:val="002963DF"/>
    <w:rsid w:val="00296866"/>
    <w:rsid w:val="00296CD3"/>
    <w:rsid w:val="00296D47"/>
    <w:rsid w:val="00296D6C"/>
    <w:rsid w:val="00296DB4"/>
    <w:rsid w:val="00297069"/>
    <w:rsid w:val="0029740F"/>
    <w:rsid w:val="0029746D"/>
    <w:rsid w:val="00297E1F"/>
    <w:rsid w:val="002A0595"/>
    <w:rsid w:val="002A0850"/>
    <w:rsid w:val="002A0A55"/>
    <w:rsid w:val="002A0AF3"/>
    <w:rsid w:val="002A1358"/>
    <w:rsid w:val="002A1B89"/>
    <w:rsid w:val="002A1C99"/>
    <w:rsid w:val="002A1D89"/>
    <w:rsid w:val="002A1DAD"/>
    <w:rsid w:val="002A1DCF"/>
    <w:rsid w:val="002A20B6"/>
    <w:rsid w:val="002A2113"/>
    <w:rsid w:val="002A2465"/>
    <w:rsid w:val="002A33DB"/>
    <w:rsid w:val="002A35AE"/>
    <w:rsid w:val="002A366C"/>
    <w:rsid w:val="002A372E"/>
    <w:rsid w:val="002A380A"/>
    <w:rsid w:val="002A3DB7"/>
    <w:rsid w:val="002A4227"/>
    <w:rsid w:val="002A4565"/>
    <w:rsid w:val="002A4743"/>
    <w:rsid w:val="002A4C0C"/>
    <w:rsid w:val="002A5168"/>
    <w:rsid w:val="002A5A07"/>
    <w:rsid w:val="002A5A12"/>
    <w:rsid w:val="002A5BF1"/>
    <w:rsid w:val="002A5C37"/>
    <w:rsid w:val="002A6061"/>
    <w:rsid w:val="002A6520"/>
    <w:rsid w:val="002A656D"/>
    <w:rsid w:val="002A6625"/>
    <w:rsid w:val="002A6B24"/>
    <w:rsid w:val="002A6BBA"/>
    <w:rsid w:val="002A6C65"/>
    <w:rsid w:val="002A6DCD"/>
    <w:rsid w:val="002A71A1"/>
    <w:rsid w:val="002A720D"/>
    <w:rsid w:val="002A746B"/>
    <w:rsid w:val="002A75CC"/>
    <w:rsid w:val="002A760D"/>
    <w:rsid w:val="002B0391"/>
    <w:rsid w:val="002B0935"/>
    <w:rsid w:val="002B0F2D"/>
    <w:rsid w:val="002B0F8A"/>
    <w:rsid w:val="002B1293"/>
    <w:rsid w:val="002B1557"/>
    <w:rsid w:val="002B187F"/>
    <w:rsid w:val="002B1963"/>
    <w:rsid w:val="002B1A00"/>
    <w:rsid w:val="002B1B0B"/>
    <w:rsid w:val="002B1CE7"/>
    <w:rsid w:val="002B2718"/>
    <w:rsid w:val="002B27AA"/>
    <w:rsid w:val="002B2974"/>
    <w:rsid w:val="002B2CA5"/>
    <w:rsid w:val="002B2E97"/>
    <w:rsid w:val="002B304F"/>
    <w:rsid w:val="002B3052"/>
    <w:rsid w:val="002B3065"/>
    <w:rsid w:val="002B31AC"/>
    <w:rsid w:val="002B3505"/>
    <w:rsid w:val="002B351A"/>
    <w:rsid w:val="002B35B7"/>
    <w:rsid w:val="002B38CB"/>
    <w:rsid w:val="002B3AA0"/>
    <w:rsid w:val="002B40D4"/>
    <w:rsid w:val="002B43A0"/>
    <w:rsid w:val="002B488D"/>
    <w:rsid w:val="002B4EC2"/>
    <w:rsid w:val="002B4F6A"/>
    <w:rsid w:val="002B4F73"/>
    <w:rsid w:val="002B550E"/>
    <w:rsid w:val="002B5624"/>
    <w:rsid w:val="002B645B"/>
    <w:rsid w:val="002B6976"/>
    <w:rsid w:val="002B6DEC"/>
    <w:rsid w:val="002B721F"/>
    <w:rsid w:val="002B7657"/>
    <w:rsid w:val="002B7F15"/>
    <w:rsid w:val="002C028B"/>
    <w:rsid w:val="002C07EA"/>
    <w:rsid w:val="002C1E57"/>
    <w:rsid w:val="002C1E77"/>
    <w:rsid w:val="002C1F08"/>
    <w:rsid w:val="002C20C5"/>
    <w:rsid w:val="002C2273"/>
    <w:rsid w:val="002C2473"/>
    <w:rsid w:val="002C26B5"/>
    <w:rsid w:val="002C3D21"/>
    <w:rsid w:val="002C4730"/>
    <w:rsid w:val="002C4752"/>
    <w:rsid w:val="002C4D30"/>
    <w:rsid w:val="002C4D41"/>
    <w:rsid w:val="002C4D6D"/>
    <w:rsid w:val="002C5584"/>
    <w:rsid w:val="002C5720"/>
    <w:rsid w:val="002C57E2"/>
    <w:rsid w:val="002C5A95"/>
    <w:rsid w:val="002C5EAF"/>
    <w:rsid w:val="002C635A"/>
    <w:rsid w:val="002C6674"/>
    <w:rsid w:val="002C6770"/>
    <w:rsid w:val="002C67BF"/>
    <w:rsid w:val="002C6C69"/>
    <w:rsid w:val="002C6DE2"/>
    <w:rsid w:val="002C71B6"/>
    <w:rsid w:val="002C7526"/>
    <w:rsid w:val="002C75BF"/>
    <w:rsid w:val="002C760C"/>
    <w:rsid w:val="002C7BD7"/>
    <w:rsid w:val="002C7C21"/>
    <w:rsid w:val="002D00C1"/>
    <w:rsid w:val="002D06B9"/>
    <w:rsid w:val="002D0AC1"/>
    <w:rsid w:val="002D17EE"/>
    <w:rsid w:val="002D1861"/>
    <w:rsid w:val="002D1BA8"/>
    <w:rsid w:val="002D1C17"/>
    <w:rsid w:val="002D1C2B"/>
    <w:rsid w:val="002D2571"/>
    <w:rsid w:val="002D2797"/>
    <w:rsid w:val="002D2CB0"/>
    <w:rsid w:val="002D30F0"/>
    <w:rsid w:val="002D3BB4"/>
    <w:rsid w:val="002D3BF1"/>
    <w:rsid w:val="002D3D13"/>
    <w:rsid w:val="002D3EA4"/>
    <w:rsid w:val="002D401F"/>
    <w:rsid w:val="002D463A"/>
    <w:rsid w:val="002D47BD"/>
    <w:rsid w:val="002D4D38"/>
    <w:rsid w:val="002D4E84"/>
    <w:rsid w:val="002D4FE9"/>
    <w:rsid w:val="002D5814"/>
    <w:rsid w:val="002D5FA4"/>
    <w:rsid w:val="002D644C"/>
    <w:rsid w:val="002D64A7"/>
    <w:rsid w:val="002D6828"/>
    <w:rsid w:val="002D6A4C"/>
    <w:rsid w:val="002D6B9B"/>
    <w:rsid w:val="002D6BBC"/>
    <w:rsid w:val="002D705D"/>
    <w:rsid w:val="002D725C"/>
    <w:rsid w:val="002D7AEF"/>
    <w:rsid w:val="002D7EDE"/>
    <w:rsid w:val="002D7F2E"/>
    <w:rsid w:val="002E02D1"/>
    <w:rsid w:val="002E0388"/>
    <w:rsid w:val="002E058D"/>
    <w:rsid w:val="002E07AB"/>
    <w:rsid w:val="002E1001"/>
    <w:rsid w:val="002E1037"/>
    <w:rsid w:val="002E1321"/>
    <w:rsid w:val="002E17B4"/>
    <w:rsid w:val="002E1EC0"/>
    <w:rsid w:val="002E211E"/>
    <w:rsid w:val="002E25CB"/>
    <w:rsid w:val="002E2DE4"/>
    <w:rsid w:val="002E2E76"/>
    <w:rsid w:val="002E384F"/>
    <w:rsid w:val="002E3B0A"/>
    <w:rsid w:val="002E3CC7"/>
    <w:rsid w:val="002E3EA8"/>
    <w:rsid w:val="002E456B"/>
    <w:rsid w:val="002E4653"/>
    <w:rsid w:val="002E46AD"/>
    <w:rsid w:val="002E48BE"/>
    <w:rsid w:val="002E4A3B"/>
    <w:rsid w:val="002E4E1F"/>
    <w:rsid w:val="002E4EB5"/>
    <w:rsid w:val="002E5301"/>
    <w:rsid w:val="002E53B6"/>
    <w:rsid w:val="002E574E"/>
    <w:rsid w:val="002E5960"/>
    <w:rsid w:val="002E5B34"/>
    <w:rsid w:val="002E5B4A"/>
    <w:rsid w:val="002E5B68"/>
    <w:rsid w:val="002E65DD"/>
    <w:rsid w:val="002E665D"/>
    <w:rsid w:val="002E681F"/>
    <w:rsid w:val="002E6999"/>
    <w:rsid w:val="002E6BE4"/>
    <w:rsid w:val="002E6C0A"/>
    <w:rsid w:val="002E6F29"/>
    <w:rsid w:val="002E6F6F"/>
    <w:rsid w:val="002E74DA"/>
    <w:rsid w:val="002E7506"/>
    <w:rsid w:val="002E7BD3"/>
    <w:rsid w:val="002F0EC5"/>
    <w:rsid w:val="002F109F"/>
    <w:rsid w:val="002F1109"/>
    <w:rsid w:val="002F15B5"/>
    <w:rsid w:val="002F1793"/>
    <w:rsid w:val="002F2354"/>
    <w:rsid w:val="002F258B"/>
    <w:rsid w:val="002F2732"/>
    <w:rsid w:val="002F29E6"/>
    <w:rsid w:val="002F2A7B"/>
    <w:rsid w:val="002F2E75"/>
    <w:rsid w:val="002F321E"/>
    <w:rsid w:val="002F382A"/>
    <w:rsid w:val="002F39A5"/>
    <w:rsid w:val="002F3A3F"/>
    <w:rsid w:val="002F3ADB"/>
    <w:rsid w:val="002F3BA9"/>
    <w:rsid w:val="002F3DD1"/>
    <w:rsid w:val="002F3F75"/>
    <w:rsid w:val="002F43FB"/>
    <w:rsid w:val="002F4900"/>
    <w:rsid w:val="002F4A02"/>
    <w:rsid w:val="002F5570"/>
    <w:rsid w:val="002F5724"/>
    <w:rsid w:val="002F5A61"/>
    <w:rsid w:val="002F5AEF"/>
    <w:rsid w:val="002F5C05"/>
    <w:rsid w:val="002F5D45"/>
    <w:rsid w:val="002F5D9B"/>
    <w:rsid w:val="002F5EA2"/>
    <w:rsid w:val="002F5EB1"/>
    <w:rsid w:val="002F60DD"/>
    <w:rsid w:val="002F714D"/>
    <w:rsid w:val="002F79C2"/>
    <w:rsid w:val="002F7EAA"/>
    <w:rsid w:val="003000E8"/>
    <w:rsid w:val="00300473"/>
    <w:rsid w:val="00300602"/>
    <w:rsid w:val="003008F6"/>
    <w:rsid w:val="00300E8D"/>
    <w:rsid w:val="00300EFF"/>
    <w:rsid w:val="00300F87"/>
    <w:rsid w:val="00301146"/>
    <w:rsid w:val="00301276"/>
    <w:rsid w:val="0030130A"/>
    <w:rsid w:val="00301602"/>
    <w:rsid w:val="00301822"/>
    <w:rsid w:val="003019DA"/>
    <w:rsid w:val="00301B49"/>
    <w:rsid w:val="00301B69"/>
    <w:rsid w:val="00301E3A"/>
    <w:rsid w:val="00302166"/>
    <w:rsid w:val="0030282D"/>
    <w:rsid w:val="003032DA"/>
    <w:rsid w:val="00303BFF"/>
    <w:rsid w:val="00303CBE"/>
    <w:rsid w:val="00303DA0"/>
    <w:rsid w:val="00304218"/>
    <w:rsid w:val="003043E8"/>
    <w:rsid w:val="003045CE"/>
    <w:rsid w:val="00304C49"/>
    <w:rsid w:val="00304CEC"/>
    <w:rsid w:val="00304F26"/>
    <w:rsid w:val="00305125"/>
    <w:rsid w:val="0030554C"/>
    <w:rsid w:val="003055AD"/>
    <w:rsid w:val="0030565B"/>
    <w:rsid w:val="003056D5"/>
    <w:rsid w:val="003057B9"/>
    <w:rsid w:val="00305F5F"/>
    <w:rsid w:val="00305FB3"/>
    <w:rsid w:val="00306335"/>
    <w:rsid w:val="00306BD7"/>
    <w:rsid w:val="00306E7F"/>
    <w:rsid w:val="003076C6"/>
    <w:rsid w:val="00307EEB"/>
    <w:rsid w:val="00307F0B"/>
    <w:rsid w:val="003108AE"/>
    <w:rsid w:val="00310AE4"/>
    <w:rsid w:val="00310CA8"/>
    <w:rsid w:val="00310D89"/>
    <w:rsid w:val="003110AE"/>
    <w:rsid w:val="00311F5E"/>
    <w:rsid w:val="00311F67"/>
    <w:rsid w:val="00311FDE"/>
    <w:rsid w:val="00312A1E"/>
    <w:rsid w:val="00312C38"/>
    <w:rsid w:val="00312DEF"/>
    <w:rsid w:val="00312EA9"/>
    <w:rsid w:val="00312F1A"/>
    <w:rsid w:val="00312F33"/>
    <w:rsid w:val="00313140"/>
    <w:rsid w:val="00313217"/>
    <w:rsid w:val="00313300"/>
    <w:rsid w:val="003141C9"/>
    <w:rsid w:val="003141E1"/>
    <w:rsid w:val="00314294"/>
    <w:rsid w:val="00314319"/>
    <w:rsid w:val="00314869"/>
    <w:rsid w:val="00314C60"/>
    <w:rsid w:val="0031500A"/>
    <w:rsid w:val="00315C33"/>
    <w:rsid w:val="00315CF7"/>
    <w:rsid w:val="0031601A"/>
    <w:rsid w:val="003160BC"/>
    <w:rsid w:val="00316226"/>
    <w:rsid w:val="00316296"/>
    <w:rsid w:val="003166B6"/>
    <w:rsid w:val="00316868"/>
    <w:rsid w:val="00316C38"/>
    <w:rsid w:val="003170B6"/>
    <w:rsid w:val="003170FF"/>
    <w:rsid w:val="00317306"/>
    <w:rsid w:val="0031741A"/>
    <w:rsid w:val="00317719"/>
    <w:rsid w:val="00317B8C"/>
    <w:rsid w:val="003203FA"/>
    <w:rsid w:val="00320760"/>
    <w:rsid w:val="003211CC"/>
    <w:rsid w:val="00321A3C"/>
    <w:rsid w:val="003221AA"/>
    <w:rsid w:val="0032220D"/>
    <w:rsid w:val="0032281F"/>
    <w:rsid w:val="00322E4C"/>
    <w:rsid w:val="00323122"/>
    <w:rsid w:val="00323196"/>
    <w:rsid w:val="003234C8"/>
    <w:rsid w:val="00323910"/>
    <w:rsid w:val="003239B6"/>
    <w:rsid w:val="00323A8C"/>
    <w:rsid w:val="0032404E"/>
    <w:rsid w:val="00324604"/>
    <w:rsid w:val="003246FB"/>
    <w:rsid w:val="00324807"/>
    <w:rsid w:val="00324DDC"/>
    <w:rsid w:val="00325114"/>
    <w:rsid w:val="00325879"/>
    <w:rsid w:val="00325F44"/>
    <w:rsid w:val="00326284"/>
    <w:rsid w:val="003262D3"/>
    <w:rsid w:val="003264A8"/>
    <w:rsid w:val="00326C14"/>
    <w:rsid w:val="003270FC"/>
    <w:rsid w:val="003273AA"/>
    <w:rsid w:val="00327467"/>
    <w:rsid w:val="00327573"/>
    <w:rsid w:val="00327A3A"/>
    <w:rsid w:val="00330276"/>
    <w:rsid w:val="00330297"/>
    <w:rsid w:val="003305AF"/>
    <w:rsid w:val="003311BC"/>
    <w:rsid w:val="0033122C"/>
    <w:rsid w:val="003314E5"/>
    <w:rsid w:val="0033186F"/>
    <w:rsid w:val="00331EDB"/>
    <w:rsid w:val="00331F70"/>
    <w:rsid w:val="003323DB"/>
    <w:rsid w:val="003328C8"/>
    <w:rsid w:val="003337F2"/>
    <w:rsid w:val="0033384D"/>
    <w:rsid w:val="00333B2D"/>
    <w:rsid w:val="00334391"/>
    <w:rsid w:val="00334546"/>
    <w:rsid w:val="00335346"/>
    <w:rsid w:val="003354D0"/>
    <w:rsid w:val="00335531"/>
    <w:rsid w:val="00335812"/>
    <w:rsid w:val="0033584A"/>
    <w:rsid w:val="003359B2"/>
    <w:rsid w:val="00335A6C"/>
    <w:rsid w:val="00335FDD"/>
    <w:rsid w:val="0033684E"/>
    <w:rsid w:val="00336FBC"/>
    <w:rsid w:val="003370B1"/>
    <w:rsid w:val="00337558"/>
    <w:rsid w:val="00337888"/>
    <w:rsid w:val="00337F03"/>
    <w:rsid w:val="00337F45"/>
    <w:rsid w:val="003400D8"/>
    <w:rsid w:val="003402E1"/>
    <w:rsid w:val="00340973"/>
    <w:rsid w:val="003409E5"/>
    <w:rsid w:val="00340EFB"/>
    <w:rsid w:val="00341031"/>
    <w:rsid w:val="003418B9"/>
    <w:rsid w:val="0034192D"/>
    <w:rsid w:val="00341955"/>
    <w:rsid w:val="00341D1B"/>
    <w:rsid w:val="00342519"/>
    <w:rsid w:val="003428B2"/>
    <w:rsid w:val="00342E91"/>
    <w:rsid w:val="00342F43"/>
    <w:rsid w:val="00342FF9"/>
    <w:rsid w:val="00343954"/>
    <w:rsid w:val="00343D58"/>
    <w:rsid w:val="00343FEF"/>
    <w:rsid w:val="00344160"/>
    <w:rsid w:val="00344533"/>
    <w:rsid w:val="0034454D"/>
    <w:rsid w:val="003447EE"/>
    <w:rsid w:val="003448B7"/>
    <w:rsid w:val="00344AB5"/>
    <w:rsid w:val="00344D71"/>
    <w:rsid w:val="00344DE7"/>
    <w:rsid w:val="0034504D"/>
    <w:rsid w:val="0034521A"/>
    <w:rsid w:val="00345251"/>
    <w:rsid w:val="00345271"/>
    <w:rsid w:val="0034581B"/>
    <w:rsid w:val="00345F67"/>
    <w:rsid w:val="00346323"/>
    <w:rsid w:val="003465A8"/>
    <w:rsid w:val="0034699A"/>
    <w:rsid w:val="00346C00"/>
    <w:rsid w:val="00346C33"/>
    <w:rsid w:val="00346CC5"/>
    <w:rsid w:val="00346D2E"/>
    <w:rsid w:val="00347285"/>
    <w:rsid w:val="003475CA"/>
    <w:rsid w:val="003475F5"/>
    <w:rsid w:val="0034776B"/>
    <w:rsid w:val="00347895"/>
    <w:rsid w:val="0034797D"/>
    <w:rsid w:val="00347A1F"/>
    <w:rsid w:val="00347EE3"/>
    <w:rsid w:val="00350310"/>
    <w:rsid w:val="003504ED"/>
    <w:rsid w:val="0035052E"/>
    <w:rsid w:val="0035053C"/>
    <w:rsid w:val="003509F5"/>
    <w:rsid w:val="00350F77"/>
    <w:rsid w:val="003515E4"/>
    <w:rsid w:val="00351A2D"/>
    <w:rsid w:val="00351A80"/>
    <w:rsid w:val="00351F7E"/>
    <w:rsid w:val="00352129"/>
    <w:rsid w:val="00352506"/>
    <w:rsid w:val="0035260E"/>
    <w:rsid w:val="003526AA"/>
    <w:rsid w:val="003529C0"/>
    <w:rsid w:val="00352D46"/>
    <w:rsid w:val="003533C4"/>
    <w:rsid w:val="00353995"/>
    <w:rsid w:val="00353A9A"/>
    <w:rsid w:val="00353F43"/>
    <w:rsid w:val="00354027"/>
    <w:rsid w:val="003540C1"/>
    <w:rsid w:val="0035417E"/>
    <w:rsid w:val="00354269"/>
    <w:rsid w:val="003545B2"/>
    <w:rsid w:val="003546D2"/>
    <w:rsid w:val="0035547B"/>
    <w:rsid w:val="00355647"/>
    <w:rsid w:val="003558E1"/>
    <w:rsid w:val="00355ACF"/>
    <w:rsid w:val="00355CBD"/>
    <w:rsid w:val="00355DA7"/>
    <w:rsid w:val="003561F9"/>
    <w:rsid w:val="0035647E"/>
    <w:rsid w:val="003564B7"/>
    <w:rsid w:val="00356543"/>
    <w:rsid w:val="00356D21"/>
    <w:rsid w:val="00356E97"/>
    <w:rsid w:val="00357290"/>
    <w:rsid w:val="00357764"/>
    <w:rsid w:val="003579F1"/>
    <w:rsid w:val="00357A1F"/>
    <w:rsid w:val="0036046F"/>
    <w:rsid w:val="003605B2"/>
    <w:rsid w:val="00360678"/>
    <w:rsid w:val="0036089C"/>
    <w:rsid w:val="003608A6"/>
    <w:rsid w:val="003608E2"/>
    <w:rsid w:val="00360B8C"/>
    <w:rsid w:val="00360C44"/>
    <w:rsid w:val="00360D9C"/>
    <w:rsid w:val="0036100A"/>
    <w:rsid w:val="003610EB"/>
    <w:rsid w:val="00361CC8"/>
    <w:rsid w:val="00361F2F"/>
    <w:rsid w:val="00362055"/>
    <w:rsid w:val="003627A6"/>
    <w:rsid w:val="003628BB"/>
    <w:rsid w:val="00362A03"/>
    <w:rsid w:val="00362AB5"/>
    <w:rsid w:val="00362EBF"/>
    <w:rsid w:val="0036317F"/>
    <w:rsid w:val="003632FD"/>
    <w:rsid w:val="0036353B"/>
    <w:rsid w:val="003635C2"/>
    <w:rsid w:val="003637D9"/>
    <w:rsid w:val="003639D1"/>
    <w:rsid w:val="00363B73"/>
    <w:rsid w:val="00364301"/>
    <w:rsid w:val="003646E9"/>
    <w:rsid w:val="00364D71"/>
    <w:rsid w:val="003659E1"/>
    <w:rsid w:val="00365B45"/>
    <w:rsid w:val="003662A0"/>
    <w:rsid w:val="003666B1"/>
    <w:rsid w:val="0036678C"/>
    <w:rsid w:val="003667D6"/>
    <w:rsid w:val="00366908"/>
    <w:rsid w:val="003669C3"/>
    <w:rsid w:val="00366B39"/>
    <w:rsid w:val="00366BEF"/>
    <w:rsid w:val="00366CDA"/>
    <w:rsid w:val="00366EB0"/>
    <w:rsid w:val="0036742F"/>
    <w:rsid w:val="00367D26"/>
    <w:rsid w:val="00367EAC"/>
    <w:rsid w:val="00367ECD"/>
    <w:rsid w:val="00370307"/>
    <w:rsid w:val="0037048C"/>
    <w:rsid w:val="00370620"/>
    <w:rsid w:val="00370C2C"/>
    <w:rsid w:val="00370DC4"/>
    <w:rsid w:val="00370F3C"/>
    <w:rsid w:val="00370FB7"/>
    <w:rsid w:val="00371048"/>
    <w:rsid w:val="00371529"/>
    <w:rsid w:val="0037157F"/>
    <w:rsid w:val="00371870"/>
    <w:rsid w:val="003718EB"/>
    <w:rsid w:val="00371E6B"/>
    <w:rsid w:val="0037221D"/>
    <w:rsid w:val="003725C0"/>
    <w:rsid w:val="0037267E"/>
    <w:rsid w:val="0037269D"/>
    <w:rsid w:val="00372D1D"/>
    <w:rsid w:val="003731FC"/>
    <w:rsid w:val="0037351F"/>
    <w:rsid w:val="00373928"/>
    <w:rsid w:val="00373D41"/>
    <w:rsid w:val="00374127"/>
    <w:rsid w:val="00374196"/>
    <w:rsid w:val="003741AB"/>
    <w:rsid w:val="00374337"/>
    <w:rsid w:val="00374539"/>
    <w:rsid w:val="0037484A"/>
    <w:rsid w:val="003749E1"/>
    <w:rsid w:val="003750A1"/>
    <w:rsid w:val="003750FB"/>
    <w:rsid w:val="0037566F"/>
    <w:rsid w:val="00375889"/>
    <w:rsid w:val="00375A16"/>
    <w:rsid w:val="00375CFC"/>
    <w:rsid w:val="003760DC"/>
    <w:rsid w:val="0037677F"/>
    <w:rsid w:val="00376831"/>
    <w:rsid w:val="003768A9"/>
    <w:rsid w:val="003769C5"/>
    <w:rsid w:val="0037715A"/>
    <w:rsid w:val="00377269"/>
    <w:rsid w:val="003775C7"/>
    <w:rsid w:val="00377881"/>
    <w:rsid w:val="00377918"/>
    <w:rsid w:val="00377F14"/>
    <w:rsid w:val="003806C8"/>
    <w:rsid w:val="00380770"/>
    <w:rsid w:val="00380AE0"/>
    <w:rsid w:val="00380D2B"/>
    <w:rsid w:val="00380E13"/>
    <w:rsid w:val="00381018"/>
    <w:rsid w:val="00381047"/>
    <w:rsid w:val="003810A7"/>
    <w:rsid w:val="00381144"/>
    <w:rsid w:val="0038171C"/>
    <w:rsid w:val="003817B9"/>
    <w:rsid w:val="00381AF9"/>
    <w:rsid w:val="00381DE4"/>
    <w:rsid w:val="00381E22"/>
    <w:rsid w:val="00381ED2"/>
    <w:rsid w:val="003822A0"/>
    <w:rsid w:val="00383118"/>
    <w:rsid w:val="00383212"/>
    <w:rsid w:val="00383256"/>
    <w:rsid w:val="003836B0"/>
    <w:rsid w:val="003838A7"/>
    <w:rsid w:val="00383903"/>
    <w:rsid w:val="00383980"/>
    <w:rsid w:val="00383D1A"/>
    <w:rsid w:val="00383DCE"/>
    <w:rsid w:val="003841C9"/>
    <w:rsid w:val="00384233"/>
    <w:rsid w:val="00384316"/>
    <w:rsid w:val="0038442A"/>
    <w:rsid w:val="003844AB"/>
    <w:rsid w:val="00384568"/>
    <w:rsid w:val="00384647"/>
    <w:rsid w:val="00384CC5"/>
    <w:rsid w:val="00384EB6"/>
    <w:rsid w:val="003851CB"/>
    <w:rsid w:val="00385266"/>
    <w:rsid w:val="003854F6"/>
    <w:rsid w:val="00385762"/>
    <w:rsid w:val="00386035"/>
    <w:rsid w:val="0038611A"/>
    <w:rsid w:val="003864DD"/>
    <w:rsid w:val="003866F7"/>
    <w:rsid w:val="00386A24"/>
    <w:rsid w:val="00386C7F"/>
    <w:rsid w:val="00386DF3"/>
    <w:rsid w:val="00386E1D"/>
    <w:rsid w:val="0038703A"/>
    <w:rsid w:val="0038725F"/>
    <w:rsid w:val="003878CF"/>
    <w:rsid w:val="0039001E"/>
    <w:rsid w:val="003905AE"/>
    <w:rsid w:val="003906E0"/>
    <w:rsid w:val="00390D9B"/>
    <w:rsid w:val="003915EA"/>
    <w:rsid w:val="003917BC"/>
    <w:rsid w:val="00391F11"/>
    <w:rsid w:val="00391FF4"/>
    <w:rsid w:val="00392004"/>
    <w:rsid w:val="003921A2"/>
    <w:rsid w:val="00392479"/>
    <w:rsid w:val="003925B1"/>
    <w:rsid w:val="003928D3"/>
    <w:rsid w:val="00393148"/>
    <w:rsid w:val="0039333D"/>
    <w:rsid w:val="0039353B"/>
    <w:rsid w:val="003936CA"/>
    <w:rsid w:val="0039429D"/>
    <w:rsid w:val="0039451C"/>
    <w:rsid w:val="00394A8D"/>
    <w:rsid w:val="0039535D"/>
    <w:rsid w:val="00395384"/>
    <w:rsid w:val="0039538D"/>
    <w:rsid w:val="00395428"/>
    <w:rsid w:val="0039571E"/>
    <w:rsid w:val="00395855"/>
    <w:rsid w:val="00395BF4"/>
    <w:rsid w:val="00396356"/>
    <w:rsid w:val="00396825"/>
    <w:rsid w:val="00396A16"/>
    <w:rsid w:val="00396B50"/>
    <w:rsid w:val="00396C44"/>
    <w:rsid w:val="003971C9"/>
    <w:rsid w:val="0039756F"/>
    <w:rsid w:val="00397ED0"/>
    <w:rsid w:val="003A0327"/>
    <w:rsid w:val="003A03A8"/>
    <w:rsid w:val="003A0830"/>
    <w:rsid w:val="003A097E"/>
    <w:rsid w:val="003A0F16"/>
    <w:rsid w:val="003A0F4B"/>
    <w:rsid w:val="003A1087"/>
    <w:rsid w:val="003A1975"/>
    <w:rsid w:val="003A1AF9"/>
    <w:rsid w:val="003A1B1D"/>
    <w:rsid w:val="003A1D25"/>
    <w:rsid w:val="003A210C"/>
    <w:rsid w:val="003A214A"/>
    <w:rsid w:val="003A23B3"/>
    <w:rsid w:val="003A25A9"/>
    <w:rsid w:val="003A2874"/>
    <w:rsid w:val="003A2EFB"/>
    <w:rsid w:val="003A3CA8"/>
    <w:rsid w:val="003A41B1"/>
    <w:rsid w:val="003A421D"/>
    <w:rsid w:val="003A433D"/>
    <w:rsid w:val="003A4354"/>
    <w:rsid w:val="003A4592"/>
    <w:rsid w:val="003A5170"/>
    <w:rsid w:val="003A52B6"/>
    <w:rsid w:val="003A55BA"/>
    <w:rsid w:val="003A5683"/>
    <w:rsid w:val="003A575C"/>
    <w:rsid w:val="003A57CA"/>
    <w:rsid w:val="003A57F3"/>
    <w:rsid w:val="003A600B"/>
    <w:rsid w:val="003A63DE"/>
    <w:rsid w:val="003A688B"/>
    <w:rsid w:val="003A68E6"/>
    <w:rsid w:val="003A6D1D"/>
    <w:rsid w:val="003A70C1"/>
    <w:rsid w:val="003A70FC"/>
    <w:rsid w:val="003A7C5A"/>
    <w:rsid w:val="003A7EBC"/>
    <w:rsid w:val="003B0371"/>
    <w:rsid w:val="003B040B"/>
    <w:rsid w:val="003B0497"/>
    <w:rsid w:val="003B0848"/>
    <w:rsid w:val="003B08B0"/>
    <w:rsid w:val="003B09E2"/>
    <w:rsid w:val="003B0B67"/>
    <w:rsid w:val="003B0FF0"/>
    <w:rsid w:val="003B13F6"/>
    <w:rsid w:val="003B178D"/>
    <w:rsid w:val="003B28D6"/>
    <w:rsid w:val="003B32E8"/>
    <w:rsid w:val="003B37E4"/>
    <w:rsid w:val="003B390B"/>
    <w:rsid w:val="003B3B30"/>
    <w:rsid w:val="003B3EBA"/>
    <w:rsid w:val="003B3EC8"/>
    <w:rsid w:val="003B4054"/>
    <w:rsid w:val="003B430F"/>
    <w:rsid w:val="003B4385"/>
    <w:rsid w:val="003B4445"/>
    <w:rsid w:val="003B46E7"/>
    <w:rsid w:val="003B4768"/>
    <w:rsid w:val="003B4994"/>
    <w:rsid w:val="003B4A96"/>
    <w:rsid w:val="003B4FA5"/>
    <w:rsid w:val="003B500D"/>
    <w:rsid w:val="003B501A"/>
    <w:rsid w:val="003B504E"/>
    <w:rsid w:val="003B58C4"/>
    <w:rsid w:val="003B5E20"/>
    <w:rsid w:val="003B605A"/>
    <w:rsid w:val="003B71C3"/>
    <w:rsid w:val="003B749E"/>
    <w:rsid w:val="003B79DA"/>
    <w:rsid w:val="003B7AFD"/>
    <w:rsid w:val="003B7B5D"/>
    <w:rsid w:val="003B7C8A"/>
    <w:rsid w:val="003B7CDF"/>
    <w:rsid w:val="003B7D32"/>
    <w:rsid w:val="003C02FA"/>
    <w:rsid w:val="003C0300"/>
    <w:rsid w:val="003C0635"/>
    <w:rsid w:val="003C09CA"/>
    <w:rsid w:val="003C0A52"/>
    <w:rsid w:val="003C0E34"/>
    <w:rsid w:val="003C178F"/>
    <w:rsid w:val="003C17D0"/>
    <w:rsid w:val="003C1814"/>
    <w:rsid w:val="003C1CF3"/>
    <w:rsid w:val="003C1D76"/>
    <w:rsid w:val="003C1DC7"/>
    <w:rsid w:val="003C1E3A"/>
    <w:rsid w:val="003C203E"/>
    <w:rsid w:val="003C28A5"/>
    <w:rsid w:val="003C2A40"/>
    <w:rsid w:val="003C2B7F"/>
    <w:rsid w:val="003C2BAE"/>
    <w:rsid w:val="003C2EE8"/>
    <w:rsid w:val="003C31D6"/>
    <w:rsid w:val="003C346F"/>
    <w:rsid w:val="003C39BD"/>
    <w:rsid w:val="003C3DFA"/>
    <w:rsid w:val="003C41A5"/>
    <w:rsid w:val="003C43BD"/>
    <w:rsid w:val="003C43D1"/>
    <w:rsid w:val="003C4438"/>
    <w:rsid w:val="003C4695"/>
    <w:rsid w:val="003C4BD3"/>
    <w:rsid w:val="003C542B"/>
    <w:rsid w:val="003C5B20"/>
    <w:rsid w:val="003C5C2C"/>
    <w:rsid w:val="003C63D0"/>
    <w:rsid w:val="003C654A"/>
    <w:rsid w:val="003C66A4"/>
    <w:rsid w:val="003C6FB8"/>
    <w:rsid w:val="003C7533"/>
    <w:rsid w:val="003C7767"/>
    <w:rsid w:val="003C7822"/>
    <w:rsid w:val="003C7957"/>
    <w:rsid w:val="003C7E0D"/>
    <w:rsid w:val="003C7FC8"/>
    <w:rsid w:val="003D0277"/>
    <w:rsid w:val="003D08B2"/>
    <w:rsid w:val="003D0B98"/>
    <w:rsid w:val="003D0FC8"/>
    <w:rsid w:val="003D12F6"/>
    <w:rsid w:val="003D157E"/>
    <w:rsid w:val="003D1DD3"/>
    <w:rsid w:val="003D1F0B"/>
    <w:rsid w:val="003D2213"/>
    <w:rsid w:val="003D2804"/>
    <w:rsid w:val="003D28C3"/>
    <w:rsid w:val="003D2C68"/>
    <w:rsid w:val="003D2DFF"/>
    <w:rsid w:val="003D2E51"/>
    <w:rsid w:val="003D33A9"/>
    <w:rsid w:val="003D361E"/>
    <w:rsid w:val="003D3FBC"/>
    <w:rsid w:val="003D4267"/>
    <w:rsid w:val="003D4730"/>
    <w:rsid w:val="003D56F4"/>
    <w:rsid w:val="003D570B"/>
    <w:rsid w:val="003D59AC"/>
    <w:rsid w:val="003D59C5"/>
    <w:rsid w:val="003D5C9C"/>
    <w:rsid w:val="003D6315"/>
    <w:rsid w:val="003D66BF"/>
    <w:rsid w:val="003D66EB"/>
    <w:rsid w:val="003D6764"/>
    <w:rsid w:val="003D6F49"/>
    <w:rsid w:val="003D7483"/>
    <w:rsid w:val="003D76CC"/>
    <w:rsid w:val="003D7A54"/>
    <w:rsid w:val="003E02EF"/>
    <w:rsid w:val="003E047C"/>
    <w:rsid w:val="003E08F7"/>
    <w:rsid w:val="003E0AD7"/>
    <w:rsid w:val="003E0CFB"/>
    <w:rsid w:val="003E103E"/>
    <w:rsid w:val="003E134C"/>
    <w:rsid w:val="003E15FA"/>
    <w:rsid w:val="003E1B2E"/>
    <w:rsid w:val="003E1C16"/>
    <w:rsid w:val="003E1CD3"/>
    <w:rsid w:val="003E1D0C"/>
    <w:rsid w:val="003E217D"/>
    <w:rsid w:val="003E232D"/>
    <w:rsid w:val="003E28D2"/>
    <w:rsid w:val="003E29A2"/>
    <w:rsid w:val="003E2B30"/>
    <w:rsid w:val="003E2D3E"/>
    <w:rsid w:val="003E2DD9"/>
    <w:rsid w:val="003E2F1A"/>
    <w:rsid w:val="003E3077"/>
    <w:rsid w:val="003E339B"/>
    <w:rsid w:val="003E3825"/>
    <w:rsid w:val="003E3D46"/>
    <w:rsid w:val="003E3D6F"/>
    <w:rsid w:val="003E4244"/>
    <w:rsid w:val="003E4489"/>
    <w:rsid w:val="003E4A0D"/>
    <w:rsid w:val="003E4B72"/>
    <w:rsid w:val="003E4D50"/>
    <w:rsid w:val="003E5372"/>
    <w:rsid w:val="003E58EC"/>
    <w:rsid w:val="003E6423"/>
    <w:rsid w:val="003E6650"/>
    <w:rsid w:val="003E6894"/>
    <w:rsid w:val="003E6D44"/>
    <w:rsid w:val="003E6FC4"/>
    <w:rsid w:val="003E6FD5"/>
    <w:rsid w:val="003E718F"/>
    <w:rsid w:val="003E7398"/>
    <w:rsid w:val="003E7BCF"/>
    <w:rsid w:val="003E7F0D"/>
    <w:rsid w:val="003F027E"/>
    <w:rsid w:val="003F0964"/>
    <w:rsid w:val="003F0D25"/>
    <w:rsid w:val="003F1694"/>
    <w:rsid w:val="003F1A0E"/>
    <w:rsid w:val="003F1D45"/>
    <w:rsid w:val="003F1D73"/>
    <w:rsid w:val="003F2373"/>
    <w:rsid w:val="003F2C69"/>
    <w:rsid w:val="003F2DC3"/>
    <w:rsid w:val="003F32EE"/>
    <w:rsid w:val="003F336D"/>
    <w:rsid w:val="003F38B6"/>
    <w:rsid w:val="003F38C8"/>
    <w:rsid w:val="003F395C"/>
    <w:rsid w:val="003F3B1C"/>
    <w:rsid w:val="003F3F65"/>
    <w:rsid w:val="003F454D"/>
    <w:rsid w:val="003F4739"/>
    <w:rsid w:val="003F4742"/>
    <w:rsid w:val="003F5CEA"/>
    <w:rsid w:val="003F5DEA"/>
    <w:rsid w:val="003F612A"/>
    <w:rsid w:val="003F62C5"/>
    <w:rsid w:val="003F64E1"/>
    <w:rsid w:val="003F6503"/>
    <w:rsid w:val="003F65F1"/>
    <w:rsid w:val="003F6661"/>
    <w:rsid w:val="003F6A5B"/>
    <w:rsid w:val="003F6BD9"/>
    <w:rsid w:val="003F6CF2"/>
    <w:rsid w:val="003F7116"/>
    <w:rsid w:val="003F7300"/>
    <w:rsid w:val="003F7754"/>
    <w:rsid w:val="003F7850"/>
    <w:rsid w:val="003F7D13"/>
    <w:rsid w:val="003F7DA4"/>
    <w:rsid w:val="003F7E80"/>
    <w:rsid w:val="003F7ED5"/>
    <w:rsid w:val="003F7FA6"/>
    <w:rsid w:val="00400049"/>
    <w:rsid w:val="00400106"/>
    <w:rsid w:val="0040010F"/>
    <w:rsid w:val="00400233"/>
    <w:rsid w:val="00400277"/>
    <w:rsid w:val="00400293"/>
    <w:rsid w:val="0040082F"/>
    <w:rsid w:val="004008E7"/>
    <w:rsid w:val="00400A21"/>
    <w:rsid w:val="00400F60"/>
    <w:rsid w:val="004011E9"/>
    <w:rsid w:val="004014F0"/>
    <w:rsid w:val="0040151C"/>
    <w:rsid w:val="004015E1"/>
    <w:rsid w:val="0040163E"/>
    <w:rsid w:val="004017D9"/>
    <w:rsid w:val="004018A4"/>
    <w:rsid w:val="004019B2"/>
    <w:rsid w:val="00401D01"/>
    <w:rsid w:val="00402387"/>
    <w:rsid w:val="004025F9"/>
    <w:rsid w:val="00402713"/>
    <w:rsid w:val="00402A47"/>
    <w:rsid w:val="00402AE0"/>
    <w:rsid w:val="00402B4C"/>
    <w:rsid w:val="00402E82"/>
    <w:rsid w:val="00403017"/>
    <w:rsid w:val="0040318E"/>
    <w:rsid w:val="0040388A"/>
    <w:rsid w:val="0040391B"/>
    <w:rsid w:val="00403C60"/>
    <w:rsid w:val="00403D90"/>
    <w:rsid w:val="0040432C"/>
    <w:rsid w:val="00404A3E"/>
    <w:rsid w:val="00404CC9"/>
    <w:rsid w:val="00404E10"/>
    <w:rsid w:val="00404E3A"/>
    <w:rsid w:val="00404F30"/>
    <w:rsid w:val="00405773"/>
    <w:rsid w:val="004057B2"/>
    <w:rsid w:val="004061DD"/>
    <w:rsid w:val="0040631C"/>
    <w:rsid w:val="004065F8"/>
    <w:rsid w:val="00406D44"/>
    <w:rsid w:val="004076B2"/>
    <w:rsid w:val="004077DA"/>
    <w:rsid w:val="00407A36"/>
    <w:rsid w:val="00407F4E"/>
    <w:rsid w:val="00407FF8"/>
    <w:rsid w:val="004105BB"/>
    <w:rsid w:val="0041071E"/>
    <w:rsid w:val="00410B7F"/>
    <w:rsid w:val="00410DBA"/>
    <w:rsid w:val="00410E11"/>
    <w:rsid w:val="00410E94"/>
    <w:rsid w:val="0041112E"/>
    <w:rsid w:val="0041227E"/>
    <w:rsid w:val="004122CF"/>
    <w:rsid w:val="0041238F"/>
    <w:rsid w:val="00412391"/>
    <w:rsid w:val="004125B2"/>
    <w:rsid w:val="00412DE3"/>
    <w:rsid w:val="00413263"/>
    <w:rsid w:val="004132AD"/>
    <w:rsid w:val="0041391D"/>
    <w:rsid w:val="00413A37"/>
    <w:rsid w:val="00413FFE"/>
    <w:rsid w:val="004142CA"/>
    <w:rsid w:val="00414BF6"/>
    <w:rsid w:val="00414E04"/>
    <w:rsid w:val="00415842"/>
    <w:rsid w:val="0041593D"/>
    <w:rsid w:val="004159C5"/>
    <w:rsid w:val="00415A22"/>
    <w:rsid w:val="00416292"/>
    <w:rsid w:val="00416382"/>
    <w:rsid w:val="00416581"/>
    <w:rsid w:val="00416928"/>
    <w:rsid w:val="00416A52"/>
    <w:rsid w:val="00416B01"/>
    <w:rsid w:val="00416D64"/>
    <w:rsid w:val="00417071"/>
    <w:rsid w:val="00417267"/>
    <w:rsid w:val="0041745E"/>
    <w:rsid w:val="00417784"/>
    <w:rsid w:val="004178B1"/>
    <w:rsid w:val="00417B48"/>
    <w:rsid w:val="00417E55"/>
    <w:rsid w:val="00420062"/>
    <w:rsid w:val="00420221"/>
    <w:rsid w:val="00420EBF"/>
    <w:rsid w:val="004211A0"/>
    <w:rsid w:val="0042128D"/>
    <w:rsid w:val="00421484"/>
    <w:rsid w:val="00421C7D"/>
    <w:rsid w:val="00421CC5"/>
    <w:rsid w:val="004220FC"/>
    <w:rsid w:val="00422389"/>
    <w:rsid w:val="0042266C"/>
    <w:rsid w:val="00422828"/>
    <w:rsid w:val="004229C9"/>
    <w:rsid w:val="00422ACB"/>
    <w:rsid w:val="00422B52"/>
    <w:rsid w:val="00422BD6"/>
    <w:rsid w:val="00422D73"/>
    <w:rsid w:val="00422E0D"/>
    <w:rsid w:val="00422FC1"/>
    <w:rsid w:val="004237F6"/>
    <w:rsid w:val="00423EE1"/>
    <w:rsid w:val="00424232"/>
    <w:rsid w:val="00424254"/>
    <w:rsid w:val="00424562"/>
    <w:rsid w:val="0042610F"/>
    <w:rsid w:val="00426521"/>
    <w:rsid w:val="00426A1C"/>
    <w:rsid w:val="004270E8"/>
    <w:rsid w:val="00427112"/>
    <w:rsid w:val="00427282"/>
    <w:rsid w:val="00427559"/>
    <w:rsid w:val="004276C5"/>
    <w:rsid w:val="00427A5F"/>
    <w:rsid w:val="00427B57"/>
    <w:rsid w:val="00427B5F"/>
    <w:rsid w:val="00427F9B"/>
    <w:rsid w:val="0043045B"/>
    <w:rsid w:val="00430498"/>
    <w:rsid w:val="00430648"/>
    <w:rsid w:val="004306DF"/>
    <w:rsid w:val="00430F51"/>
    <w:rsid w:val="00431016"/>
    <w:rsid w:val="00431045"/>
    <w:rsid w:val="004314BA"/>
    <w:rsid w:val="004318D4"/>
    <w:rsid w:val="00431A9B"/>
    <w:rsid w:val="00431DC9"/>
    <w:rsid w:val="0043218E"/>
    <w:rsid w:val="00432313"/>
    <w:rsid w:val="00432469"/>
    <w:rsid w:val="0043248F"/>
    <w:rsid w:val="004325A9"/>
    <w:rsid w:val="004326DF"/>
    <w:rsid w:val="00432C0D"/>
    <w:rsid w:val="00432F5C"/>
    <w:rsid w:val="00433104"/>
    <w:rsid w:val="00433237"/>
    <w:rsid w:val="00433792"/>
    <w:rsid w:val="00433893"/>
    <w:rsid w:val="004339AE"/>
    <w:rsid w:val="004339CA"/>
    <w:rsid w:val="00433ACE"/>
    <w:rsid w:val="00433EDA"/>
    <w:rsid w:val="004341E2"/>
    <w:rsid w:val="004343CD"/>
    <w:rsid w:val="00434444"/>
    <w:rsid w:val="0043446E"/>
    <w:rsid w:val="00434834"/>
    <w:rsid w:val="00434D25"/>
    <w:rsid w:val="004350A2"/>
    <w:rsid w:val="004350B5"/>
    <w:rsid w:val="004351BE"/>
    <w:rsid w:val="00435730"/>
    <w:rsid w:val="0043591B"/>
    <w:rsid w:val="00436050"/>
    <w:rsid w:val="004368F5"/>
    <w:rsid w:val="00437034"/>
    <w:rsid w:val="00437175"/>
    <w:rsid w:val="00437A31"/>
    <w:rsid w:val="00437B2E"/>
    <w:rsid w:val="00437CC3"/>
    <w:rsid w:val="00437D94"/>
    <w:rsid w:val="004402A6"/>
    <w:rsid w:val="004404F5"/>
    <w:rsid w:val="004408D5"/>
    <w:rsid w:val="00440AC9"/>
    <w:rsid w:val="00441148"/>
    <w:rsid w:val="00441447"/>
    <w:rsid w:val="00441459"/>
    <w:rsid w:val="004414AB"/>
    <w:rsid w:val="004415B5"/>
    <w:rsid w:val="00441A6A"/>
    <w:rsid w:val="00441A8E"/>
    <w:rsid w:val="00441BEC"/>
    <w:rsid w:val="00442259"/>
    <w:rsid w:val="004422D8"/>
    <w:rsid w:val="00442AE7"/>
    <w:rsid w:val="00442B87"/>
    <w:rsid w:val="00442D1C"/>
    <w:rsid w:val="004435A0"/>
    <w:rsid w:val="00443683"/>
    <w:rsid w:val="00443A30"/>
    <w:rsid w:val="00443BD8"/>
    <w:rsid w:val="00443C69"/>
    <w:rsid w:val="0044415C"/>
    <w:rsid w:val="004441CC"/>
    <w:rsid w:val="0044435D"/>
    <w:rsid w:val="004443AD"/>
    <w:rsid w:val="004445A1"/>
    <w:rsid w:val="0044464E"/>
    <w:rsid w:val="004447CE"/>
    <w:rsid w:val="004449CE"/>
    <w:rsid w:val="00444A52"/>
    <w:rsid w:val="00444C05"/>
    <w:rsid w:val="0044510C"/>
    <w:rsid w:val="00445A30"/>
    <w:rsid w:val="00445A97"/>
    <w:rsid w:val="00445CAB"/>
    <w:rsid w:val="00445FAF"/>
    <w:rsid w:val="004460AD"/>
    <w:rsid w:val="00446403"/>
    <w:rsid w:val="00446938"/>
    <w:rsid w:val="00446B0E"/>
    <w:rsid w:val="00446C5A"/>
    <w:rsid w:val="00446D5F"/>
    <w:rsid w:val="00446E4F"/>
    <w:rsid w:val="00450709"/>
    <w:rsid w:val="004507D4"/>
    <w:rsid w:val="004507E3"/>
    <w:rsid w:val="004515D6"/>
    <w:rsid w:val="00451842"/>
    <w:rsid w:val="00451873"/>
    <w:rsid w:val="0045195E"/>
    <w:rsid w:val="00451BD6"/>
    <w:rsid w:val="004520B7"/>
    <w:rsid w:val="004520D4"/>
    <w:rsid w:val="00452203"/>
    <w:rsid w:val="00452384"/>
    <w:rsid w:val="00452A3B"/>
    <w:rsid w:val="00452FB9"/>
    <w:rsid w:val="0045344D"/>
    <w:rsid w:val="004539E3"/>
    <w:rsid w:val="00453B15"/>
    <w:rsid w:val="00454011"/>
    <w:rsid w:val="00454306"/>
    <w:rsid w:val="0045477C"/>
    <w:rsid w:val="004548B7"/>
    <w:rsid w:val="00454A07"/>
    <w:rsid w:val="00454D68"/>
    <w:rsid w:val="00454DD4"/>
    <w:rsid w:val="004551BD"/>
    <w:rsid w:val="0045547B"/>
    <w:rsid w:val="004559B7"/>
    <w:rsid w:val="00455CC2"/>
    <w:rsid w:val="00455F74"/>
    <w:rsid w:val="004564C5"/>
    <w:rsid w:val="00456816"/>
    <w:rsid w:val="00456B20"/>
    <w:rsid w:val="00456BC9"/>
    <w:rsid w:val="00456C08"/>
    <w:rsid w:val="00456FDB"/>
    <w:rsid w:val="00457A81"/>
    <w:rsid w:val="00457E6B"/>
    <w:rsid w:val="00457EB1"/>
    <w:rsid w:val="0046094D"/>
    <w:rsid w:val="00460B48"/>
    <w:rsid w:val="00460D2F"/>
    <w:rsid w:val="00461041"/>
    <w:rsid w:val="00461977"/>
    <w:rsid w:val="00461D25"/>
    <w:rsid w:val="00461D8A"/>
    <w:rsid w:val="00461F4D"/>
    <w:rsid w:val="00461F73"/>
    <w:rsid w:val="0046208C"/>
    <w:rsid w:val="00462580"/>
    <w:rsid w:val="0046259F"/>
    <w:rsid w:val="004625ED"/>
    <w:rsid w:val="00462967"/>
    <w:rsid w:val="0046316B"/>
    <w:rsid w:val="004633BC"/>
    <w:rsid w:val="004634FA"/>
    <w:rsid w:val="004637CF"/>
    <w:rsid w:val="00463836"/>
    <w:rsid w:val="00463852"/>
    <w:rsid w:val="004638A7"/>
    <w:rsid w:val="00463CE8"/>
    <w:rsid w:val="00463F74"/>
    <w:rsid w:val="0046433F"/>
    <w:rsid w:val="004646CE"/>
    <w:rsid w:val="004649A9"/>
    <w:rsid w:val="004649AA"/>
    <w:rsid w:val="00464F93"/>
    <w:rsid w:val="004651BA"/>
    <w:rsid w:val="00465482"/>
    <w:rsid w:val="004654F6"/>
    <w:rsid w:val="00465888"/>
    <w:rsid w:val="00465E17"/>
    <w:rsid w:val="004661A3"/>
    <w:rsid w:val="0046634B"/>
    <w:rsid w:val="00466825"/>
    <w:rsid w:val="004668CC"/>
    <w:rsid w:val="004669B6"/>
    <w:rsid w:val="00466C36"/>
    <w:rsid w:val="0046713D"/>
    <w:rsid w:val="004675FB"/>
    <w:rsid w:val="00467893"/>
    <w:rsid w:val="004679DA"/>
    <w:rsid w:val="00467CDF"/>
    <w:rsid w:val="00467D3E"/>
    <w:rsid w:val="004703C3"/>
    <w:rsid w:val="0047049F"/>
    <w:rsid w:val="0047062B"/>
    <w:rsid w:val="00470A6B"/>
    <w:rsid w:val="00470BA6"/>
    <w:rsid w:val="00470D14"/>
    <w:rsid w:val="004713F5"/>
    <w:rsid w:val="00471662"/>
    <w:rsid w:val="0047212B"/>
    <w:rsid w:val="004727C4"/>
    <w:rsid w:val="00472AA9"/>
    <w:rsid w:val="00473307"/>
    <w:rsid w:val="0047348D"/>
    <w:rsid w:val="0047352C"/>
    <w:rsid w:val="00473822"/>
    <w:rsid w:val="00473A32"/>
    <w:rsid w:val="00474040"/>
    <w:rsid w:val="004742B0"/>
    <w:rsid w:val="00474547"/>
    <w:rsid w:val="00474B84"/>
    <w:rsid w:val="00474DE3"/>
    <w:rsid w:val="00475455"/>
    <w:rsid w:val="00475711"/>
    <w:rsid w:val="004759F8"/>
    <w:rsid w:val="0047666F"/>
    <w:rsid w:val="004766F1"/>
    <w:rsid w:val="00476C76"/>
    <w:rsid w:val="00476DEA"/>
    <w:rsid w:val="00476E5C"/>
    <w:rsid w:val="00476E92"/>
    <w:rsid w:val="00477043"/>
    <w:rsid w:val="00477363"/>
    <w:rsid w:val="0047757C"/>
    <w:rsid w:val="00477876"/>
    <w:rsid w:val="004778C8"/>
    <w:rsid w:val="00477A72"/>
    <w:rsid w:val="00477AFF"/>
    <w:rsid w:val="004804A3"/>
    <w:rsid w:val="004808B5"/>
    <w:rsid w:val="004812D1"/>
    <w:rsid w:val="0048133B"/>
    <w:rsid w:val="00481645"/>
    <w:rsid w:val="00481822"/>
    <w:rsid w:val="00481A3D"/>
    <w:rsid w:val="00481E4E"/>
    <w:rsid w:val="00481FAD"/>
    <w:rsid w:val="004827D1"/>
    <w:rsid w:val="00482CF4"/>
    <w:rsid w:val="004832B6"/>
    <w:rsid w:val="00483C17"/>
    <w:rsid w:val="00483F9F"/>
    <w:rsid w:val="00483FEF"/>
    <w:rsid w:val="004840FB"/>
    <w:rsid w:val="00484761"/>
    <w:rsid w:val="00484776"/>
    <w:rsid w:val="004847F5"/>
    <w:rsid w:val="00484AFB"/>
    <w:rsid w:val="00484B20"/>
    <w:rsid w:val="00484F23"/>
    <w:rsid w:val="00484FD2"/>
    <w:rsid w:val="00485041"/>
    <w:rsid w:val="004851FE"/>
    <w:rsid w:val="0048541D"/>
    <w:rsid w:val="00485486"/>
    <w:rsid w:val="0048573A"/>
    <w:rsid w:val="00485992"/>
    <w:rsid w:val="00485B05"/>
    <w:rsid w:val="00485B78"/>
    <w:rsid w:val="00485BB8"/>
    <w:rsid w:val="004862DF"/>
    <w:rsid w:val="0048636F"/>
    <w:rsid w:val="00486542"/>
    <w:rsid w:val="00486572"/>
    <w:rsid w:val="00486583"/>
    <w:rsid w:val="00486666"/>
    <w:rsid w:val="00486AC6"/>
    <w:rsid w:val="00486AC8"/>
    <w:rsid w:val="00486D92"/>
    <w:rsid w:val="00487174"/>
    <w:rsid w:val="0048746F"/>
    <w:rsid w:val="00487ABB"/>
    <w:rsid w:val="004900A3"/>
    <w:rsid w:val="004902D5"/>
    <w:rsid w:val="00490770"/>
    <w:rsid w:val="0049077C"/>
    <w:rsid w:val="00490CEB"/>
    <w:rsid w:val="00490F74"/>
    <w:rsid w:val="004910E2"/>
    <w:rsid w:val="00491981"/>
    <w:rsid w:val="004923BA"/>
    <w:rsid w:val="0049259F"/>
    <w:rsid w:val="00492770"/>
    <w:rsid w:val="004928E2"/>
    <w:rsid w:val="0049292E"/>
    <w:rsid w:val="00492B8C"/>
    <w:rsid w:val="0049310C"/>
    <w:rsid w:val="00493313"/>
    <w:rsid w:val="004933AB"/>
    <w:rsid w:val="004939A5"/>
    <w:rsid w:val="00493B80"/>
    <w:rsid w:val="00493C9D"/>
    <w:rsid w:val="00493E07"/>
    <w:rsid w:val="00493F5A"/>
    <w:rsid w:val="004941C6"/>
    <w:rsid w:val="004949C9"/>
    <w:rsid w:val="00494D50"/>
    <w:rsid w:val="00494F9E"/>
    <w:rsid w:val="004959A0"/>
    <w:rsid w:val="00495D1E"/>
    <w:rsid w:val="00495E03"/>
    <w:rsid w:val="004962D0"/>
    <w:rsid w:val="0049669F"/>
    <w:rsid w:val="00496B69"/>
    <w:rsid w:val="00496C02"/>
    <w:rsid w:val="00496D2D"/>
    <w:rsid w:val="0049718E"/>
    <w:rsid w:val="004975F3"/>
    <w:rsid w:val="00497C7F"/>
    <w:rsid w:val="00497F78"/>
    <w:rsid w:val="004A000E"/>
    <w:rsid w:val="004A012D"/>
    <w:rsid w:val="004A027C"/>
    <w:rsid w:val="004A03C3"/>
    <w:rsid w:val="004A07C5"/>
    <w:rsid w:val="004A0988"/>
    <w:rsid w:val="004A09FA"/>
    <w:rsid w:val="004A1215"/>
    <w:rsid w:val="004A148D"/>
    <w:rsid w:val="004A171E"/>
    <w:rsid w:val="004A1885"/>
    <w:rsid w:val="004A23CF"/>
    <w:rsid w:val="004A23E5"/>
    <w:rsid w:val="004A2B1A"/>
    <w:rsid w:val="004A2D88"/>
    <w:rsid w:val="004A2E66"/>
    <w:rsid w:val="004A2E7B"/>
    <w:rsid w:val="004A33BB"/>
    <w:rsid w:val="004A36F5"/>
    <w:rsid w:val="004A3850"/>
    <w:rsid w:val="004A38B8"/>
    <w:rsid w:val="004A3BE9"/>
    <w:rsid w:val="004A4289"/>
    <w:rsid w:val="004A4742"/>
    <w:rsid w:val="004A5003"/>
    <w:rsid w:val="004A504D"/>
    <w:rsid w:val="004A5159"/>
    <w:rsid w:val="004A51CD"/>
    <w:rsid w:val="004A573C"/>
    <w:rsid w:val="004A573D"/>
    <w:rsid w:val="004A5F1D"/>
    <w:rsid w:val="004A5F4A"/>
    <w:rsid w:val="004A62A0"/>
    <w:rsid w:val="004A64EE"/>
    <w:rsid w:val="004A68C0"/>
    <w:rsid w:val="004A6B1E"/>
    <w:rsid w:val="004A6D51"/>
    <w:rsid w:val="004A7452"/>
    <w:rsid w:val="004A75F4"/>
    <w:rsid w:val="004A7F7B"/>
    <w:rsid w:val="004B00E0"/>
    <w:rsid w:val="004B0372"/>
    <w:rsid w:val="004B0417"/>
    <w:rsid w:val="004B05FA"/>
    <w:rsid w:val="004B0851"/>
    <w:rsid w:val="004B08B1"/>
    <w:rsid w:val="004B0D3B"/>
    <w:rsid w:val="004B0D4C"/>
    <w:rsid w:val="004B0D7E"/>
    <w:rsid w:val="004B127D"/>
    <w:rsid w:val="004B1437"/>
    <w:rsid w:val="004B2141"/>
    <w:rsid w:val="004B2230"/>
    <w:rsid w:val="004B2889"/>
    <w:rsid w:val="004B29FB"/>
    <w:rsid w:val="004B30DF"/>
    <w:rsid w:val="004B3187"/>
    <w:rsid w:val="004B3B3F"/>
    <w:rsid w:val="004B3C26"/>
    <w:rsid w:val="004B4566"/>
    <w:rsid w:val="004B4921"/>
    <w:rsid w:val="004B4A09"/>
    <w:rsid w:val="004B4C81"/>
    <w:rsid w:val="004B4EDB"/>
    <w:rsid w:val="004B53F6"/>
    <w:rsid w:val="004B544D"/>
    <w:rsid w:val="004B5479"/>
    <w:rsid w:val="004B554C"/>
    <w:rsid w:val="004B5667"/>
    <w:rsid w:val="004B5AAD"/>
    <w:rsid w:val="004B6040"/>
    <w:rsid w:val="004B6155"/>
    <w:rsid w:val="004B6427"/>
    <w:rsid w:val="004B66C5"/>
    <w:rsid w:val="004B67CC"/>
    <w:rsid w:val="004B6E89"/>
    <w:rsid w:val="004B71A0"/>
    <w:rsid w:val="004B743D"/>
    <w:rsid w:val="004B798D"/>
    <w:rsid w:val="004C0226"/>
    <w:rsid w:val="004C0270"/>
    <w:rsid w:val="004C0385"/>
    <w:rsid w:val="004C0482"/>
    <w:rsid w:val="004C0689"/>
    <w:rsid w:val="004C0743"/>
    <w:rsid w:val="004C0747"/>
    <w:rsid w:val="004C07D7"/>
    <w:rsid w:val="004C09E7"/>
    <w:rsid w:val="004C09FF"/>
    <w:rsid w:val="004C0F0A"/>
    <w:rsid w:val="004C0F1F"/>
    <w:rsid w:val="004C113B"/>
    <w:rsid w:val="004C1284"/>
    <w:rsid w:val="004C16FE"/>
    <w:rsid w:val="004C17CE"/>
    <w:rsid w:val="004C1DE6"/>
    <w:rsid w:val="004C21DC"/>
    <w:rsid w:val="004C2377"/>
    <w:rsid w:val="004C2C68"/>
    <w:rsid w:val="004C3779"/>
    <w:rsid w:val="004C3B04"/>
    <w:rsid w:val="004C3B36"/>
    <w:rsid w:val="004C3F68"/>
    <w:rsid w:val="004C41D9"/>
    <w:rsid w:val="004C4675"/>
    <w:rsid w:val="004C4692"/>
    <w:rsid w:val="004C48DD"/>
    <w:rsid w:val="004C55AE"/>
    <w:rsid w:val="004C59C7"/>
    <w:rsid w:val="004C59EF"/>
    <w:rsid w:val="004C5B62"/>
    <w:rsid w:val="004C5B9D"/>
    <w:rsid w:val="004C5E18"/>
    <w:rsid w:val="004C5E78"/>
    <w:rsid w:val="004C6354"/>
    <w:rsid w:val="004C68EF"/>
    <w:rsid w:val="004C693E"/>
    <w:rsid w:val="004C6AAE"/>
    <w:rsid w:val="004C6AED"/>
    <w:rsid w:val="004C71D0"/>
    <w:rsid w:val="004C7A31"/>
    <w:rsid w:val="004C7B69"/>
    <w:rsid w:val="004D0412"/>
    <w:rsid w:val="004D05FF"/>
    <w:rsid w:val="004D0AFB"/>
    <w:rsid w:val="004D0D8D"/>
    <w:rsid w:val="004D14F6"/>
    <w:rsid w:val="004D17F3"/>
    <w:rsid w:val="004D1A65"/>
    <w:rsid w:val="004D1BAF"/>
    <w:rsid w:val="004D1F58"/>
    <w:rsid w:val="004D200D"/>
    <w:rsid w:val="004D2545"/>
    <w:rsid w:val="004D2B27"/>
    <w:rsid w:val="004D30BD"/>
    <w:rsid w:val="004D30C3"/>
    <w:rsid w:val="004D3496"/>
    <w:rsid w:val="004D39A5"/>
    <w:rsid w:val="004D3D74"/>
    <w:rsid w:val="004D3E55"/>
    <w:rsid w:val="004D3F72"/>
    <w:rsid w:val="004D433C"/>
    <w:rsid w:val="004D43AB"/>
    <w:rsid w:val="004D4413"/>
    <w:rsid w:val="004D4555"/>
    <w:rsid w:val="004D4586"/>
    <w:rsid w:val="004D494F"/>
    <w:rsid w:val="004D49B0"/>
    <w:rsid w:val="004D4A8D"/>
    <w:rsid w:val="004D5040"/>
    <w:rsid w:val="004D526D"/>
    <w:rsid w:val="004D5958"/>
    <w:rsid w:val="004D59C5"/>
    <w:rsid w:val="004D5B2C"/>
    <w:rsid w:val="004D5EA0"/>
    <w:rsid w:val="004D5EF7"/>
    <w:rsid w:val="004D5F37"/>
    <w:rsid w:val="004D6410"/>
    <w:rsid w:val="004D6434"/>
    <w:rsid w:val="004D6C33"/>
    <w:rsid w:val="004D6E48"/>
    <w:rsid w:val="004D6FFC"/>
    <w:rsid w:val="004D7374"/>
    <w:rsid w:val="004D7758"/>
    <w:rsid w:val="004D7A47"/>
    <w:rsid w:val="004D7BE7"/>
    <w:rsid w:val="004D7EB5"/>
    <w:rsid w:val="004E0023"/>
    <w:rsid w:val="004E012A"/>
    <w:rsid w:val="004E027A"/>
    <w:rsid w:val="004E03F1"/>
    <w:rsid w:val="004E068C"/>
    <w:rsid w:val="004E0DA2"/>
    <w:rsid w:val="004E10CE"/>
    <w:rsid w:val="004E111D"/>
    <w:rsid w:val="004E1763"/>
    <w:rsid w:val="004E189E"/>
    <w:rsid w:val="004E1939"/>
    <w:rsid w:val="004E2137"/>
    <w:rsid w:val="004E28A0"/>
    <w:rsid w:val="004E34B9"/>
    <w:rsid w:val="004E38DC"/>
    <w:rsid w:val="004E4111"/>
    <w:rsid w:val="004E41E3"/>
    <w:rsid w:val="004E470A"/>
    <w:rsid w:val="004E476F"/>
    <w:rsid w:val="004E4BE2"/>
    <w:rsid w:val="004E4FF6"/>
    <w:rsid w:val="004E530C"/>
    <w:rsid w:val="004E58C2"/>
    <w:rsid w:val="004E5958"/>
    <w:rsid w:val="004E5A49"/>
    <w:rsid w:val="004E5AE0"/>
    <w:rsid w:val="004E5D1D"/>
    <w:rsid w:val="004E6055"/>
    <w:rsid w:val="004E60A3"/>
    <w:rsid w:val="004E6204"/>
    <w:rsid w:val="004E632A"/>
    <w:rsid w:val="004E63F0"/>
    <w:rsid w:val="004E6772"/>
    <w:rsid w:val="004E6D43"/>
    <w:rsid w:val="004E704D"/>
    <w:rsid w:val="004E7335"/>
    <w:rsid w:val="004E73FE"/>
    <w:rsid w:val="004E7648"/>
    <w:rsid w:val="004E79DA"/>
    <w:rsid w:val="004E7BF9"/>
    <w:rsid w:val="004E7F67"/>
    <w:rsid w:val="004F05ED"/>
    <w:rsid w:val="004F0AD5"/>
    <w:rsid w:val="004F0BB0"/>
    <w:rsid w:val="004F1137"/>
    <w:rsid w:val="004F1364"/>
    <w:rsid w:val="004F14C8"/>
    <w:rsid w:val="004F1721"/>
    <w:rsid w:val="004F184C"/>
    <w:rsid w:val="004F192E"/>
    <w:rsid w:val="004F1997"/>
    <w:rsid w:val="004F1D77"/>
    <w:rsid w:val="004F1E31"/>
    <w:rsid w:val="004F1E3D"/>
    <w:rsid w:val="004F1EA1"/>
    <w:rsid w:val="004F22D8"/>
    <w:rsid w:val="004F2503"/>
    <w:rsid w:val="004F25C4"/>
    <w:rsid w:val="004F26B2"/>
    <w:rsid w:val="004F2C20"/>
    <w:rsid w:val="004F3153"/>
    <w:rsid w:val="004F3156"/>
    <w:rsid w:val="004F3288"/>
    <w:rsid w:val="004F34DD"/>
    <w:rsid w:val="004F36E6"/>
    <w:rsid w:val="004F3C86"/>
    <w:rsid w:val="004F3CDE"/>
    <w:rsid w:val="004F4329"/>
    <w:rsid w:val="004F4507"/>
    <w:rsid w:val="004F4BD4"/>
    <w:rsid w:val="004F52CA"/>
    <w:rsid w:val="004F557A"/>
    <w:rsid w:val="004F56CD"/>
    <w:rsid w:val="004F5A9A"/>
    <w:rsid w:val="004F5CA3"/>
    <w:rsid w:val="004F68AE"/>
    <w:rsid w:val="004F6B7D"/>
    <w:rsid w:val="004F726D"/>
    <w:rsid w:val="004F7416"/>
    <w:rsid w:val="004F76F2"/>
    <w:rsid w:val="004F7B35"/>
    <w:rsid w:val="004F7FC9"/>
    <w:rsid w:val="00500276"/>
    <w:rsid w:val="00500C2E"/>
    <w:rsid w:val="00500D74"/>
    <w:rsid w:val="0050186C"/>
    <w:rsid w:val="00501BD7"/>
    <w:rsid w:val="0050217D"/>
    <w:rsid w:val="005021E9"/>
    <w:rsid w:val="005022B4"/>
    <w:rsid w:val="00502309"/>
    <w:rsid w:val="005023B5"/>
    <w:rsid w:val="005023C0"/>
    <w:rsid w:val="00502532"/>
    <w:rsid w:val="00502B6F"/>
    <w:rsid w:val="00502CA8"/>
    <w:rsid w:val="00502CC7"/>
    <w:rsid w:val="00502EF9"/>
    <w:rsid w:val="00503263"/>
    <w:rsid w:val="005035E2"/>
    <w:rsid w:val="00503A25"/>
    <w:rsid w:val="00503FB4"/>
    <w:rsid w:val="005042FE"/>
    <w:rsid w:val="00504660"/>
    <w:rsid w:val="00504820"/>
    <w:rsid w:val="00504BE0"/>
    <w:rsid w:val="00505204"/>
    <w:rsid w:val="00505285"/>
    <w:rsid w:val="00505BE0"/>
    <w:rsid w:val="00505E5F"/>
    <w:rsid w:val="00505E7A"/>
    <w:rsid w:val="005060F9"/>
    <w:rsid w:val="005064D9"/>
    <w:rsid w:val="0050656D"/>
    <w:rsid w:val="00506A7F"/>
    <w:rsid w:val="00506BC1"/>
    <w:rsid w:val="00506BCF"/>
    <w:rsid w:val="0050734D"/>
    <w:rsid w:val="00507355"/>
    <w:rsid w:val="005073AB"/>
    <w:rsid w:val="005103B3"/>
    <w:rsid w:val="0051093D"/>
    <w:rsid w:val="00510A83"/>
    <w:rsid w:val="00510FBC"/>
    <w:rsid w:val="0051110E"/>
    <w:rsid w:val="00511336"/>
    <w:rsid w:val="005114B7"/>
    <w:rsid w:val="0051161D"/>
    <w:rsid w:val="005119AF"/>
    <w:rsid w:val="00511A48"/>
    <w:rsid w:val="00511FEC"/>
    <w:rsid w:val="0051202A"/>
    <w:rsid w:val="005125DD"/>
    <w:rsid w:val="005126C2"/>
    <w:rsid w:val="00512907"/>
    <w:rsid w:val="00512956"/>
    <w:rsid w:val="00512A57"/>
    <w:rsid w:val="00512BFD"/>
    <w:rsid w:val="00512D98"/>
    <w:rsid w:val="00512F80"/>
    <w:rsid w:val="00512FBE"/>
    <w:rsid w:val="00513334"/>
    <w:rsid w:val="005135B0"/>
    <w:rsid w:val="0051379E"/>
    <w:rsid w:val="00513CC8"/>
    <w:rsid w:val="00513E38"/>
    <w:rsid w:val="00514263"/>
    <w:rsid w:val="005143F0"/>
    <w:rsid w:val="005145EF"/>
    <w:rsid w:val="00514647"/>
    <w:rsid w:val="005146A1"/>
    <w:rsid w:val="005148ED"/>
    <w:rsid w:val="0051548F"/>
    <w:rsid w:val="00515559"/>
    <w:rsid w:val="0051586B"/>
    <w:rsid w:val="00515939"/>
    <w:rsid w:val="005159EF"/>
    <w:rsid w:val="00515B38"/>
    <w:rsid w:val="00515F31"/>
    <w:rsid w:val="005164C5"/>
    <w:rsid w:val="005165E1"/>
    <w:rsid w:val="00516F94"/>
    <w:rsid w:val="00516FE4"/>
    <w:rsid w:val="005171FA"/>
    <w:rsid w:val="00517863"/>
    <w:rsid w:val="005178DB"/>
    <w:rsid w:val="00517941"/>
    <w:rsid w:val="00517943"/>
    <w:rsid w:val="00517AB2"/>
    <w:rsid w:val="00517B68"/>
    <w:rsid w:val="00517E7E"/>
    <w:rsid w:val="00517F14"/>
    <w:rsid w:val="0052053B"/>
    <w:rsid w:val="005208FB"/>
    <w:rsid w:val="00520A0A"/>
    <w:rsid w:val="00520C20"/>
    <w:rsid w:val="00520E13"/>
    <w:rsid w:val="00521203"/>
    <w:rsid w:val="00521245"/>
    <w:rsid w:val="00521996"/>
    <w:rsid w:val="00521AD3"/>
    <w:rsid w:val="00521BCD"/>
    <w:rsid w:val="005220E2"/>
    <w:rsid w:val="0052221D"/>
    <w:rsid w:val="00522700"/>
    <w:rsid w:val="005228BC"/>
    <w:rsid w:val="00522BC5"/>
    <w:rsid w:val="00522E0F"/>
    <w:rsid w:val="00523107"/>
    <w:rsid w:val="005231AA"/>
    <w:rsid w:val="0052331E"/>
    <w:rsid w:val="00523472"/>
    <w:rsid w:val="005235A6"/>
    <w:rsid w:val="00523B78"/>
    <w:rsid w:val="00523C2B"/>
    <w:rsid w:val="00523C75"/>
    <w:rsid w:val="00523D58"/>
    <w:rsid w:val="00523EEA"/>
    <w:rsid w:val="0052458B"/>
    <w:rsid w:val="005246E6"/>
    <w:rsid w:val="00524A41"/>
    <w:rsid w:val="00524CC9"/>
    <w:rsid w:val="0052514C"/>
    <w:rsid w:val="00525294"/>
    <w:rsid w:val="00525E80"/>
    <w:rsid w:val="00525E8A"/>
    <w:rsid w:val="00525F6C"/>
    <w:rsid w:val="00526050"/>
    <w:rsid w:val="005264D2"/>
    <w:rsid w:val="00526761"/>
    <w:rsid w:val="00526915"/>
    <w:rsid w:val="00526A18"/>
    <w:rsid w:val="00526C37"/>
    <w:rsid w:val="00526CEF"/>
    <w:rsid w:val="00526D3F"/>
    <w:rsid w:val="0052732E"/>
    <w:rsid w:val="005274AF"/>
    <w:rsid w:val="00527530"/>
    <w:rsid w:val="0052778F"/>
    <w:rsid w:val="005278F9"/>
    <w:rsid w:val="00527E88"/>
    <w:rsid w:val="005301FE"/>
    <w:rsid w:val="0053025C"/>
    <w:rsid w:val="00530496"/>
    <w:rsid w:val="0053073D"/>
    <w:rsid w:val="0053075B"/>
    <w:rsid w:val="0053078D"/>
    <w:rsid w:val="00530AF2"/>
    <w:rsid w:val="00530CC6"/>
    <w:rsid w:val="00530EA0"/>
    <w:rsid w:val="005314C1"/>
    <w:rsid w:val="00531731"/>
    <w:rsid w:val="0053192D"/>
    <w:rsid w:val="00531ADD"/>
    <w:rsid w:val="00531C56"/>
    <w:rsid w:val="00531F65"/>
    <w:rsid w:val="00532147"/>
    <w:rsid w:val="00532685"/>
    <w:rsid w:val="00532A3F"/>
    <w:rsid w:val="00532BA7"/>
    <w:rsid w:val="00532BD7"/>
    <w:rsid w:val="0053326C"/>
    <w:rsid w:val="0053356B"/>
    <w:rsid w:val="00533A7B"/>
    <w:rsid w:val="00533B6F"/>
    <w:rsid w:val="00533C5E"/>
    <w:rsid w:val="00533F1D"/>
    <w:rsid w:val="0053413F"/>
    <w:rsid w:val="005343B9"/>
    <w:rsid w:val="00534558"/>
    <w:rsid w:val="005345B4"/>
    <w:rsid w:val="005354EE"/>
    <w:rsid w:val="005354F2"/>
    <w:rsid w:val="0053556D"/>
    <w:rsid w:val="005355FD"/>
    <w:rsid w:val="00535983"/>
    <w:rsid w:val="00535BFC"/>
    <w:rsid w:val="0053624B"/>
    <w:rsid w:val="005363AF"/>
    <w:rsid w:val="0053679D"/>
    <w:rsid w:val="005367E9"/>
    <w:rsid w:val="0053697C"/>
    <w:rsid w:val="00536AEC"/>
    <w:rsid w:val="00536CA4"/>
    <w:rsid w:val="00537133"/>
    <w:rsid w:val="0053723B"/>
    <w:rsid w:val="00537499"/>
    <w:rsid w:val="00537CD6"/>
    <w:rsid w:val="00540B0E"/>
    <w:rsid w:val="00540EBD"/>
    <w:rsid w:val="00540EF2"/>
    <w:rsid w:val="005413FF"/>
    <w:rsid w:val="005417D0"/>
    <w:rsid w:val="005418AF"/>
    <w:rsid w:val="00541DDC"/>
    <w:rsid w:val="00541F95"/>
    <w:rsid w:val="00541FAA"/>
    <w:rsid w:val="00542106"/>
    <w:rsid w:val="00542948"/>
    <w:rsid w:val="00543058"/>
    <w:rsid w:val="0054317C"/>
    <w:rsid w:val="00544127"/>
    <w:rsid w:val="00544818"/>
    <w:rsid w:val="005449C8"/>
    <w:rsid w:val="00544BA5"/>
    <w:rsid w:val="00544CBB"/>
    <w:rsid w:val="00544DAE"/>
    <w:rsid w:val="00545EF9"/>
    <w:rsid w:val="0054602F"/>
    <w:rsid w:val="00546166"/>
    <w:rsid w:val="00546424"/>
    <w:rsid w:val="00546486"/>
    <w:rsid w:val="0054655C"/>
    <w:rsid w:val="00546637"/>
    <w:rsid w:val="0054663E"/>
    <w:rsid w:val="00546A0A"/>
    <w:rsid w:val="00547754"/>
    <w:rsid w:val="00547C56"/>
    <w:rsid w:val="00547F72"/>
    <w:rsid w:val="00547F9A"/>
    <w:rsid w:val="0055029E"/>
    <w:rsid w:val="00550366"/>
    <w:rsid w:val="00550895"/>
    <w:rsid w:val="00550B66"/>
    <w:rsid w:val="00550C6E"/>
    <w:rsid w:val="00550E51"/>
    <w:rsid w:val="005510D3"/>
    <w:rsid w:val="00551127"/>
    <w:rsid w:val="005515AB"/>
    <w:rsid w:val="00551A56"/>
    <w:rsid w:val="00551CDB"/>
    <w:rsid w:val="00551D6C"/>
    <w:rsid w:val="00551E6D"/>
    <w:rsid w:val="00552049"/>
    <w:rsid w:val="00552333"/>
    <w:rsid w:val="0055234A"/>
    <w:rsid w:val="00552611"/>
    <w:rsid w:val="00552999"/>
    <w:rsid w:val="00553220"/>
    <w:rsid w:val="0055328E"/>
    <w:rsid w:val="005537BE"/>
    <w:rsid w:val="005539FA"/>
    <w:rsid w:val="00553CD3"/>
    <w:rsid w:val="00554D89"/>
    <w:rsid w:val="00554F16"/>
    <w:rsid w:val="00555454"/>
    <w:rsid w:val="005554B8"/>
    <w:rsid w:val="005554B9"/>
    <w:rsid w:val="0055562B"/>
    <w:rsid w:val="00555EBF"/>
    <w:rsid w:val="00556187"/>
    <w:rsid w:val="005562C8"/>
    <w:rsid w:val="00556502"/>
    <w:rsid w:val="005568BC"/>
    <w:rsid w:val="00556E7C"/>
    <w:rsid w:val="00556FFF"/>
    <w:rsid w:val="0055709F"/>
    <w:rsid w:val="00557519"/>
    <w:rsid w:val="0055759B"/>
    <w:rsid w:val="005578A2"/>
    <w:rsid w:val="0055796D"/>
    <w:rsid w:val="00557A52"/>
    <w:rsid w:val="0056050D"/>
    <w:rsid w:val="00560AA4"/>
    <w:rsid w:val="00561626"/>
    <w:rsid w:val="00561702"/>
    <w:rsid w:val="00562607"/>
    <w:rsid w:val="005627B3"/>
    <w:rsid w:val="00562E1A"/>
    <w:rsid w:val="005632FF"/>
    <w:rsid w:val="00563466"/>
    <w:rsid w:val="0056363D"/>
    <w:rsid w:val="00563865"/>
    <w:rsid w:val="00563A0E"/>
    <w:rsid w:val="00563B19"/>
    <w:rsid w:val="00563CF1"/>
    <w:rsid w:val="0056403C"/>
    <w:rsid w:val="005641BB"/>
    <w:rsid w:val="005647E9"/>
    <w:rsid w:val="00564A6A"/>
    <w:rsid w:val="00564EE9"/>
    <w:rsid w:val="00565609"/>
    <w:rsid w:val="00565651"/>
    <w:rsid w:val="00565A10"/>
    <w:rsid w:val="00566458"/>
    <w:rsid w:val="0056656B"/>
    <w:rsid w:val="0056666F"/>
    <w:rsid w:val="005669CD"/>
    <w:rsid w:val="0056700D"/>
    <w:rsid w:val="00567C3C"/>
    <w:rsid w:val="00567F39"/>
    <w:rsid w:val="0057067B"/>
    <w:rsid w:val="00570738"/>
    <w:rsid w:val="0057099D"/>
    <w:rsid w:val="005709BC"/>
    <w:rsid w:val="00570A9D"/>
    <w:rsid w:val="00570B0B"/>
    <w:rsid w:val="00570BB5"/>
    <w:rsid w:val="00570D9B"/>
    <w:rsid w:val="005710A7"/>
    <w:rsid w:val="00571100"/>
    <w:rsid w:val="00571421"/>
    <w:rsid w:val="00571602"/>
    <w:rsid w:val="00571A64"/>
    <w:rsid w:val="00571CA9"/>
    <w:rsid w:val="00571EB8"/>
    <w:rsid w:val="005720BF"/>
    <w:rsid w:val="00572527"/>
    <w:rsid w:val="00572684"/>
    <w:rsid w:val="005728AC"/>
    <w:rsid w:val="00572B62"/>
    <w:rsid w:val="00573941"/>
    <w:rsid w:val="00573B6F"/>
    <w:rsid w:val="00573DB0"/>
    <w:rsid w:val="00574138"/>
    <w:rsid w:val="005741CE"/>
    <w:rsid w:val="0057436B"/>
    <w:rsid w:val="00574B23"/>
    <w:rsid w:val="00574CF4"/>
    <w:rsid w:val="00575455"/>
    <w:rsid w:val="0057587E"/>
    <w:rsid w:val="0057591F"/>
    <w:rsid w:val="00575E32"/>
    <w:rsid w:val="00576450"/>
    <w:rsid w:val="0057647C"/>
    <w:rsid w:val="005768EE"/>
    <w:rsid w:val="00576BF3"/>
    <w:rsid w:val="00577265"/>
    <w:rsid w:val="0057746C"/>
    <w:rsid w:val="005777AA"/>
    <w:rsid w:val="00577CE6"/>
    <w:rsid w:val="00577E26"/>
    <w:rsid w:val="00580616"/>
    <w:rsid w:val="005806C5"/>
    <w:rsid w:val="00580C92"/>
    <w:rsid w:val="00581018"/>
    <w:rsid w:val="0058157A"/>
    <w:rsid w:val="00581E00"/>
    <w:rsid w:val="005824DE"/>
    <w:rsid w:val="005825D5"/>
    <w:rsid w:val="00582B2B"/>
    <w:rsid w:val="00583043"/>
    <w:rsid w:val="005830D1"/>
    <w:rsid w:val="00583389"/>
    <w:rsid w:val="005833A5"/>
    <w:rsid w:val="00583665"/>
    <w:rsid w:val="00583684"/>
    <w:rsid w:val="005837DC"/>
    <w:rsid w:val="005838F3"/>
    <w:rsid w:val="00583953"/>
    <w:rsid w:val="00583AC1"/>
    <w:rsid w:val="005844CF"/>
    <w:rsid w:val="00584DC9"/>
    <w:rsid w:val="00585339"/>
    <w:rsid w:val="00585586"/>
    <w:rsid w:val="005856EC"/>
    <w:rsid w:val="00586179"/>
    <w:rsid w:val="005866AE"/>
    <w:rsid w:val="0058671B"/>
    <w:rsid w:val="005868C5"/>
    <w:rsid w:val="00586D0B"/>
    <w:rsid w:val="00586F05"/>
    <w:rsid w:val="00586F28"/>
    <w:rsid w:val="00586FD4"/>
    <w:rsid w:val="005874CB"/>
    <w:rsid w:val="00587711"/>
    <w:rsid w:val="005879F1"/>
    <w:rsid w:val="00587B57"/>
    <w:rsid w:val="00587E31"/>
    <w:rsid w:val="00587FEC"/>
    <w:rsid w:val="005900BE"/>
    <w:rsid w:val="00590B8C"/>
    <w:rsid w:val="0059123D"/>
    <w:rsid w:val="00591448"/>
    <w:rsid w:val="0059144B"/>
    <w:rsid w:val="00591520"/>
    <w:rsid w:val="005916DC"/>
    <w:rsid w:val="00591759"/>
    <w:rsid w:val="0059179E"/>
    <w:rsid w:val="005917A9"/>
    <w:rsid w:val="00591B2D"/>
    <w:rsid w:val="00591E32"/>
    <w:rsid w:val="00591F12"/>
    <w:rsid w:val="005920C2"/>
    <w:rsid w:val="0059230A"/>
    <w:rsid w:val="00592361"/>
    <w:rsid w:val="00592734"/>
    <w:rsid w:val="00592FE6"/>
    <w:rsid w:val="005932C2"/>
    <w:rsid w:val="00593596"/>
    <w:rsid w:val="005935E4"/>
    <w:rsid w:val="00593753"/>
    <w:rsid w:val="00593881"/>
    <w:rsid w:val="00593ED4"/>
    <w:rsid w:val="005942AF"/>
    <w:rsid w:val="00594B9E"/>
    <w:rsid w:val="00594C4C"/>
    <w:rsid w:val="00594C7F"/>
    <w:rsid w:val="00594CF1"/>
    <w:rsid w:val="00595085"/>
    <w:rsid w:val="00595326"/>
    <w:rsid w:val="005953C2"/>
    <w:rsid w:val="00595629"/>
    <w:rsid w:val="00595BB9"/>
    <w:rsid w:val="0059630A"/>
    <w:rsid w:val="00596587"/>
    <w:rsid w:val="00596626"/>
    <w:rsid w:val="00596F14"/>
    <w:rsid w:val="0059747B"/>
    <w:rsid w:val="0059766C"/>
    <w:rsid w:val="00597AAF"/>
    <w:rsid w:val="00597F0A"/>
    <w:rsid w:val="00597FFC"/>
    <w:rsid w:val="005A0295"/>
    <w:rsid w:val="005A0304"/>
    <w:rsid w:val="005A0574"/>
    <w:rsid w:val="005A05E6"/>
    <w:rsid w:val="005A05FE"/>
    <w:rsid w:val="005A07CA"/>
    <w:rsid w:val="005A0977"/>
    <w:rsid w:val="005A0D3F"/>
    <w:rsid w:val="005A0ED6"/>
    <w:rsid w:val="005A0F9A"/>
    <w:rsid w:val="005A12D8"/>
    <w:rsid w:val="005A13E7"/>
    <w:rsid w:val="005A185B"/>
    <w:rsid w:val="005A19EC"/>
    <w:rsid w:val="005A22D4"/>
    <w:rsid w:val="005A2417"/>
    <w:rsid w:val="005A2682"/>
    <w:rsid w:val="005A273A"/>
    <w:rsid w:val="005A288C"/>
    <w:rsid w:val="005A31D6"/>
    <w:rsid w:val="005A321D"/>
    <w:rsid w:val="005A3325"/>
    <w:rsid w:val="005A4361"/>
    <w:rsid w:val="005A43DE"/>
    <w:rsid w:val="005A43DF"/>
    <w:rsid w:val="005A483F"/>
    <w:rsid w:val="005A4CD7"/>
    <w:rsid w:val="005A5254"/>
    <w:rsid w:val="005A5AA9"/>
    <w:rsid w:val="005A5D92"/>
    <w:rsid w:val="005A6610"/>
    <w:rsid w:val="005A6711"/>
    <w:rsid w:val="005A6850"/>
    <w:rsid w:val="005A6BAE"/>
    <w:rsid w:val="005A6CE5"/>
    <w:rsid w:val="005A70DF"/>
    <w:rsid w:val="005A746A"/>
    <w:rsid w:val="005A76D5"/>
    <w:rsid w:val="005A7CB9"/>
    <w:rsid w:val="005A7FAA"/>
    <w:rsid w:val="005A7FD3"/>
    <w:rsid w:val="005B015F"/>
    <w:rsid w:val="005B0D8D"/>
    <w:rsid w:val="005B0F0B"/>
    <w:rsid w:val="005B1AB8"/>
    <w:rsid w:val="005B1E26"/>
    <w:rsid w:val="005B211D"/>
    <w:rsid w:val="005B2161"/>
    <w:rsid w:val="005B23FF"/>
    <w:rsid w:val="005B2425"/>
    <w:rsid w:val="005B244A"/>
    <w:rsid w:val="005B292B"/>
    <w:rsid w:val="005B2A7E"/>
    <w:rsid w:val="005B2FBE"/>
    <w:rsid w:val="005B32D1"/>
    <w:rsid w:val="005B345B"/>
    <w:rsid w:val="005B3613"/>
    <w:rsid w:val="005B367A"/>
    <w:rsid w:val="005B3734"/>
    <w:rsid w:val="005B3828"/>
    <w:rsid w:val="005B3C55"/>
    <w:rsid w:val="005B3C77"/>
    <w:rsid w:val="005B430A"/>
    <w:rsid w:val="005B431F"/>
    <w:rsid w:val="005B434F"/>
    <w:rsid w:val="005B46B3"/>
    <w:rsid w:val="005B4780"/>
    <w:rsid w:val="005B4C6A"/>
    <w:rsid w:val="005B50E9"/>
    <w:rsid w:val="005B53AE"/>
    <w:rsid w:val="005B5727"/>
    <w:rsid w:val="005B5788"/>
    <w:rsid w:val="005B592F"/>
    <w:rsid w:val="005B5BB5"/>
    <w:rsid w:val="005B5D9F"/>
    <w:rsid w:val="005B5F20"/>
    <w:rsid w:val="005B61BB"/>
    <w:rsid w:val="005B63F0"/>
    <w:rsid w:val="005B65A7"/>
    <w:rsid w:val="005B67E2"/>
    <w:rsid w:val="005B6951"/>
    <w:rsid w:val="005B70D1"/>
    <w:rsid w:val="005B7570"/>
    <w:rsid w:val="005B7761"/>
    <w:rsid w:val="005B7A5D"/>
    <w:rsid w:val="005B7F7B"/>
    <w:rsid w:val="005C0048"/>
    <w:rsid w:val="005C0271"/>
    <w:rsid w:val="005C0653"/>
    <w:rsid w:val="005C0999"/>
    <w:rsid w:val="005C09C5"/>
    <w:rsid w:val="005C0BCA"/>
    <w:rsid w:val="005C0D1C"/>
    <w:rsid w:val="005C19DD"/>
    <w:rsid w:val="005C25C6"/>
    <w:rsid w:val="005C2B26"/>
    <w:rsid w:val="005C2E0B"/>
    <w:rsid w:val="005C3086"/>
    <w:rsid w:val="005C3220"/>
    <w:rsid w:val="005C3411"/>
    <w:rsid w:val="005C38C1"/>
    <w:rsid w:val="005C3D5E"/>
    <w:rsid w:val="005C4276"/>
    <w:rsid w:val="005C464E"/>
    <w:rsid w:val="005C4D99"/>
    <w:rsid w:val="005C4ED3"/>
    <w:rsid w:val="005C4F4D"/>
    <w:rsid w:val="005C51BB"/>
    <w:rsid w:val="005C5480"/>
    <w:rsid w:val="005C593B"/>
    <w:rsid w:val="005C5C69"/>
    <w:rsid w:val="005C5DB5"/>
    <w:rsid w:val="005C5EF1"/>
    <w:rsid w:val="005C63E6"/>
    <w:rsid w:val="005C66B3"/>
    <w:rsid w:val="005C6B49"/>
    <w:rsid w:val="005C6BDD"/>
    <w:rsid w:val="005C6F03"/>
    <w:rsid w:val="005C77BF"/>
    <w:rsid w:val="005C7B41"/>
    <w:rsid w:val="005C7BF1"/>
    <w:rsid w:val="005C7D6E"/>
    <w:rsid w:val="005C7F4D"/>
    <w:rsid w:val="005D012D"/>
    <w:rsid w:val="005D06E6"/>
    <w:rsid w:val="005D0A32"/>
    <w:rsid w:val="005D0E1C"/>
    <w:rsid w:val="005D0F30"/>
    <w:rsid w:val="005D11A8"/>
    <w:rsid w:val="005D14CC"/>
    <w:rsid w:val="005D18BB"/>
    <w:rsid w:val="005D1A5D"/>
    <w:rsid w:val="005D1AFF"/>
    <w:rsid w:val="005D1DE4"/>
    <w:rsid w:val="005D2295"/>
    <w:rsid w:val="005D2499"/>
    <w:rsid w:val="005D2939"/>
    <w:rsid w:val="005D2C47"/>
    <w:rsid w:val="005D3390"/>
    <w:rsid w:val="005D3444"/>
    <w:rsid w:val="005D36AB"/>
    <w:rsid w:val="005D3713"/>
    <w:rsid w:val="005D3902"/>
    <w:rsid w:val="005D3BF4"/>
    <w:rsid w:val="005D3C7C"/>
    <w:rsid w:val="005D3D39"/>
    <w:rsid w:val="005D3F3F"/>
    <w:rsid w:val="005D439B"/>
    <w:rsid w:val="005D458E"/>
    <w:rsid w:val="005D4AE5"/>
    <w:rsid w:val="005D54CA"/>
    <w:rsid w:val="005D58F0"/>
    <w:rsid w:val="005D5FFF"/>
    <w:rsid w:val="005D6257"/>
    <w:rsid w:val="005D638E"/>
    <w:rsid w:val="005D649D"/>
    <w:rsid w:val="005D64A9"/>
    <w:rsid w:val="005D6B20"/>
    <w:rsid w:val="005D6C85"/>
    <w:rsid w:val="005D6CF6"/>
    <w:rsid w:val="005D707C"/>
    <w:rsid w:val="005D72F6"/>
    <w:rsid w:val="005D79D8"/>
    <w:rsid w:val="005E00E1"/>
    <w:rsid w:val="005E00E9"/>
    <w:rsid w:val="005E0A61"/>
    <w:rsid w:val="005E0B51"/>
    <w:rsid w:val="005E0D3A"/>
    <w:rsid w:val="005E11F3"/>
    <w:rsid w:val="005E163E"/>
    <w:rsid w:val="005E1B22"/>
    <w:rsid w:val="005E1C3D"/>
    <w:rsid w:val="005E22DA"/>
    <w:rsid w:val="005E2302"/>
    <w:rsid w:val="005E232C"/>
    <w:rsid w:val="005E2616"/>
    <w:rsid w:val="005E26BA"/>
    <w:rsid w:val="005E2B8A"/>
    <w:rsid w:val="005E2DCC"/>
    <w:rsid w:val="005E2DDA"/>
    <w:rsid w:val="005E2E87"/>
    <w:rsid w:val="005E34A4"/>
    <w:rsid w:val="005E3768"/>
    <w:rsid w:val="005E3982"/>
    <w:rsid w:val="005E3FD7"/>
    <w:rsid w:val="005E44E8"/>
    <w:rsid w:val="005E458B"/>
    <w:rsid w:val="005E4DC6"/>
    <w:rsid w:val="005E4EF2"/>
    <w:rsid w:val="005E5D2B"/>
    <w:rsid w:val="005E5D58"/>
    <w:rsid w:val="005E60F5"/>
    <w:rsid w:val="005E634F"/>
    <w:rsid w:val="005E65AD"/>
    <w:rsid w:val="005E66CC"/>
    <w:rsid w:val="005E6975"/>
    <w:rsid w:val="005E6BD9"/>
    <w:rsid w:val="005E6CF9"/>
    <w:rsid w:val="005E7662"/>
    <w:rsid w:val="005E7E23"/>
    <w:rsid w:val="005F024B"/>
    <w:rsid w:val="005F0D57"/>
    <w:rsid w:val="005F13BC"/>
    <w:rsid w:val="005F1465"/>
    <w:rsid w:val="005F14A2"/>
    <w:rsid w:val="005F164C"/>
    <w:rsid w:val="005F215F"/>
    <w:rsid w:val="005F2335"/>
    <w:rsid w:val="005F26CC"/>
    <w:rsid w:val="005F27E8"/>
    <w:rsid w:val="005F2ABC"/>
    <w:rsid w:val="005F2B03"/>
    <w:rsid w:val="005F2C0A"/>
    <w:rsid w:val="005F2F5E"/>
    <w:rsid w:val="005F3093"/>
    <w:rsid w:val="005F3196"/>
    <w:rsid w:val="005F367D"/>
    <w:rsid w:val="005F373A"/>
    <w:rsid w:val="005F3B6C"/>
    <w:rsid w:val="005F3EFE"/>
    <w:rsid w:val="005F447E"/>
    <w:rsid w:val="005F45FE"/>
    <w:rsid w:val="005F4A76"/>
    <w:rsid w:val="005F5112"/>
    <w:rsid w:val="005F5128"/>
    <w:rsid w:val="005F56E1"/>
    <w:rsid w:val="005F5888"/>
    <w:rsid w:val="005F64B6"/>
    <w:rsid w:val="005F65A5"/>
    <w:rsid w:val="005F689E"/>
    <w:rsid w:val="005F6B2B"/>
    <w:rsid w:val="005F6CBD"/>
    <w:rsid w:val="005F6E21"/>
    <w:rsid w:val="005F7316"/>
    <w:rsid w:val="005F7850"/>
    <w:rsid w:val="005F7945"/>
    <w:rsid w:val="005F7AF3"/>
    <w:rsid w:val="005F7B8E"/>
    <w:rsid w:val="006001CE"/>
    <w:rsid w:val="00600211"/>
    <w:rsid w:val="006005C7"/>
    <w:rsid w:val="006008ED"/>
    <w:rsid w:val="0060137D"/>
    <w:rsid w:val="00601559"/>
    <w:rsid w:val="00601AA7"/>
    <w:rsid w:val="00601AA8"/>
    <w:rsid w:val="00601BD3"/>
    <w:rsid w:val="00601DB8"/>
    <w:rsid w:val="00602067"/>
    <w:rsid w:val="00602246"/>
    <w:rsid w:val="006026D5"/>
    <w:rsid w:val="0060279F"/>
    <w:rsid w:val="00602A3E"/>
    <w:rsid w:val="00602C99"/>
    <w:rsid w:val="00603320"/>
    <w:rsid w:val="0060371F"/>
    <w:rsid w:val="00604664"/>
    <w:rsid w:val="006048FF"/>
    <w:rsid w:val="00604C20"/>
    <w:rsid w:val="006053CD"/>
    <w:rsid w:val="00605435"/>
    <w:rsid w:val="006059A5"/>
    <w:rsid w:val="006059AE"/>
    <w:rsid w:val="00605F26"/>
    <w:rsid w:val="0060624B"/>
    <w:rsid w:val="0060635B"/>
    <w:rsid w:val="0060678C"/>
    <w:rsid w:val="0060683B"/>
    <w:rsid w:val="00606BF2"/>
    <w:rsid w:val="00607327"/>
    <w:rsid w:val="0060732F"/>
    <w:rsid w:val="00607476"/>
    <w:rsid w:val="006077CA"/>
    <w:rsid w:val="00607EC5"/>
    <w:rsid w:val="00607FA3"/>
    <w:rsid w:val="0061009D"/>
    <w:rsid w:val="006101BB"/>
    <w:rsid w:val="00610904"/>
    <w:rsid w:val="0061096E"/>
    <w:rsid w:val="00610A2D"/>
    <w:rsid w:val="0061196F"/>
    <w:rsid w:val="00611C2A"/>
    <w:rsid w:val="00611E27"/>
    <w:rsid w:val="00611EB2"/>
    <w:rsid w:val="00611F16"/>
    <w:rsid w:val="00612850"/>
    <w:rsid w:val="00612ADF"/>
    <w:rsid w:val="00612B02"/>
    <w:rsid w:val="00612CF7"/>
    <w:rsid w:val="00612D08"/>
    <w:rsid w:val="0061300D"/>
    <w:rsid w:val="00613093"/>
    <w:rsid w:val="0061398E"/>
    <w:rsid w:val="006140C8"/>
    <w:rsid w:val="0061483B"/>
    <w:rsid w:val="00614CA5"/>
    <w:rsid w:val="0061544E"/>
    <w:rsid w:val="006155C4"/>
    <w:rsid w:val="00615831"/>
    <w:rsid w:val="0061611C"/>
    <w:rsid w:val="006161AC"/>
    <w:rsid w:val="0061692F"/>
    <w:rsid w:val="00616A31"/>
    <w:rsid w:val="00616C8D"/>
    <w:rsid w:val="00616DF7"/>
    <w:rsid w:val="00616F29"/>
    <w:rsid w:val="00616F54"/>
    <w:rsid w:val="006171FF"/>
    <w:rsid w:val="0061736A"/>
    <w:rsid w:val="00617507"/>
    <w:rsid w:val="00620391"/>
    <w:rsid w:val="0062040E"/>
    <w:rsid w:val="006204BE"/>
    <w:rsid w:val="0062055D"/>
    <w:rsid w:val="00620A48"/>
    <w:rsid w:val="00620D43"/>
    <w:rsid w:val="00620EE3"/>
    <w:rsid w:val="00621098"/>
    <w:rsid w:val="00621293"/>
    <w:rsid w:val="006215CA"/>
    <w:rsid w:val="00621A61"/>
    <w:rsid w:val="00621B02"/>
    <w:rsid w:val="00621C9E"/>
    <w:rsid w:val="00621CD2"/>
    <w:rsid w:val="00621E2B"/>
    <w:rsid w:val="00622106"/>
    <w:rsid w:val="006222F1"/>
    <w:rsid w:val="0062258E"/>
    <w:rsid w:val="00622837"/>
    <w:rsid w:val="00622AD1"/>
    <w:rsid w:val="00622CEA"/>
    <w:rsid w:val="00622D56"/>
    <w:rsid w:val="00622E0D"/>
    <w:rsid w:val="00622EE5"/>
    <w:rsid w:val="006233D9"/>
    <w:rsid w:val="006234EA"/>
    <w:rsid w:val="00623985"/>
    <w:rsid w:val="00623A21"/>
    <w:rsid w:val="00623EB5"/>
    <w:rsid w:val="00623F8F"/>
    <w:rsid w:val="00623FC9"/>
    <w:rsid w:val="00624B05"/>
    <w:rsid w:val="0062509F"/>
    <w:rsid w:val="006251E2"/>
    <w:rsid w:val="00625256"/>
    <w:rsid w:val="006255A4"/>
    <w:rsid w:val="00625878"/>
    <w:rsid w:val="0062606A"/>
    <w:rsid w:val="006266EC"/>
    <w:rsid w:val="00626711"/>
    <w:rsid w:val="006268F2"/>
    <w:rsid w:val="00626E90"/>
    <w:rsid w:val="00626EC5"/>
    <w:rsid w:val="00627C31"/>
    <w:rsid w:val="0063039E"/>
    <w:rsid w:val="006304F0"/>
    <w:rsid w:val="006305B6"/>
    <w:rsid w:val="00630601"/>
    <w:rsid w:val="00630727"/>
    <w:rsid w:val="00630A0F"/>
    <w:rsid w:val="00630A11"/>
    <w:rsid w:val="00630D05"/>
    <w:rsid w:val="00630DBB"/>
    <w:rsid w:val="00630EC8"/>
    <w:rsid w:val="00631000"/>
    <w:rsid w:val="00631A61"/>
    <w:rsid w:val="00631AAF"/>
    <w:rsid w:val="00631DE0"/>
    <w:rsid w:val="006334E3"/>
    <w:rsid w:val="006337B6"/>
    <w:rsid w:val="00633881"/>
    <w:rsid w:val="00633A86"/>
    <w:rsid w:val="00633B90"/>
    <w:rsid w:val="00633CFB"/>
    <w:rsid w:val="00633F04"/>
    <w:rsid w:val="00634049"/>
    <w:rsid w:val="006342E2"/>
    <w:rsid w:val="0063456A"/>
    <w:rsid w:val="00634593"/>
    <w:rsid w:val="00634A7C"/>
    <w:rsid w:val="00634B4E"/>
    <w:rsid w:val="00634CC8"/>
    <w:rsid w:val="00634EFB"/>
    <w:rsid w:val="00634F64"/>
    <w:rsid w:val="0063515C"/>
    <w:rsid w:val="0063538D"/>
    <w:rsid w:val="006357A7"/>
    <w:rsid w:val="00635942"/>
    <w:rsid w:val="00635B32"/>
    <w:rsid w:val="00636078"/>
    <w:rsid w:val="0063627E"/>
    <w:rsid w:val="006363EA"/>
    <w:rsid w:val="0063670A"/>
    <w:rsid w:val="006368BF"/>
    <w:rsid w:val="006368ED"/>
    <w:rsid w:val="006369D4"/>
    <w:rsid w:val="00636D97"/>
    <w:rsid w:val="00636FE1"/>
    <w:rsid w:val="00637516"/>
    <w:rsid w:val="00637E1C"/>
    <w:rsid w:val="00637F34"/>
    <w:rsid w:val="00640218"/>
    <w:rsid w:val="0064035A"/>
    <w:rsid w:val="0064081D"/>
    <w:rsid w:val="00640964"/>
    <w:rsid w:val="00641033"/>
    <w:rsid w:val="006411B7"/>
    <w:rsid w:val="0064152E"/>
    <w:rsid w:val="00641589"/>
    <w:rsid w:val="00641A79"/>
    <w:rsid w:val="006421B5"/>
    <w:rsid w:val="006422EE"/>
    <w:rsid w:val="00642305"/>
    <w:rsid w:val="00642317"/>
    <w:rsid w:val="00642340"/>
    <w:rsid w:val="0064251B"/>
    <w:rsid w:val="00642A5B"/>
    <w:rsid w:val="00642A8D"/>
    <w:rsid w:val="00642D8C"/>
    <w:rsid w:val="00642E39"/>
    <w:rsid w:val="006432F6"/>
    <w:rsid w:val="0064346F"/>
    <w:rsid w:val="0064391A"/>
    <w:rsid w:val="00643B47"/>
    <w:rsid w:val="00644512"/>
    <w:rsid w:val="00644570"/>
    <w:rsid w:val="00644C5C"/>
    <w:rsid w:val="00644F2B"/>
    <w:rsid w:val="00644FD8"/>
    <w:rsid w:val="0064524C"/>
    <w:rsid w:val="006452B1"/>
    <w:rsid w:val="006453B9"/>
    <w:rsid w:val="006453FD"/>
    <w:rsid w:val="006454D3"/>
    <w:rsid w:val="006456ED"/>
    <w:rsid w:val="00645953"/>
    <w:rsid w:val="0064595E"/>
    <w:rsid w:val="00646113"/>
    <w:rsid w:val="0064689A"/>
    <w:rsid w:val="00646D06"/>
    <w:rsid w:val="0064700C"/>
    <w:rsid w:val="00647829"/>
    <w:rsid w:val="00647975"/>
    <w:rsid w:val="00647B9F"/>
    <w:rsid w:val="00647D3B"/>
    <w:rsid w:val="00647D6F"/>
    <w:rsid w:val="00650362"/>
    <w:rsid w:val="006508EC"/>
    <w:rsid w:val="00650B00"/>
    <w:rsid w:val="00650FB9"/>
    <w:rsid w:val="006513DA"/>
    <w:rsid w:val="00651B37"/>
    <w:rsid w:val="00651BC1"/>
    <w:rsid w:val="00651BC2"/>
    <w:rsid w:val="00651C09"/>
    <w:rsid w:val="00651EE8"/>
    <w:rsid w:val="00651FA2"/>
    <w:rsid w:val="00651FDE"/>
    <w:rsid w:val="00652282"/>
    <w:rsid w:val="006528A9"/>
    <w:rsid w:val="00652AA2"/>
    <w:rsid w:val="00652B1C"/>
    <w:rsid w:val="00652DF4"/>
    <w:rsid w:val="006537C4"/>
    <w:rsid w:val="006538CA"/>
    <w:rsid w:val="00653EE4"/>
    <w:rsid w:val="00654524"/>
    <w:rsid w:val="0065475D"/>
    <w:rsid w:val="00654AA3"/>
    <w:rsid w:val="00654AD7"/>
    <w:rsid w:val="00654BB1"/>
    <w:rsid w:val="00654D12"/>
    <w:rsid w:val="0065526A"/>
    <w:rsid w:val="00655536"/>
    <w:rsid w:val="006555C7"/>
    <w:rsid w:val="00655708"/>
    <w:rsid w:val="00655954"/>
    <w:rsid w:val="00656129"/>
    <w:rsid w:val="006564F8"/>
    <w:rsid w:val="006565F5"/>
    <w:rsid w:val="0065663F"/>
    <w:rsid w:val="00656AB8"/>
    <w:rsid w:val="00656BE8"/>
    <w:rsid w:val="00657115"/>
    <w:rsid w:val="00657A32"/>
    <w:rsid w:val="00657CD6"/>
    <w:rsid w:val="00660F59"/>
    <w:rsid w:val="006611A5"/>
    <w:rsid w:val="00661412"/>
    <w:rsid w:val="006615B9"/>
    <w:rsid w:val="0066169D"/>
    <w:rsid w:val="006618DA"/>
    <w:rsid w:val="00661B15"/>
    <w:rsid w:val="00661CA1"/>
    <w:rsid w:val="00661E99"/>
    <w:rsid w:val="0066246C"/>
    <w:rsid w:val="00662747"/>
    <w:rsid w:val="006628B8"/>
    <w:rsid w:val="00662B0E"/>
    <w:rsid w:val="00662C22"/>
    <w:rsid w:val="00662C9C"/>
    <w:rsid w:val="00662CA9"/>
    <w:rsid w:val="00662FC8"/>
    <w:rsid w:val="006630C6"/>
    <w:rsid w:val="00663519"/>
    <w:rsid w:val="0066354B"/>
    <w:rsid w:val="006636DF"/>
    <w:rsid w:val="0066374B"/>
    <w:rsid w:val="00663A92"/>
    <w:rsid w:val="00663C40"/>
    <w:rsid w:val="00663DD2"/>
    <w:rsid w:val="00664392"/>
    <w:rsid w:val="0066486E"/>
    <w:rsid w:val="006648FD"/>
    <w:rsid w:val="0066495D"/>
    <w:rsid w:val="00664C27"/>
    <w:rsid w:val="00664DFD"/>
    <w:rsid w:val="00664F12"/>
    <w:rsid w:val="0066504B"/>
    <w:rsid w:val="006653B2"/>
    <w:rsid w:val="00665804"/>
    <w:rsid w:val="00665862"/>
    <w:rsid w:val="00665ABF"/>
    <w:rsid w:val="00665ACA"/>
    <w:rsid w:val="00665ADF"/>
    <w:rsid w:val="00666107"/>
    <w:rsid w:val="00666351"/>
    <w:rsid w:val="0066668F"/>
    <w:rsid w:val="006667C4"/>
    <w:rsid w:val="0066683E"/>
    <w:rsid w:val="00666846"/>
    <w:rsid w:val="006668E4"/>
    <w:rsid w:val="00666EE3"/>
    <w:rsid w:val="00667316"/>
    <w:rsid w:val="00670220"/>
    <w:rsid w:val="00670234"/>
    <w:rsid w:val="00670241"/>
    <w:rsid w:val="00670A78"/>
    <w:rsid w:val="00670B81"/>
    <w:rsid w:val="00670BA4"/>
    <w:rsid w:val="00670FEB"/>
    <w:rsid w:val="006717A4"/>
    <w:rsid w:val="00671DED"/>
    <w:rsid w:val="006720C3"/>
    <w:rsid w:val="0067262D"/>
    <w:rsid w:val="0067268D"/>
    <w:rsid w:val="00672AA5"/>
    <w:rsid w:val="00672C90"/>
    <w:rsid w:val="00672E38"/>
    <w:rsid w:val="00673777"/>
    <w:rsid w:val="006739F2"/>
    <w:rsid w:val="00673BC8"/>
    <w:rsid w:val="00673F70"/>
    <w:rsid w:val="00674643"/>
    <w:rsid w:val="0067493E"/>
    <w:rsid w:val="00674ADA"/>
    <w:rsid w:val="00674ADE"/>
    <w:rsid w:val="00674D27"/>
    <w:rsid w:val="00674EFB"/>
    <w:rsid w:val="00675B60"/>
    <w:rsid w:val="00675EA7"/>
    <w:rsid w:val="00676120"/>
    <w:rsid w:val="006762F4"/>
    <w:rsid w:val="006765F5"/>
    <w:rsid w:val="0067666A"/>
    <w:rsid w:val="00677039"/>
    <w:rsid w:val="00677916"/>
    <w:rsid w:val="00677AD1"/>
    <w:rsid w:val="00677BE2"/>
    <w:rsid w:val="00677C43"/>
    <w:rsid w:val="00677F04"/>
    <w:rsid w:val="00680081"/>
    <w:rsid w:val="006802AD"/>
    <w:rsid w:val="0068073D"/>
    <w:rsid w:val="00680C0C"/>
    <w:rsid w:val="00680C47"/>
    <w:rsid w:val="00680C91"/>
    <w:rsid w:val="00680F82"/>
    <w:rsid w:val="006811C5"/>
    <w:rsid w:val="00681212"/>
    <w:rsid w:val="006813FC"/>
    <w:rsid w:val="00681D3A"/>
    <w:rsid w:val="00681F7A"/>
    <w:rsid w:val="00682529"/>
    <w:rsid w:val="00682A5B"/>
    <w:rsid w:val="00682AEB"/>
    <w:rsid w:val="00682B70"/>
    <w:rsid w:val="00682B97"/>
    <w:rsid w:val="00682D50"/>
    <w:rsid w:val="00682DF5"/>
    <w:rsid w:val="00682F88"/>
    <w:rsid w:val="0068367C"/>
    <w:rsid w:val="00683A56"/>
    <w:rsid w:val="00683EEF"/>
    <w:rsid w:val="00683FD1"/>
    <w:rsid w:val="00683FFF"/>
    <w:rsid w:val="0068453C"/>
    <w:rsid w:val="00684716"/>
    <w:rsid w:val="006847C2"/>
    <w:rsid w:val="00684891"/>
    <w:rsid w:val="00684AA4"/>
    <w:rsid w:val="00684D17"/>
    <w:rsid w:val="00684F95"/>
    <w:rsid w:val="0068521A"/>
    <w:rsid w:val="006854F5"/>
    <w:rsid w:val="00685938"/>
    <w:rsid w:val="00685ECC"/>
    <w:rsid w:val="00685FBC"/>
    <w:rsid w:val="00686028"/>
    <w:rsid w:val="00686310"/>
    <w:rsid w:val="00686348"/>
    <w:rsid w:val="0068650A"/>
    <w:rsid w:val="0068680F"/>
    <w:rsid w:val="00686C21"/>
    <w:rsid w:val="00686CC8"/>
    <w:rsid w:val="006870C4"/>
    <w:rsid w:val="00687150"/>
    <w:rsid w:val="006872DA"/>
    <w:rsid w:val="006874F8"/>
    <w:rsid w:val="00687594"/>
    <w:rsid w:val="00687757"/>
    <w:rsid w:val="00687F31"/>
    <w:rsid w:val="00687FE0"/>
    <w:rsid w:val="00690780"/>
    <w:rsid w:val="0069153B"/>
    <w:rsid w:val="006919BF"/>
    <w:rsid w:val="00691CE1"/>
    <w:rsid w:val="00691D67"/>
    <w:rsid w:val="00691E0A"/>
    <w:rsid w:val="00691EF3"/>
    <w:rsid w:val="00691F2B"/>
    <w:rsid w:val="00692052"/>
    <w:rsid w:val="0069227E"/>
    <w:rsid w:val="00692931"/>
    <w:rsid w:val="00692D42"/>
    <w:rsid w:val="00692DD0"/>
    <w:rsid w:val="00692E09"/>
    <w:rsid w:val="00692F18"/>
    <w:rsid w:val="006935E6"/>
    <w:rsid w:val="00693888"/>
    <w:rsid w:val="006938DC"/>
    <w:rsid w:val="00693A39"/>
    <w:rsid w:val="00693BA2"/>
    <w:rsid w:val="00694103"/>
    <w:rsid w:val="006943FB"/>
    <w:rsid w:val="006945B8"/>
    <w:rsid w:val="006947B6"/>
    <w:rsid w:val="00694C12"/>
    <w:rsid w:val="00694D51"/>
    <w:rsid w:val="00694D9F"/>
    <w:rsid w:val="00695045"/>
    <w:rsid w:val="00695217"/>
    <w:rsid w:val="00695298"/>
    <w:rsid w:val="0069570E"/>
    <w:rsid w:val="00695938"/>
    <w:rsid w:val="00695DF4"/>
    <w:rsid w:val="00695EB2"/>
    <w:rsid w:val="00696172"/>
    <w:rsid w:val="006962EE"/>
    <w:rsid w:val="00696573"/>
    <w:rsid w:val="00696D60"/>
    <w:rsid w:val="00696E7A"/>
    <w:rsid w:val="00697277"/>
    <w:rsid w:val="0069753D"/>
    <w:rsid w:val="00697D02"/>
    <w:rsid w:val="00697F5E"/>
    <w:rsid w:val="006A0DA5"/>
    <w:rsid w:val="006A0DC4"/>
    <w:rsid w:val="006A0E33"/>
    <w:rsid w:val="006A0EC7"/>
    <w:rsid w:val="006A0FF7"/>
    <w:rsid w:val="006A1270"/>
    <w:rsid w:val="006A12C1"/>
    <w:rsid w:val="006A14D2"/>
    <w:rsid w:val="006A1574"/>
    <w:rsid w:val="006A198E"/>
    <w:rsid w:val="006A1CE4"/>
    <w:rsid w:val="006A1D62"/>
    <w:rsid w:val="006A1DF2"/>
    <w:rsid w:val="006A1E53"/>
    <w:rsid w:val="006A218F"/>
    <w:rsid w:val="006A2320"/>
    <w:rsid w:val="006A27D2"/>
    <w:rsid w:val="006A2C9B"/>
    <w:rsid w:val="006A2D95"/>
    <w:rsid w:val="006A2DB9"/>
    <w:rsid w:val="006A2F3E"/>
    <w:rsid w:val="006A2FBE"/>
    <w:rsid w:val="006A3088"/>
    <w:rsid w:val="006A33D8"/>
    <w:rsid w:val="006A3485"/>
    <w:rsid w:val="006A3618"/>
    <w:rsid w:val="006A3E49"/>
    <w:rsid w:val="006A411F"/>
    <w:rsid w:val="006A44E0"/>
    <w:rsid w:val="006A4604"/>
    <w:rsid w:val="006A4A55"/>
    <w:rsid w:val="006A4C74"/>
    <w:rsid w:val="006A50ED"/>
    <w:rsid w:val="006A5765"/>
    <w:rsid w:val="006A5A6D"/>
    <w:rsid w:val="006A6FD1"/>
    <w:rsid w:val="006A79B7"/>
    <w:rsid w:val="006B099C"/>
    <w:rsid w:val="006B146B"/>
    <w:rsid w:val="006B172F"/>
    <w:rsid w:val="006B1D9C"/>
    <w:rsid w:val="006B224B"/>
    <w:rsid w:val="006B23EF"/>
    <w:rsid w:val="006B292B"/>
    <w:rsid w:val="006B2A73"/>
    <w:rsid w:val="006B2B1D"/>
    <w:rsid w:val="006B34F2"/>
    <w:rsid w:val="006B3AB7"/>
    <w:rsid w:val="006B47A5"/>
    <w:rsid w:val="006B49C7"/>
    <w:rsid w:val="006B4BDD"/>
    <w:rsid w:val="006B514A"/>
    <w:rsid w:val="006B5579"/>
    <w:rsid w:val="006B56D2"/>
    <w:rsid w:val="006B57D8"/>
    <w:rsid w:val="006B5A04"/>
    <w:rsid w:val="006B5BD7"/>
    <w:rsid w:val="006B61C6"/>
    <w:rsid w:val="006B66F0"/>
    <w:rsid w:val="006B676D"/>
    <w:rsid w:val="006B67F3"/>
    <w:rsid w:val="006B6A52"/>
    <w:rsid w:val="006B6E13"/>
    <w:rsid w:val="006B73DB"/>
    <w:rsid w:val="006B7683"/>
    <w:rsid w:val="006B7B5F"/>
    <w:rsid w:val="006B7C3C"/>
    <w:rsid w:val="006B7C76"/>
    <w:rsid w:val="006C007A"/>
    <w:rsid w:val="006C01D3"/>
    <w:rsid w:val="006C0203"/>
    <w:rsid w:val="006C077B"/>
    <w:rsid w:val="006C09DF"/>
    <w:rsid w:val="006C0ECD"/>
    <w:rsid w:val="006C163C"/>
    <w:rsid w:val="006C1A54"/>
    <w:rsid w:val="006C1DD2"/>
    <w:rsid w:val="006C20B9"/>
    <w:rsid w:val="006C2184"/>
    <w:rsid w:val="006C21A5"/>
    <w:rsid w:val="006C237E"/>
    <w:rsid w:val="006C23F3"/>
    <w:rsid w:val="006C24FA"/>
    <w:rsid w:val="006C2670"/>
    <w:rsid w:val="006C27BF"/>
    <w:rsid w:val="006C29B5"/>
    <w:rsid w:val="006C3150"/>
    <w:rsid w:val="006C3979"/>
    <w:rsid w:val="006C41B2"/>
    <w:rsid w:val="006C4D82"/>
    <w:rsid w:val="006C4ECA"/>
    <w:rsid w:val="006C51DE"/>
    <w:rsid w:val="006C539C"/>
    <w:rsid w:val="006C5729"/>
    <w:rsid w:val="006C572A"/>
    <w:rsid w:val="006C5781"/>
    <w:rsid w:val="006C57BF"/>
    <w:rsid w:val="006C5D2A"/>
    <w:rsid w:val="006C6C3C"/>
    <w:rsid w:val="006C6E2A"/>
    <w:rsid w:val="006C7290"/>
    <w:rsid w:val="006C7428"/>
    <w:rsid w:val="006C7625"/>
    <w:rsid w:val="006C7FEB"/>
    <w:rsid w:val="006D02F4"/>
    <w:rsid w:val="006D04DA"/>
    <w:rsid w:val="006D05B1"/>
    <w:rsid w:val="006D0C7B"/>
    <w:rsid w:val="006D0F4F"/>
    <w:rsid w:val="006D110A"/>
    <w:rsid w:val="006D1B73"/>
    <w:rsid w:val="006D1E9F"/>
    <w:rsid w:val="006D21BF"/>
    <w:rsid w:val="006D23B5"/>
    <w:rsid w:val="006D2C10"/>
    <w:rsid w:val="006D2F24"/>
    <w:rsid w:val="006D359B"/>
    <w:rsid w:val="006D3842"/>
    <w:rsid w:val="006D4806"/>
    <w:rsid w:val="006D4AF6"/>
    <w:rsid w:val="006D52E7"/>
    <w:rsid w:val="006D5545"/>
    <w:rsid w:val="006D5580"/>
    <w:rsid w:val="006D57C4"/>
    <w:rsid w:val="006D57C6"/>
    <w:rsid w:val="006D58FB"/>
    <w:rsid w:val="006D5A18"/>
    <w:rsid w:val="006D5C48"/>
    <w:rsid w:val="006D5E97"/>
    <w:rsid w:val="006D6A4D"/>
    <w:rsid w:val="006D6C49"/>
    <w:rsid w:val="006D6CB1"/>
    <w:rsid w:val="006D6ECF"/>
    <w:rsid w:val="006D7097"/>
    <w:rsid w:val="006D7A6E"/>
    <w:rsid w:val="006D7D45"/>
    <w:rsid w:val="006D7E7B"/>
    <w:rsid w:val="006E05EC"/>
    <w:rsid w:val="006E05F8"/>
    <w:rsid w:val="006E0C37"/>
    <w:rsid w:val="006E0D71"/>
    <w:rsid w:val="006E0DEB"/>
    <w:rsid w:val="006E1479"/>
    <w:rsid w:val="006E1AD2"/>
    <w:rsid w:val="006E1C2F"/>
    <w:rsid w:val="006E2097"/>
    <w:rsid w:val="006E2244"/>
    <w:rsid w:val="006E2F3C"/>
    <w:rsid w:val="006E3062"/>
    <w:rsid w:val="006E37AA"/>
    <w:rsid w:val="006E3AD4"/>
    <w:rsid w:val="006E3BA9"/>
    <w:rsid w:val="006E3DA2"/>
    <w:rsid w:val="006E3DA7"/>
    <w:rsid w:val="006E41BF"/>
    <w:rsid w:val="006E4266"/>
    <w:rsid w:val="006E4571"/>
    <w:rsid w:val="006E45B7"/>
    <w:rsid w:val="006E4633"/>
    <w:rsid w:val="006E4CBA"/>
    <w:rsid w:val="006E5C51"/>
    <w:rsid w:val="006E5D75"/>
    <w:rsid w:val="006E6018"/>
    <w:rsid w:val="006E60C4"/>
    <w:rsid w:val="006E6156"/>
    <w:rsid w:val="006E622B"/>
    <w:rsid w:val="006E62F1"/>
    <w:rsid w:val="006E646C"/>
    <w:rsid w:val="006E6474"/>
    <w:rsid w:val="006E670D"/>
    <w:rsid w:val="006E6B2E"/>
    <w:rsid w:val="006E6E7A"/>
    <w:rsid w:val="006E6E8B"/>
    <w:rsid w:val="006E7455"/>
    <w:rsid w:val="006E77ED"/>
    <w:rsid w:val="006E7839"/>
    <w:rsid w:val="006E7B95"/>
    <w:rsid w:val="006E7CF3"/>
    <w:rsid w:val="006F00D4"/>
    <w:rsid w:val="006F0400"/>
    <w:rsid w:val="006F0788"/>
    <w:rsid w:val="006F0A29"/>
    <w:rsid w:val="006F0B5A"/>
    <w:rsid w:val="006F0D8A"/>
    <w:rsid w:val="006F138D"/>
    <w:rsid w:val="006F1557"/>
    <w:rsid w:val="006F1588"/>
    <w:rsid w:val="006F1F2E"/>
    <w:rsid w:val="006F263B"/>
    <w:rsid w:val="006F26BF"/>
    <w:rsid w:val="006F291E"/>
    <w:rsid w:val="006F2A40"/>
    <w:rsid w:val="006F2C8E"/>
    <w:rsid w:val="006F2D96"/>
    <w:rsid w:val="006F2DD2"/>
    <w:rsid w:val="006F303B"/>
    <w:rsid w:val="006F347B"/>
    <w:rsid w:val="006F383D"/>
    <w:rsid w:val="006F394B"/>
    <w:rsid w:val="006F473D"/>
    <w:rsid w:val="006F4B07"/>
    <w:rsid w:val="006F51CD"/>
    <w:rsid w:val="006F5408"/>
    <w:rsid w:val="006F5725"/>
    <w:rsid w:val="006F5820"/>
    <w:rsid w:val="006F612E"/>
    <w:rsid w:val="006F6388"/>
    <w:rsid w:val="006F6711"/>
    <w:rsid w:val="006F67E2"/>
    <w:rsid w:val="006F7858"/>
    <w:rsid w:val="006F7AD1"/>
    <w:rsid w:val="006F7EEB"/>
    <w:rsid w:val="006F7F7F"/>
    <w:rsid w:val="00700148"/>
    <w:rsid w:val="0070034F"/>
    <w:rsid w:val="00700473"/>
    <w:rsid w:val="0070050A"/>
    <w:rsid w:val="007005AD"/>
    <w:rsid w:val="0070096A"/>
    <w:rsid w:val="00700EF1"/>
    <w:rsid w:val="00700FC2"/>
    <w:rsid w:val="0070104D"/>
    <w:rsid w:val="0070140F"/>
    <w:rsid w:val="00701758"/>
    <w:rsid w:val="00701C55"/>
    <w:rsid w:val="00701F37"/>
    <w:rsid w:val="007025E9"/>
    <w:rsid w:val="007027C5"/>
    <w:rsid w:val="00702C9E"/>
    <w:rsid w:val="00702E48"/>
    <w:rsid w:val="00702F12"/>
    <w:rsid w:val="007032BA"/>
    <w:rsid w:val="007032DC"/>
    <w:rsid w:val="00703349"/>
    <w:rsid w:val="007039B4"/>
    <w:rsid w:val="00703A4F"/>
    <w:rsid w:val="00703CBE"/>
    <w:rsid w:val="00704651"/>
    <w:rsid w:val="00704B63"/>
    <w:rsid w:val="00704B7E"/>
    <w:rsid w:val="00704C42"/>
    <w:rsid w:val="00704E3B"/>
    <w:rsid w:val="00705420"/>
    <w:rsid w:val="007056CA"/>
    <w:rsid w:val="00705B06"/>
    <w:rsid w:val="00705FF0"/>
    <w:rsid w:val="007075FE"/>
    <w:rsid w:val="0070774C"/>
    <w:rsid w:val="007077AE"/>
    <w:rsid w:val="00707C47"/>
    <w:rsid w:val="00710042"/>
    <w:rsid w:val="00710157"/>
    <w:rsid w:val="007101FC"/>
    <w:rsid w:val="00710D51"/>
    <w:rsid w:val="00710F2F"/>
    <w:rsid w:val="00710F30"/>
    <w:rsid w:val="0071100F"/>
    <w:rsid w:val="007110CB"/>
    <w:rsid w:val="0071134E"/>
    <w:rsid w:val="007119D6"/>
    <w:rsid w:val="00711D67"/>
    <w:rsid w:val="00711F54"/>
    <w:rsid w:val="007121AE"/>
    <w:rsid w:val="0071253E"/>
    <w:rsid w:val="0071274A"/>
    <w:rsid w:val="00712A1C"/>
    <w:rsid w:val="00712B2F"/>
    <w:rsid w:val="00712DDD"/>
    <w:rsid w:val="00712E93"/>
    <w:rsid w:val="00713226"/>
    <w:rsid w:val="00713506"/>
    <w:rsid w:val="00713B43"/>
    <w:rsid w:val="00713F05"/>
    <w:rsid w:val="00713FDF"/>
    <w:rsid w:val="00714227"/>
    <w:rsid w:val="00714371"/>
    <w:rsid w:val="0071510E"/>
    <w:rsid w:val="0071538A"/>
    <w:rsid w:val="007153AC"/>
    <w:rsid w:val="0071586D"/>
    <w:rsid w:val="00715DC2"/>
    <w:rsid w:val="00716822"/>
    <w:rsid w:val="00716951"/>
    <w:rsid w:val="00716997"/>
    <w:rsid w:val="00716A17"/>
    <w:rsid w:val="00716DD1"/>
    <w:rsid w:val="00716EFE"/>
    <w:rsid w:val="007176AD"/>
    <w:rsid w:val="00717AFA"/>
    <w:rsid w:val="00717C56"/>
    <w:rsid w:val="00717EC4"/>
    <w:rsid w:val="007205E0"/>
    <w:rsid w:val="007206DF"/>
    <w:rsid w:val="00720863"/>
    <w:rsid w:val="00720E63"/>
    <w:rsid w:val="00720FE7"/>
    <w:rsid w:val="00721056"/>
    <w:rsid w:val="00721614"/>
    <w:rsid w:val="00721620"/>
    <w:rsid w:val="0072177B"/>
    <w:rsid w:val="00721849"/>
    <w:rsid w:val="007218AD"/>
    <w:rsid w:val="0072199D"/>
    <w:rsid w:val="00721C6F"/>
    <w:rsid w:val="00721F8C"/>
    <w:rsid w:val="00721FF1"/>
    <w:rsid w:val="00722139"/>
    <w:rsid w:val="00722368"/>
    <w:rsid w:val="00722632"/>
    <w:rsid w:val="00722BDF"/>
    <w:rsid w:val="00722D73"/>
    <w:rsid w:val="00722E56"/>
    <w:rsid w:val="007230A2"/>
    <w:rsid w:val="00723756"/>
    <w:rsid w:val="0072394C"/>
    <w:rsid w:val="007239F8"/>
    <w:rsid w:val="00723AB5"/>
    <w:rsid w:val="00723B29"/>
    <w:rsid w:val="00724416"/>
    <w:rsid w:val="007245FE"/>
    <w:rsid w:val="0072476A"/>
    <w:rsid w:val="0072496F"/>
    <w:rsid w:val="00724DBC"/>
    <w:rsid w:val="007253D6"/>
    <w:rsid w:val="00725720"/>
    <w:rsid w:val="00725761"/>
    <w:rsid w:val="007258D4"/>
    <w:rsid w:val="00725AEF"/>
    <w:rsid w:val="00725D0F"/>
    <w:rsid w:val="00725E73"/>
    <w:rsid w:val="007262A9"/>
    <w:rsid w:val="00726479"/>
    <w:rsid w:val="00726564"/>
    <w:rsid w:val="00726617"/>
    <w:rsid w:val="00726651"/>
    <w:rsid w:val="007266C9"/>
    <w:rsid w:val="00726E7F"/>
    <w:rsid w:val="00726E9D"/>
    <w:rsid w:val="007277FC"/>
    <w:rsid w:val="00727A59"/>
    <w:rsid w:val="00727DD8"/>
    <w:rsid w:val="00730366"/>
    <w:rsid w:val="00730783"/>
    <w:rsid w:val="00730E81"/>
    <w:rsid w:val="00730ED4"/>
    <w:rsid w:val="00730EDE"/>
    <w:rsid w:val="0073112C"/>
    <w:rsid w:val="00731579"/>
    <w:rsid w:val="007319D5"/>
    <w:rsid w:val="00731BAD"/>
    <w:rsid w:val="00731E5E"/>
    <w:rsid w:val="00731EA4"/>
    <w:rsid w:val="007321C9"/>
    <w:rsid w:val="007325D2"/>
    <w:rsid w:val="0073262D"/>
    <w:rsid w:val="0073262E"/>
    <w:rsid w:val="00732CC2"/>
    <w:rsid w:val="0073380E"/>
    <w:rsid w:val="007339C0"/>
    <w:rsid w:val="00733AB6"/>
    <w:rsid w:val="00733FD0"/>
    <w:rsid w:val="0073456D"/>
    <w:rsid w:val="007345B6"/>
    <w:rsid w:val="00734865"/>
    <w:rsid w:val="007348A3"/>
    <w:rsid w:val="00734ACE"/>
    <w:rsid w:val="00734FC2"/>
    <w:rsid w:val="00735AFE"/>
    <w:rsid w:val="00735C59"/>
    <w:rsid w:val="00735F6D"/>
    <w:rsid w:val="00736013"/>
    <w:rsid w:val="007365A9"/>
    <w:rsid w:val="0073674C"/>
    <w:rsid w:val="00736D32"/>
    <w:rsid w:val="00740221"/>
    <w:rsid w:val="00740349"/>
    <w:rsid w:val="0074069B"/>
    <w:rsid w:val="0074190E"/>
    <w:rsid w:val="00741F61"/>
    <w:rsid w:val="007424AA"/>
    <w:rsid w:val="0074299B"/>
    <w:rsid w:val="00742AFA"/>
    <w:rsid w:val="00742B7D"/>
    <w:rsid w:val="00742D88"/>
    <w:rsid w:val="00743B92"/>
    <w:rsid w:val="00744191"/>
    <w:rsid w:val="007441E0"/>
    <w:rsid w:val="00744450"/>
    <w:rsid w:val="00744912"/>
    <w:rsid w:val="00744C42"/>
    <w:rsid w:val="00744C6E"/>
    <w:rsid w:val="00744E9C"/>
    <w:rsid w:val="0074501A"/>
    <w:rsid w:val="0074543F"/>
    <w:rsid w:val="007456EC"/>
    <w:rsid w:val="007459C1"/>
    <w:rsid w:val="00745A6A"/>
    <w:rsid w:val="00745E01"/>
    <w:rsid w:val="00745FC6"/>
    <w:rsid w:val="00746406"/>
    <w:rsid w:val="00746629"/>
    <w:rsid w:val="00746669"/>
    <w:rsid w:val="0074667F"/>
    <w:rsid w:val="007467A7"/>
    <w:rsid w:val="00746C44"/>
    <w:rsid w:val="00746D3E"/>
    <w:rsid w:val="007475F7"/>
    <w:rsid w:val="00747678"/>
    <w:rsid w:val="00747711"/>
    <w:rsid w:val="007502E6"/>
    <w:rsid w:val="00750909"/>
    <w:rsid w:val="00750AB7"/>
    <w:rsid w:val="00751596"/>
    <w:rsid w:val="007517FA"/>
    <w:rsid w:val="00751847"/>
    <w:rsid w:val="00751A97"/>
    <w:rsid w:val="00751B1A"/>
    <w:rsid w:val="00751E66"/>
    <w:rsid w:val="0075219B"/>
    <w:rsid w:val="0075224E"/>
    <w:rsid w:val="007523F1"/>
    <w:rsid w:val="00752570"/>
    <w:rsid w:val="007525DB"/>
    <w:rsid w:val="007527DD"/>
    <w:rsid w:val="00752D88"/>
    <w:rsid w:val="00752EB2"/>
    <w:rsid w:val="00752F82"/>
    <w:rsid w:val="007536DA"/>
    <w:rsid w:val="007537BE"/>
    <w:rsid w:val="00753C04"/>
    <w:rsid w:val="00754578"/>
    <w:rsid w:val="0075472C"/>
    <w:rsid w:val="007548D0"/>
    <w:rsid w:val="00754F72"/>
    <w:rsid w:val="0075547B"/>
    <w:rsid w:val="00755553"/>
    <w:rsid w:val="007555B0"/>
    <w:rsid w:val="007556F1"/>
    <w:rsid w:val="00755DFD"/>
    <w:rsid w:val="00755FA5"/>
    <w:rsid w:val="0075623B"/>
    <w:rsid w:val="0075624D"/>
    <w:rsid w:val="0075625F"/>
    <w:rsid w:val="0075641A"/>
    <w:rsid w:val="00756E2E"/>
    <w:rsid w:val="007570EB"/>
    <w:rsid w:val="007571F6"/>
    <w:rsid w:val="00757255"/>
    <w:rsid w:val="007572D9"/>
    <w:rsid w:val="007572FE"/>
    <w:rsid w:val="007576DA"/>
    <w:rsid w:val="00757814"/>
    <w:rsid w:val="00757A69"/>
    <w:rsid w:val="00757A8F"/>
    <w:rsid w:val="00757DFA"/>
    <w:rsid w:val="00757EA2"/>
    <w:rsid w:val="0076036A"/>
    <w:rsid w:val="00760804"/>
    <w:rsid w:val="00760C1D"/>
    <w:rsid w:val="00760D64"/>
    <w:rsid w:val="00761136"/>
    <w:rsid w:val="00761376"/>
    <w:rsid w:val="007615C1"/>
    <w:rsid w:val="00761620"/>
    <w:rsid w:val="00761942"/>
    <w:rsid w:val="00761980"/>
    <w:rsid w:val="00761C06"/>
    <w:rsid w:val="007623F7"/>
    <w:rsid w:val="007625D7"/>
    <w:rsid w:val="00762DAC"/>
    <w:rsid w:val="00762E49"/>
    <w:rsid w:val="007631F6"/>
    <w:rsid w:val="007639E6"/>
    <w:rsid w:val="00763D8E"/>
    <w:rsid w:val="00763FB4"/>
    <w:rsid w:val="00763FF3"/>
    <w:rsid w:val="007644AD"/>
    <w:rsid w:val="0076450E"/>
    <w:rsid w:val="007649E1"/>
    <w:rsid w:val="00764AAB"/>
    <w:rsid w:val="00764E51"/>
    <w:rsid w:val="007659D1"/>
    <w:rsid w:val="00765BBB"/>
    <w:rsid w:val="007665D3"/>
    <w:rsid w:val="00766629"/>
    <w:rsid w:val="0076679D"/>
    <w:rsid w:val="00766A29"/>
    <w:rsid w:val="00766B21"/>
    <w:rsid w:val="00766D89"/>
    <w:rsid w:val="00767123"/>
    <w:rsid w:val="007671B0"/>
    <w:rsid w:val="00767800"/>
    <w:rsid w:val="00767888"/>
    <w:rsid w:val="0077004D"/>
    <w:rsid w:val="00770343"/>
    <w:rsid w:val="00770DA1"/>
    <w:rsid w:val="007715D5"/>
    <w:rsid w:val="007716A3"/>
    <w:rsid w:val="00771712"/>
    <w:rsid w:val="00771B44"/>
    <w:rsid w:val="00771CDE"/>
    <w:rsid w:val="007721CF"/>
    <w:rsid w:val="007721DE"/>
    <w:rsid w:val="00772583"/>
    <w:rsid w:val="00772715"/>
    <w:rsid w:val="00772AD8"/>
    <w:rsid w:val="00772DB6"/>
    <w:rsid w:val="00772DB9"/>
    <w:rsid w:val="00772E35"/>
    <w:rsid w:val="00772ED2"/>
    <w:rsid w:val="00772FAD"/>
    <w:rsid w:val="0077300E"/>
    <w:rsid w:val="0077310E"/>
    <w:rsid w:val="00773962"/>
    <w:rsid w:val="00773D15"/>
    <w:rsid w:val="00774348"/>
    <w:rsid w:val="007743AF"/>
    <w:rsid w:val="00774422"/>
    <w:rsid w:val="0077449C"/>
    <w:rsid w:val="0077472F"/>
    <w:rsid w:val="0077487C"/>
    <w:rsid w:val="00774C45"/>
    <w:rsid w:val="00774E2A"/>
    <w:rsid w:val="00774EF7"/>
    <w:rsid w:val="007750D8"/>
    <w:rsid w:val="0077598F"/>
    <w:rsid w:val="00775ABA"/>
    <w:rsid w:val="00775F12"/>
    <w:rsid w:val="0077624F"/>
    <w:rsid w:val="007762ED"/>
    <w:rsid w:val="00776643"/>
    <w:rsid w:val="0077795D"/>
    <w:rsid w:val="00777C23"/>
    <w:rsid w:val="00777E18"/>
    <w:rsid w:val="00780197"/>
    <w:rsid w:val="00780271"/>
    <w:rsid w:val="007806EF"/>
    <w:rsid w:val="00780745"/>
    <w:rsid w:val="00780A08"/>
    <w:rsid w:val="00780A24"/>
    <w:rsid w:val="00781218"/>
    <w:rsid w:val="0078132B"/>
    <w:rsid w:val="00781410"/>
    <w:rsid w:val="0078189B"/>
    <w:rsid w:val="007818C6"/>
    <w:rsid w:val="00781A02"/>
    <w:rsid w:val="0078234B"/>
    <w:rsid w:val="00782581"/>
    <w:rsid w:val="0078289B"/>
    <w:rsid w:val="00782ACC"/>
    <w:rsid w:val="00782DC7"/>
    <w:rsid w:val="00782DD1"/>
    <w:rsid w:val="00782DDE"/>
    <w:rsid w:val="00782FBA"/>
    <w:rsid w:val="00782FEA"/>
    <w:rsid w:val="007830EE"/>
    <w:rsid w:val="007834C1"/>
    <w:rsid w:val="0078363B"/>
    <w:rsid w:val="0078390C"/>
    <w:rsid w:val="00783B67"/>
    <w:rsid w:val="00783E28"/>
    <w:rsid w:val="007846F2"/>
    <w:rsid w:val="0078471A"/>
    <w:rsid w:val="00784742"/>
    <w:rsid w:val="00784776"/>
    <w:rsid w:val="00784C24"/>
    <w:rsid w:val="00784F76"/>
    <w:rsid w:val="007853EF"/>
    <w:rsid w:val="00785A1B"/>
    <w:rsid w:val="00785E78"/>
    <w:rsid w:val="00785F21"/>
    <w:rsid w:val="00785F4F"/>
    <w:rsid w:val="00785FA6"/>
    <w:rsid w:val="00786048"/>
    <w:rsid w:val="007860BA"/>
    <w:rsid w:val="00786170"/>
    <w:rsid w:val="007866E2"/>
    <w:rsid w:val="00786A99"/>
    <w:rsid w:val="00786A9D"/>
    <w:rsid w:val="00787075"/>
    <w:rsid w:val="00787193"/>
    <w:rsid w:val="0078728C"/>
    <w:rsid w:val="00787399"/>
    <w:rsid w:val="0078756A"/>
    <w:rsid w:val="00787AC9"/>
    <w:rsid w:val="007901A9"/>
    <w:rsid w:val="007902E0"/>
    <w:rsid w:val="00790386"/>
    <w:rsid w:val="0079049A"/>
    <w:rsid w:val="007904B3"/>
    <w:rsid w:val="007905E7"/>
    <w:rsid w:val="00790722"/>
    <w:rsid w:val="00790A43"/>
    <w:rsid w:val="00790BC6"/>
    <w:rsid w:val="00790F90"/>
    <w:rsid w:val="007917D1"/>
    <w:rsid w:val="007919E5"/>
    <w:rsid w:val="00791CFC"/>
    <w:rsid w:val="00791F03"/>
    <w:rsid w:val="007921E7"/>
    <w:rsid w:val="00792BA7"/>
    <w:rsid w:val="00793106"/>
    <w:rsid w:val="00793466"/>
    <w:rsid w:val="007936F9"/>
    <w:rsid w:val="00793B07"/>
    <w:rsid w:val="00793C31"/>
    <w:rsid w:val="00794021"/>
    <w:rsid w:val="00794044"/>
    <w:rsid w:val="007940C2"/>
    <w:rsid w:val="007940C5"/>
    <w:rsid w:val="00794122"/>
    <w:rsid w:val="007947D2"/>
    <w:rsid w:val="00794ED8"/>
    <w:rsid w:val="007950A7"/>
    <w:rsid w:val="0079531F"/>
    <w:rsid w:val="00795349"/>
    <w:rsid w:val="0079535E"/>
    <w:rsid w:val="007953BF"/>
    <w:rsid w:val="00795474"/>
    <w:rsid w:val="0079549C"/>
    <w:rsid w:val="00795778"/>
    <w:rsid w:val="00796072"/>
    <w:rsid w:val="00796259"/>
    <w:rsid w:val="007967B2"/>
    <w:rsid w:val="00796C26"/>
    <w:rsid w:val="007972E9"/>
    <w:rsid w:val="00797792"/>
    <w:rsid w:val="00797875"/>
    <w:rsid w:val="00797DC5"/>
    <w:rsid w:val="00797FCB"/>
    <w:rsid w:val="007A0137"/>
    <w:rsid w:val="007A0868"/>
    <w:rsid w:val="007A0CD5"/>
    <w:rsid w:val="007A0D99"/>
    <w:rsid w:val="007A1024"/>
    <w:rsid w:val="007A1331"/>
    <w:rsid w:val="007A187E"/>
    <w:rsid w:val="007A19B6"/>
    <w:rsid w:val="007A19CA"/>
    <w:rsid w:val="007A1C78"/>
    <w:rsid w:val="007A1E20"/>
    <w:rsid w:val="007A2313"/>
    <w:rsid w:val="007A2405"/>
    <w:rsid w:val="007A2465"/>
    <w:rsid w:val="007A267C"/>
    <w:rsid w:val="007A2D0E"/>
    <w:rsid w:val="007A2E93"/>
    <w:rsid w:val="007A3303"/>
    <w:rsid w:val="007A344E"/>
    <w:rsid w:val="007A3690"/>
    <w:rsid w:val="007A38A2"/>
    <w:rsid w:val="007A4820"/>
    <w:rsid w:val="007A5071"/>
    <w:rsid w:val="007A5F03"/>
    <w:rsid w:val="007A62CE"/>
    <w:rsid w:val="007A690D"/>
    <w:rsid w:val="007A6AAA"/>
    <w:rsid w:val="007A6B9C"/>
    <w:rsid w:val="007A7094"/>
    <w:rsid w:val="007A70EE"/>
    <w:rsid w:val="007A74B6"/>
    <w:rsid w:val="007A7632"/>
    <w:rsid w:val="007A7B71"/>
    <w:rsid w:val="007A7F01"/>
    <w:rsid w:val="007A7FD8"/>
    <w:rsid w:val="007B006E"/>
    <w:rsid w:val="007B0688"/>
    <w:rsid w:val="007B0C47"/>
    <w:rsid w:val="007B0D5D"/>
    <w:rsid w:val="007B15DF"/>
    <w:rsid w:val="007B1621"/>
    <w:rsid w:val="007B1FB4"/>
    <w:rsid w:val="007B2053"/>
    <w:rsid w:val="007B21B3"/>
    <w:rsid w:val="007B22B7"/>
    <w:rsid w:val="007B2513"/>
    <w:rsid w:val="007B2955"/>
    <w:rsid w:val="007B29FD"/>
    <w:rsid w:val="007B2A65"/>
    <w:rsid w:val="007B2BA2"/>
    <w:rsid w:val="007B2DFD"/>
    <w:rsid w:val="007B3B6F"/>
    <w:rsid w:val="007B4060"/>
    <w:rsid w:val="007B4756"/>
    <w:rsid w:val="007B485E"/>
    <w:rsid w:val="007B4A0A"/>
    <w:rsid w:val="007B4C40"/>
    <w:rsid w:val="007B4C64"/>
    <w:rsid w:val="007B521F"/>
    <w:rsid w:val="007B540D"/>
    <w:rsid w:val="007B55F3"/>
    <w:rsid w:val="007B5B14"/>
    <w:rsid w:val="007B5EEF"/>
    <w:rsid w:val="007B5F93"/>
    <w:rsid w:val="007B60C0"/>
    <w:rsid w:val="007B6251"/>
    <w:rsid w:val="007B62BB"/>
    <w:rsid w:val="007B6385"/>
    <w:rsid w:val="007B64DB"/>
    <w:rsid w:val="007B6579"/>
    <w:rsid w:val="007B684C"/>
    <w:rsid w:val="007B6EF6"/>
    <w:rsid w:val="007B726C"/>
    <w:rsid w:val="007B795B"/>
    <w:rsid w:val="007B796B"/>
    <w:rsid w:val="007C013B"/>
    <w:rsid w:val="007C0318"/>
    <w:rsid w:val="007C042B"/>
    <w:rsid w:val="007C0858"/>
    <w:rsid w:val="007C085B"/>
    <w:rsid w:val="007C087B"/>
    <w:rsid w:val="007C0BA5"/>
    <w:rsid w:val="007C0D59"/>
    <w:rsid w:val="007C175D"/>
    <w:rsid w:val="007C1832"/>
    <w:rsid w:val="007C18C3"/>
    <w:rsid w:val="007C246B"/>
    <w:rsid w:val="007C352B"/>
    <w:rsid w:val="007C37FA"/>
    <w:rsid w:val="007C3B3D"/>
    <w:rsid w:val="007C3B83"/>
    <w:rsid w:val="007C40F8"/>
    <w:rsid w:val="007C42A2"/>
    <w:rsid w:val="007C48EF"/>
    <w:rsid w:val="007C4A3A"/>
    <w:rsid w:val="007C4C60"/>
    <w:rsid w:val="007C4CA9"/>
    <w:rsid w:val="007C4DBF"/>
    <w:rsid w:val="007C4EE4"/>
    <w:rsid w:val="007C5208"/>
    <w:rsid w:val="007C56CB"/>
    <w:rsid w:val="007C5874"/>
    <w:rsid w:val="007C6590"/>
    <w:rsid w:val="007C65FE"/>
    <w:rsid w:val="007C6934"/>
    <w:rsid w:val="007C6ADB"/>
    <w:rsid w:val="007C6B94"/>
    <w:rsid w:val="007C73EC"/>
    <w:rsid w:val="007C7537"/>
    <w:rsid w:val="007C78FE"/>
    <w:rsid w:val="007C79E0"/>
    <w:rsid w:val="007C79EE"/>
    <w:rsid w:val="007C7BA6"/>
    <w:rsid w:val="007D042B"/>
    <w:rsid w:val="007D073F"/>
    <w:rsid w:val="007D08A0"/>
    <w:rsid w:val="007D1234"/>
    <w:rsid w:val="007D1268"/>
    <w:rsid w:val="007D252F"/>
    <w:rsid w:val="007D273E"/>
    <w:rsid w:val="007D2B26"/>
    <w:rsid w:val="007D2D0A"/>
    <w:rsid w:val="007D2D2A"/>
    <w:rsid w:val="007D3071"/>
    <w:rsid w:val="007D3151"/>
    <w:rsid w:val="007D336D"/>
    <w:rsid w:val="007D37CB"/>
    <w:rsid w:val="007D3CC0"/>
    <w:rsid w:val="007D40F6"/>
    <w:rsid w:val="007D40F7"/>
    <w:rsid w:val="007D419E"/>
    <w:rsid w:val="007D45B7"/>
    <w:rsid w:val="007D461D"/>
    <w:rsid w:val="007D4A57"/>
    <w:rsid w:val="007D4FBA"/>
    <w:rsid w:val="007D541B"/>
    <w:rsid w:val="007D593B"/>
    <w:rsid w:val="007D5BE0"/>
    <w:rsid w:val="007D6694"/>
    <w:rsid w:val="007D678F"/>
    <w:rsid w:val="007D67D2"/>
    <w:rsid w:val="007D68F2"/>
    <w:rsid w:val="007D6A52"/>
    <w:rsid w:val="007D7031"/>
    <w:rsid w:val="007D7314"/>
    <w:rsid w:val="007D74B7"/>
    <w:rsid w:val="007D7884"/>
    <w:rsid w:val="007D7B6B"/>
    <w:rsid w:val="007D7E4B"/>
    <w:rsid w:val="007D7EBB"/>
    <w:rsid w:val="007D7FCB"/>
    <w:rsid w:val="007E027D"/>
    <w:rsid w:val="007E0369"/>
    <w:rsid w:val="007E06FA"/>
    <w:rsid w:val="007E0B96"/>
    <w:rsid w:val="007E0F9C"/>
    <w:rsid w:val="007E11AE"/>
    <w:rsid w:val="007E137E"/>
    <w:rsid w:val="007E1C9C"/>
    <w:rsid w:val="007E2323"/>
    <w:rsid w:val="007E2832"/>
    <w:rsid w:val="007E32F6"/>
    <w:rsid w:val="007E38AB"/>
    <w:rsid w:val="007E3D6E"/>
    <w:rsid w:val="007E3DFD"/>
    <w:rsid w:val="007E3E19"/>
    <w:rsid w:val="007E41B1"/>
    <w:rsid w:val="007E41D5"/>
    <w:rsid w:val="007E4219"/>
    <w:rsid w:val="007E43C9"/>
    <w:rsid w:val="007E46A1"/>
    <w:rsid w:val="007E4860"/>
    <w:rsid w:val="007E49E8"/>
    <w:rsid w:val="007E4E92"/>
    <w:rsid w:val="007E55B9"/>
    <w:rsid w:val="007E55F0"/>
    <w:rsid w:val="007E5A3A"/>
    <w:rsid w:val="007E5A63"/>
    <w:rsid w:val="007E5BB4"/>
    <w:rsid w:val="007E6281"/>
    <w:rsid w:val="007E6498"/>
    <w:rsid w:val="007E6836"/>
    <w:rsid w:val="007E6F85"/>
    <w:rsid w:val="007E70BC"/>
    <w:rsid w:val="007E72B5"/>
    <w:rsid w:val="007E7709"/>
    <w:rsid w:val="007E7790"/>
    <w:rsid w:val="007E77F1"/>
    <w:rsid w:val="007E7871"/>
    <w:rsid w:val="007E7A66"/>
    <w:rsid w:val="007E7E8E"/>
    <w:rsid w:val="007E7EB8"/>
    <w:rsid w:val="007E7F7A"/>
    <w:rsid w:val="007F03B5"/>
    <w:rsid w:val="007F0DA7"/>
    <w:rsid w:val="007F0DB2"/>
    <w:rsid w:val="007F0F04"/>
    <w:rsid w:val="007F0F81"/>
    <w:rsid w:val="007F11AE"/>
    <w:rsid w:val="007F13EB"/>
    <w:rsid w:val="007F1468"/>
    <w:rsid w:val="007F194C"/>
    <w:rsid w:val="007F1BA3"/>
    <w:rsid w:val="007F1BE7"/>
    <w:rsid w:val="007F1FD3"/>
    <w:rsid w:val="007F20A3"/>
    <w:rsid w:val="007F25FE"/>
    <w:rsid w:val="007F2C15"/>
    <w:rsid w:val="007F2C55"/>
    <w:rsid w:val="007F2D60"/>
    <w:rsid w:val="007F300D"/>
    <w:rsid w:val="007F3026"/>
    <w:rsid w:val="007F31A5"/>
    <w:rsid w:val="007F31B2"/>
    <w:rsid w:val="007F3BE3"/>
    <w:rsid w:val="007F403E"/>
    <w:rsid w:val="007F430F"/>
    <w:rsid w:val="007F4493"/>
    <w:rsid w:val="007F4B63"/>
    <w:rsid w:val="007F4CAF"/>
    <w:rsid w:val="007F50BE"/>
    <w:rsid w:val="007F5281"/>
    <w:rsid w:val="007F54E5"/>
    <w:rsid w:val="007F5734"/>
    <w:rsid w:val="007F5988"/>
    <w:rsid w:val="007F59F7"/>
    <w:rsid w:val="007F5C08"/>
    <w:rsid w:val="007F5D4E"/>
    <w:rsid w:val="007F5F30"/>
    <w:rsid w:val="007F5FFA"/>
    <w:rsid w:val="007F6305"/>
    <w:rsid w:val="007F6572"/>
    <w:rsid w:val="007F67FA"/>
    <w:rsid w:val="007F6997"/>
    <w:rsid w:val="007F6BD4"/>
    <w:rsid w:val="007F6E72"/>
    <w:rsid w:val="007F71FA"/>
    <w:rsid w:val="007F72CC"/>
    <w:rsid w:val="007F74B8"/>
    <w:rsid w:val="0080061B"/>
    <w:rsid w:val="00800866"/>
    <w:rsid w:val="00800AB4"/>
    <w:rsid w:val="008012D3"/>
    <w:rsid w:val="008013F9"/>
    <w:rsid w:val="00801501"/>
    <w:rsid w:val="008018D6"/>
    <w:rsid w:val="008018FB"/>
    <w:rsid w:val="008019DA"/>
    <w:rsid w:val="00801C93"/>
    <w:rsid w:val="00801FC7"/>
    <w:rsid w:val="0080208B"/>
    <w:rsid w:val="008020BB"/>
    <w:rsid w:val="0080243B"/>
    <w:rsid w:val="00802CB4"/>
    <w:rsid w:val="008030D0"/>
    <w:rsid w:val="0080310E"/>
    <w:rsid w:val="008031B9"/>
    <w:rsid w:val="008032EF"/>
    <w:rsid w:val="0080352F"/>
    <w:rsid w:val="00803FE0"/>
    <w:rsid w:val="008048F8"/>
    <w:rsid w:val="00804B6F"/>
    <w:rsid w:val="00804D61"/>
    <w:rsid w:val="00805722"/>
    <w:rsid w:val="00805855"/>
    <w:rsid w:val="00805895"/>
    <w:rsid w:val="00805B63"/>
    <w:rsid w:val="0080689B"/>
    <w:rsid w:val="00806D38"/>
    <w:rsid w:val="00806EDA"/>
    <w:rsid w:val="00807272"/>
    <w:rsid w:val="008074CB"/>
    <w:rsid w:val="008077DE"/>
    <w:rsid w:val="0080793E"/>
    <w:rsid w:val="00807EB1"/>
    <w:rsid w:val="0081034B"/>
    <w:rsid w:val="0081041B"/>
    <w:rsid w:val="00810B47"/>
    <w:rsid w:val="00810DD7"/>
    <w:rsid w:val="00811111"/>
    <w:rsid w:val="008112C9"/>
    <w:rsid w:val="008112CE"/>
    <w:rsid w:val="00811C3B"/>
    <w:rsid w:val="00811CBF"/>
    <w:rsid w:val="00812507"/>
    <w:rsid w:val="00812801"/>
    <w:rsid w:val="0081283D"/>
    <w:rsid w:val="0081285C"/>
    <w:rsid w:val="008129CC"/>
    <w:rsid w:val="00812ABF"/>
    <w:rsid w:val="00813561"/>
    <w:rsid w:val="008136D8"/>
    <w:rsid w:val="008136E3"/>
    <w:rsid w:val="00813702"/>
    <w:rsid w:val="008139B5"/>
    <w:rsid w:val="00813E32"/>
    <w:rsid w:val="00813E51"/>
    <w:rsid w:val="00813FB9"/>
    <w:rsid w:val="00814045"/>
    <w:rsid w:val="008144F2"/>
    <w:rsid w:val="00814A32"/>
    <w:rsid w:val="00814B3A"/>
    <w:rsid w:val="00814D14"/>
    <w:rsid w:val="00814E00"/>
    <w:rsid w:val="00814F6E"/>
    <w:rsid w:val="00815178"/>
    <w:rsid w:val="0081539C"/>
    <w:rsid w:val="00815908"/>
    <w:rsid w:val="00815C51"/>
    <w:rsid w:val="008162E7"/>
    <w:rsid w:val="00816690"/>
    <w:rsid w:val="0081695E"/>
    <w:rsid w:val="008174E3"/>
    <w:rsid w:val="008175D4"/>
    <w:rsid w:val="00817E7B"/>
    <w:rsid w:val="0082031E"/>
    <w:rsid w:val="00820698"/>
    <w:rsid w:val="0082075C"/>
    <w:rsid w:val="0082099E"/>
    <w:rsid w:val="00820F8B"/>
    <w:rsid w:val="00821A74"/>
    <w:rsid w:val="00821DCE"/>
    <w:rsid w:val="008221B3"/>
    <w:rsid w:val="0082259E"/>
    <w:rsid w:val="008225F5"/>
    <w:rsid w:val="00822645"/>
    <w:rsid w:val="00822CBE"/>
    <w:rsid w:val="00822DC7"/>
    <w:rsid w:val="00822DD1"/>
    <w:rsid w:val="00823317"/>
    <w:rsid w:val="00823378"/>
    <w:rsid w:val="008236D2"/>
    <w:rsid w:val="00823898"/>
    <w:rsid w:val="00823BEA"/>
    <w:rsid w:val="00824580"/>
    <w:rsid w:val="0082481F"/>
    <w:rsid w:val="0082499E"/>
    <w:rsid w:val="00824D20"/>
    <w:rsid w:val="00824FA6"/>
    <w:rsid w:val="008251FE"/>
    <w:rsid w:val="00825281"/>
    <w:rsid w:val="00825358"/>
    <w:rsid w:val="008253AE"/>
    <w:rsid w:val="008254BC"/>
    <w:rsid w:val="00825788"/>
    <w:rsid w:val="0082597F"/>
    <w:rsid w:val="00825A34"/>
    <w:rsid w:val="00825AA0"/>
    <w:rsid w:val="00825F5F"/>
    <w:rsid w:val="00825FB5"/>
    <w:rsid w:val="00825FD2"/>
    <w:rsid w:val="0082647A"/>
    <w:rsid w:val="008266F6"/>
    <w:rsid w:val="008268E8"/>
    <w:rsid w:val="00826A76"/>
    <w:rsid w:val="00826BED"/>
    <w:rsid w:val="00826C2C"/>
    <w:rsid w:val="00826C97"/>
    <w:rsid w:val="00826E87"/>
    <w:rsid w:val="00826EBC"/>
    <w:rsid w:val="00826EC3"/>
    <w:rsid w:val="00826F60"/>
    <w:rsid w:val="008271AE"/>
    <w:rsid w:val="00827E49"/>
    <w:rsid w:val="008302C9"/>
    <w:rsid w:val="00830849"/>
    <w:rsid w:val="00830B97"/>
    <w:rsid w:val="00830FE3"/>
    <w:rsid w:val="0083139C"/>
    <w:rsid w:val="00831663"/>
    <w:rsid w:val="0083172C"/>
    <w:rsid w:val="008326C4"/>
    <w:rsid w:val="00832A94"/>
    <w:rsid w:val="00832D47"/>
    <w:rsid w:val="0083384E"/>
    <w:rsid w:val="00833870"/>
    <w:rsid w:val="008338D5"/>
    <w:rsid w:val="00833BB8"/>
    <w:rsid w:val="00833BBB"/>
    <w:rsid w:val="00833D06"/>
    <w:rsid w:val="008342B7"/>
    <w:rsid w:val="00834427"/>
    <w:rsid w:val="00834575"/>
    <w:rsid w:val="00834986"/>
    <w:rsid w:val="00834C42"/>
    <w:rsid w:val="00835247"/>
    <w:rsid w:val="008353E0"/>
    <w:rsid w:val="00835A4A"/>
    <w:rsid w:val="00835C4E"/>
    <w:rsid w:val="00836419"/>
    <w:rsid w:val="00836676"/>
    <w:rsid w:val="00836851"/>
    <w:rsid w:val="00836A7F"/>
    <w:rsid w:val="00836DFF"/>
    <w:rsid w:val="00836EC0"/>
    <w:rsid w:val="00837015"/>
    <w:rsid w:val="0083729A"/>
    <w:rsid w:val="00837485"/>
    <w:rsid w:val="0084049F"/>
    <w:rsid w:val="00840623"/>
    <w:rsid w:val="00840EAA"/>
    <w:rsid w:val="00840F15"/>
    <w:rsid w:val="00841399"/>
    <w:rsid w:val="00841A9C"/>
    <w:rsid w:val="00842095"/>
    <w:rsid w:val="008420F6"/>
    <w:rsid w:val="0084216D"/>
    <w:rsid w:val="008421A1"/>
    <w:rsid w:val="00842406"/>
    <w:rsid w:val="008424D7"/>
    <w:rsid w:val="00842642"/>
    <w:rsid w:val="00843007"/>
    <w:rsid w:val="0084339A"/>
    <w:rsid w:val="0084361B"/>
    <w:rsid w:val="0084392D"/>
    <w:rsid w:val="00843996"/>
    <w:rsid w:val="008439CE"/>
    <w:rsid w:val="008441D7"/>
    <w:rsid w:val="008444FF"/>
    <w:rsid w:val="00844A00"/>
    <w:rsid w:val="00844C64"/>
    <w:rsid w:val="00845622"/>
    <w:rsid w:val="0084582C"/>
    <w:rsid w:val="00845AC2"/>
    <w:rsid w:val="00845B49"/>
    <w:rsid w:val="00845BE2"/>
    <w:rsid w:val="00845FD6"/>
    <w:rsid w:val="008461E0"/>
    <w:rsid w:val="00846215"/>
    <w:rsid w:val="00846B35"/>
    <w:rsid w:val="00846F8D"/>
    <w:rsid w:val="00847175"/>
    <w:rsid w:val="0084735A"/>
    <w:rsid w:val="0084736F"/>
    <w:rsid w:val="008503B6"/>
    <w:rsid w:val="008508D4"/>
    <w:rsid w:val="008515D6"/>
    <w:rsid w:val="0085162F"/>
    <w:rsid w:val="00851753"/>
    <w:rsid w:val="00851A7E"/>
    <w:rsid w:val="00851C74"/>
    <w:rsid w:val="00852288"/>
    <w:rsid w:val="00852471"/>
    <w:rsid w:val="00852525"/>
    <w:rsid w:val="00852842"/>
    <w:rsid w:val="00852982"/>
    <w:rsid w:val="00852C15"/>
    <w:rsid w:val="00852E85"/>
    <w:rsid w:val="00852F15"/>
    <w:rsid w:val="00853152"/>
    <w:rsid w:val="008531BD"/>
    <w:rsid w:val="00853221"/>
    <w:rsid w:val="00853665"/>
    <w:rsid w:val="008538A8"/>
    <w:rsid w:val="00853976"/>
    <w:rsid w:val="00853AF9"/>
    <w:rsid w:val="00854209"/>
    <w:rsid w:val="00854243"/>
    <w:rsid w:val="00854258"/>
    <w:rsid w:val="00854296"/>
    <w:rsid w:val="00854524"/>
    <w:rsid w:val="008546F2"/>
    <w:rsid w:val="00854808"/>
    <w:rsid w:val="00854F9D"/>
    <w:rsid w:val="008557B6"/>
    <w:rsid w:val="008558FC"/>
    <w:rsid w:val="00855DA6"/>
    <w:rsid w:val="00856066"/>
    <w:rsid w:val="00856407"/>
    <w:rsid w:val="00856462"/>
    <w:rsid w:val="00856F96"/>
    <w:rsid w:val="00857331"/>
    <w:rsid w:val="00857585"/>
    <w:rsid w:val="00857D66"/>
    <w:rsid w:val="0086031C"/>
    <w:rsid w:val="00860499"/>
    <w:rsid w:val="0086060F"/>
    <w:rsid w:val="00860778"/>
    <w:rsid w:val="00860BDD"/>
    <w:rsid w:val="00860C99"/>
    <w:rsid w:val="00860D27"/>
    <w:rsid w:val="008611AF"/>
    <w:rsid w:val="0086174D"/>
    <w:rsid w:val="00861838"/>
    <w:rsid w:val="00861E0A"/>
    <w:rsid w:val="00861F6F"/>
    <w:rsid w:val="00862351"/>
    <w:rsid w:val="00862A22"/>
    <w:rsid w:val="00862A8D"/>
    <w:rsid w:val="00863028"/>
    <w:rsid w:val="008630E4"/>
    <w:rsid w:val="0086325C"/>
    <w:rsid w:val="0086339B"/>
    <w:rsid w:val="00863959"/>
    <w:rsid w:val="00863B52"/>
    <w:rsid w:val="008644EC"/>
    <w:rsid w:val="00864587"/>
    <w:rsid w:val="0086469A"/>
    <w:rsid w:val="008648DA"/>
    <w:rsid w:val="00865066"/>
    <w:rsid w:val="00865142"/>
    <w:rsid w:val="00865431"/>
    <w:rsid w:val="008658A1"/>
    <w:rsid w:val="00865977"/>
    <w:rsid w:val="00865CAD"/>
    <w:rsid w:val="0086612D"/>
    <w:rsid w:val="00866201"/>
    <w:rsid w:val="00866375"/>
    <w:rsid w:val="008665BF"/>
    <w:rsid w:val="0086700A"/>
    <w:rsid w:val="00867212"/>
    <w:rsid w:val="00867477"/>
    <w:rsid w:val="00867745"/>
    <w:rsid w:val="0086786E"/>
    <w:rsid w:val="00867C86"/>
    <w:rsid w:val="008704CA"/>
    <w:rsid w:val="008705CC"/>
    <w:rsid w:val="0087106E"/>
    <w:rsid w:val="00871334"/>
    <w:rsid w:val="008716F6"/>
    <w:rsid w:val="00871777"/>
    <w:rsid w:val="00871948"/>
    <w:rsid w:val="00871B83"/>
    <w:rsid w:val="008721BA"/>
    <w:rsid w:val="00872952"/>
    <w:rsid w:val="00873A18"/>
    <w:rsid w:val="00873C5E"/>
    <w:rsid w:val="00873D0D"/>
    <w:rsid w:val="00873D7B"/>
    <w:rsid w:val="00873E90"/>
    <w:rsid w:val="0087405D"/>
    <w:rsid w:val="008741DA"/>
    <w:rsid w:val="008742FA"/>
    <w:rsid w:val="008745E4"/>
    <w:rsid w:val="00874BE5"/>
    <w:rsid w:val="00875043"/>
    <w:rsid w:val="008751B5"/>
    <w:rsid w:val="00875A34"/>
    <w:rsid w:val="00875ED2"/>
    <w:rsid w:val="008760EB"/>
    <w:rsid w:val="00876AE0"/>
    <w:rsid w:val="00876D55"/>
    <w:rsid w:val="00876DD0"/>
    <w:rsid w:val="00876E30"/>
    <w:rsid w:val="00877612"/>
    <w:rsid w:val="00877724"/>
    <w:rsid w:val="00877983"/>
    <w:rsid w:val="00880187"/>
    <w:rsid w:val="00880598"/>
    <w:rsid w:val="00880C35"/>
    <w:rsid w:val="00880FC6"/>
    <w:rsid w:val="0088107E"/>
    <w:rsid w:val="00881962"/>
    <w:rsid w:val="00881D2F"/>
    <w:rsid w:val="00881E4C"/>
    <w:rsid w:val="00882439"/>
    <w:rsid w:val="00882B59"/>
    <w:rsid w:val="0088323C"/>
    <w:rsid w:val="00883305"/>
    <w:rsid w:val="00883352"/>
    <w:rsid w:val="00883376"/>
    <w:rsid w:val="00883CF6"/>
    <w:rsid w:val="00884067"/>
    <w:rsid w:val="008840CE"/>
    <w:rsid w:val="008842E0"/>
    <w:rsid w:val="00884690"/>
    <w:rsid w:val="0088471D"/>
    <w:rsid w:val="00884D54"/>
    <w:rsid w:val="0088531B"/>
    <w:rsid w:val="008854C9"/>
    <w:rsid w:val="008856FD"/>
    <w:rsid w:val="0088599A"/>
    <w:rsid w:val="00885B05"/>
    <w:rsid w:val="00885C90"/>
    <w:rsid w:val="00885DDD"/>
    <w:rsid w:val="00885FC6"/>
    <w:rsid w:val="0088600F"/>
    <w:rsid w:val="0088621E"/>
    <w:rsid w:val="0088622A"/>
    <w:rsid w:val="0088659A"/>
    <w:rsid w:val="00886614"/>
    <w:rsid w:val="00886847"/>
    <w:rsid w:val="00886903"/>
    <w:rsid w:val="00886ABA"/>
    <w:rsid w:val="00886B98"/>
    <w:rsid w:val="00886C33"/>
    <w:rsid w:val="00886D2A"/>
    <w:rsid w:val="0088716D"/>
    <w:rsid w:val="008875C9"/>
    <w:rsid w:val="0089024E"/>
    <w:rsid w:val="00890BDC"/>
    <w:rsid w:val="00890C03"/>
    <w:rsid w:val="00891072"/>
    <w:rsid w:val="008913B4"/>
    <w:rsid w:val="008914D6"/>
    <w:rsid w:val="00891514"/>
    <w:rsid w:val="00891704"/>
    <w:rsid w:val="00891727"/>
    <w:rsid w:val="00891896"/>
    <w:rsid w:val="008919D2"/>
    <w:rsid w:val="00891DD4"/>
    <w:rsid w:val="00891F32"/>
    <w:rsid w:val="008923B8"/>
    <w:rsid w:val="0089242E"/>
    <w:rsid w:val="0089281A"/>
    <w:rsid w:val="00892FE3"/>
    <w:rsid w:val="00893338"/>
    <w:rsid w:val="008936A3"/>
    <w:rsid w:val="008938EB"/>
    <w:rsid w:val="00893B6B"/>
    <w:rsid w:val="00893EC5"/>
    <w:rsid w:val="00894349"/>
    <w:rsid w:val="008946E0"/>
    <w:rsid w:val="00895146"/>
    <w:rsid w:val="00895234"/>
    <w:rsid w:val="0089526B"/>
    <w:rsid w:val="0089568C"/>
    <w:rsid w:val="00895975"/>
    <w:rsid w:val="00895A87"/>
    <w:rsid w:val="0089649B"/>
    <w:rsid w:val="0089694C"/>
    <w:rsid w:val="008969F1"/>
    <w:rsid w:val="00896AED"/>
    <w:rsid w:val="00896C0B"/>
    <w:rsid w:val="00896D48"/>
    <w:rsid w:val="00896E37"/>
    <w:rsid w:val="00897158"/>
    <w:rsid w:val="008974A1"/>
    <w:rsid w:val="008978C9"/>
    <w:rsid w:val="008978E7"/>
    <w:rsid w:val="00897AE4"/>
    <w:rsid w:val="00897B83"/>
    <w:rsid w:val="008A0182"/>
    <w:rsid w:val="008A01FC"/>
    <w:rsid w:val="008A0436"/>
    <w:rsid w:val="008A0477"/>
    <w:rsid w:val="008A04F0"/>
    <w:rsid w:val="008A0753"/>
    <w:rsid w:val="008A0850"/>
    <w:rsid w:val="008A0A0C"/>
    <w:rsid w:val="008A1140"/>
    <w:rsid w:val="008A12E2"/>
    <w:rsid w:val="008A1591"/>
    <w:rsid w:val="008A1987"/>
    <w:rsid w:val="008A19CC"/>
    <w:rsid w:val="008A1A1A"/>
    <w:rsid w:val="008A1A66"/>
    <w:rsid w:val="008A1CA8"/>
    <w:rsid w:val="008A1E79"/>
    <w:rsid w:val="008A24F2"/>
    <w:rsid w:val="008A2A35"/>
    <w:rsid w:val="008A2D1F"/>
    <w:rsid w:val="008A2E5D"/>
    <w:rsid w:val="008A364C"/>
    <w:rsid w:val="008A39BE"/>
    <w:rsid w:val="008A39EE"/>
    <w:rsid w:val="008A3C4F"/>
    <w:rsid w:val="008A3E3E"/>
    <w:rsid w:val="008A41EB"/>
    <w:rsid w:val="008A4381"/>
    <w:rsid w:val="008A43B5"/>
    <w:rsid w:val="008A4412"/>
    <w:rsid w:val="008A4503"/>
    <w:rsid w:val="008A45DA"/>
    <w:rsid w:val="008A4ABC"/>
    <w:rsid w:val="008A551F"/>
    <w:rsid w:val="008A5654"/>
    <w:rsid w:val="008A5BBE"/>
    <w:rsid w:val="008A5F93"/>
    <w:rsid w:val="008A617C"/>
    <w:rsid w:val="008A6B5C"/>
    <w:rsid w:val="008A6DAE"/>
    <w:rsid w:val="008A6DD1"/>
    <w:rsid w:val="008A7070"/>
    <w:rsid w:val="008A72DA"/>
    <w:rsid w:val="008A731B"/>
    <w:rsid w:val="008A7457"/>
    <w:rsid w:val="008A79A5"/>
    <w:rsid w:val="008A79EA"/>
    <w:rsid w:val="008A7A2A"/>
    <w:rsid w:val="008A7ADF"/>
    <w:rsid w:val="008A7CB6"/>
    <w:rsid w:val="008A7DDB"/>
    <w:rsid w:val="008B03FF"/>
    <w:rsid w:val="008B0DBF"/>
    <w:rsid w:val="008B1734"/>
    <w:rsid w:val="008B1F14"/>
    <w:rsid w:val="008B2094"/>
    <w:rsid w:val="008B22BB"/>
    <w:rsid w:val="008B2398"/>
    <w:rsid w:val="008B2736"/>
    <w:rsid w:val="008B2AB8"/>
    <w:rsid w:val="008B2D94"/>
    <w:rsid w:val="008B2F75"/>
    <w:rsid w:val="008B3058"/>
    <w:rsid w:val="008B317C"/>
    <w:rsid w:val="008B3317"/>
    <w:rsid w:val="008B33E6"/>
    <w:rsid w:val="008B3B9F"/>
    <w:rsid w:val="008B3E95"/>
    <w:rsid w:val="008B3FF6"/>
    <w:rsid w:val="008B4237"/>
    <w:rsid w:val="008B42CA"/>
    <w:rsid w:val="008B48CC"/>
    <w:rsid w:val="008B4998"/>
    <w:rsid w:val="008B4E65"/>
    <w:rsid w:val="008B51B1"/>
    <w:rsid w:val="008B52FA"/>
    <w:rsid w:val="008B5556"/>
    <w:rsid w:val="008B5928"/>
    <w:rsid w:val="008B60EF"/>
    <w:rsid w:val="008B6430"/>
    <w:rsid w:val="008B6ABE"/>
    <w:rsid w:val="008B6FD1"/>
    <w:rsid w:val="008B7153"/>
    <w:rsid w:val="008B71CC"/>
    <w:rsid w:val="008B71FB"/>
    <w:rsid w:val="008B77E7"/>
    <w:rsid w:val="008B7F5F"/>
    <w:rsid w:val="008C0085"/>
    <w:rsid w:val="008C00BA"/>
    <w:rsid w:val="008C0198"/>
    <w:rsid w:val="008C01B8"/>
    <w:rsid w:val="008C0596"/>
    <w:rsid w:val="008C06B8"/>
    <w:rsid w:val="008C0898"/>
    <w:rsid w:val="008C0948"/>
    <w:rsid w:val="008C0F77"/>
    <w:rsid w:val="008C195D"/>
    <w:rsid w:val="008C1BAF"/>
    <w:rsid w:val="008C1CAE"/>
    <w:rsid w:val="008C20EE"/>
    <w:rsid w:val="008C2373"/>
    <w:rsid w:val="008C2436"/>
    <w:rsid w:val="008C28BC"/>
    <w:rsid w:val="008C316D"/>
    <w:rsid w:val="008C3723"/>
    <w:rsid w:val="008C3BB7"/>
    <w:rsid w:val="008C40AA"/>
    <w:rsid w:val="008C416E"/>
    <w:rsid w:val="008C4286"/>
    <w:rsid w:val="008C4517"/>
    <w:rsid w:val="008C455F"/>
    <w:rsid w:val="008C4866"/>
    <w:rsid w:val="008C48D4"/>
    <w:rsid w:val="008C4BE6"/>
    <w:rsid w:val="008C4C1E"/>
    <w:rsid w:val="008C4C4D"/>
    <w:rsid w:val="008C536C"/>
    <w:rsid w:val="008C57E4"/>
    <w:rsid w:val="008C5D0F"/>
    <w:rsid w:val="008C5EF1"/>
    <w:rsid w:val="008C6011"/>
    <w:rsid w:val="008C633E"/>
    <w:rsid w:val="008C6488"/>
    <w:rsid w:val="008C6A48"/>
    <w:rsid w:val="008C6AF8"/>
    <w:rsid w:val="008C727F"/>
    <w:rsid w:val="008C753B"/>
    <w:rsid w:val="008C77E3"/>
    <w:rsid w:val="008C7A07"/>
    <w:rsid w:val="008C7A19"/>
    <w:rsid w:val="008C7F39"/>
    <w:rsid w:val="008D02B3"/>
    <w:rsid w:val="008D082D"/>
    <w:rsid w:val="008D08FE"/>
    <w:rsid w:val="008D0C77"/>
    <w:rsid w:val="008D0D29"/>
    <w:rsid w:val="008D0F9F"/>
    <w:rsid w:val="008D0FB2"/>
    <w:rsid w:val="008D1029"/>
    <w:rsid w:val="008D1AB1"/>
    <w:rsid w:val="008D1C0D"/>
    <w:rsid w:val="008D1C90"/>
    <w:rsid w:val="008D1C9E"/>
    <w:rsid w:val="008D1E24"/>
    <w:rsid w:val="008D1E80"/>
    <w:rsid w:val="008D2066"/>
    <w:rsid w:val="008D206E"/>
    <w:rsid w:val="008D22AD"/>
    <w:rsid w:val="008D245C"/>
    <w:rsid w:val="008D2AAD"/>
    <w:rsid w:val="008D2CA4"/>
    <w:rsid w:val="008D2CAF"/>
    <w:rsid w:val="008D2D8F"/>
    <w:rsid w:val="008D2DA7"/>
    <w:rsid w:val="008D3113"/>
    <w:rsid w:val="008D3460"/>
    <w:rsid w:val="008D3FE0"/>
    <w:rsid w:val="008D4620"/>
    <w:rsid w:val="008D48EE"/>
    <w:rsid w:val="008D4C82"/>
    <w:rsid w:val="008D51B9"/>
    <w:rsid w:val="008D532B"/>
    <w:rsid w:val="008D55CA"/>
    <w:rsid w:val="008D5E6A"/>
    <w:rsid w:val="008D6373"/>
    <w:rsid w:val="008D6374"/>
    <w:rsid w:val="008D66B7"/>
    <w:rsid w:val="008D683C"/>
    <w:rsid w:val="008D6CE1"/>
    <w:rsid w:val="008D6F90"/>
    <w:rsid w:val="008D7119"/>
    <w:rsid w:val="008D73FC"/>
    <w:rsid w:val="008D74E2"/>
    <w:rsid w:val="008D756A"/>
    <w:rsid w:val="008D79AE"/>
    <w:rsid w:val="008D7A51"/>
    <w:rsid w:val="008D7AFB"/>
    <w:rsid w:val="008D7F50"/>
    <w:rsid w:val="008D7FDD"/>
    <w:rsid w:val="008E0287"/>
    <w:rsid w:val="008E06EE"/>
    <w:rsid w:val="008E08B1"/>
    <w:rsid w:val="008E0D44"/>
    <w:rsid w:val="008E0D78"/>
    <w:rsid w:val="008E0F93"/>
    <w:rsid w:val="008E1126"/>
    <w:rsid w:val="008E12CA"/>
    <w:rsid w:val="008E1570"/>
    <w:rsid w:val="008E17B8"/>
    <w:rsid w:val="008E188E"/>
    <w:rsid w:val="008E1ADF"/>
    <w:rsid w:val="008E1BE3"/>
    <w:rsid w:val="008E2224"/>
    <w:rsid w:val="008E2234"/>
    <w:rsid w:val="008E24F8"/>
    <w:rsid w:val="008E3A05"/>
    <w:rsid w:val="008E3FCF"/>
    <w:rsid w:val="008E45DA"/>
    <w:rsid w:val="008E47DB"/>
    <w:rsid w:val="008E56DB"/>
    <w:rsid w:val="008E5AE3"/>
    <w:rsid w:val="008E5CD7"/>
    <w:rsid w:val="008E67D5"/>
    <w:rsid w:val="008E69E2"/>
    <w:rsid w:val="008E6F96"/>
    <w:rsid w:val="008E7367"/>
    <w:rsid w:val="008E7A32"/>
    <w:rsid w:val="008E7CE1"/>
    <w:rsid w:val="008E7D86"/>
    <w:rsid w:val="008F04AC"/>
    <w:rsid w:val="008F05D4"/>
    <w:rsid w:val="008F0691"/>
    <w:rsid w:val="008F0B1C"/>
    <w:rsid w:val="008F1D24"/>
    <w:rsid w:val="008F21C7"/>
    <w:rsid w:val="008F25D6"/>
    <w:rsid w:val="008F2CDE"/>
    <w:rsid w:val="008F35AB"/>
    <w:rsid w:val="008F377D"/>
    <w:rsid w:val="008F3838"/>
    <w:rsid w:val="008F386A"/>
    <w:rsid w:val="008F3AA7"/>
    <w:rsid w:val="008F4404"/>
    <w:rsid w:val="008F45E5"/>
    <w:rsid w:val="008F490B"/>
    <w:rsid w:val="008F4A8B"/>
    <w:rsid w:val="008F4EFA"/>
    <w:rsid w:val="008F520A"/>
    <w:rsid w:val="008F563F"/>
    <w:rsid w:val="008F570A"/>
    <w:rsid w:val="008F5785"/>
    <w:rsid w:val="008F57E6"/>
    <w:rsid w:val="008F5890"/>
    <w:rsid w:val="008F5901"/>
    <w:rsid w:val="008F5979"/>
    <w:rsid w:val="008F59C0"/>
    <w:rsid w:val="008F6037"/>
    <w:rsid w:val="008F6722"/>
    <w:rsid w:val="008F69D0"/>
    <w:rsid w:val="008F6BA7"/>
    <w:rsid w:val="008F6CBA"/>
    <w:rsid w:val="008F7136"/>
    <w:rsid w:val="008F7341"/>
    <w:rsid w:val="008F7E0E"/>
    <w:rsid w:val="008F7E5A"/>
    <w:rsid w:val="00900469"/>
    <w:rsid w:val="0090072E"/>
    <w:rsid w:val="00900899"/>
    <w:rsid w:val="0090090A"/>
    <w:rsid w:val="00900B92"/>
    <w:rsid w:val="00901AD8"/>
    <w:rsid w:val="009024AA"/>
    <w:rsid w:val="00902549"/>
    <w:rsid w:val="00902AB3"/>
    <w:rsid w:val="00902B96"/>
    <w:rsid w:val="00902EDB"/>
    <w:rsid w:val="009032B0"/>
    <w:rsid w:val="0090364B"/>
    <w:rsid w:val="009038C8"/>
    <w:rsid w:val="00903A73"/>
    <w:rsid w:val="00903BC3"/>
    <w:rsid w:val="00903E6E"/>
    <w:rsid w:val="00904A8B"/>
    <w:rsid w:val="00904FF4"/>
    <w:rsid w:val="00905024"/>
    <w:rsid w:val="00905505"/>
    <w:rsid w:val="00905938"/>
    <w:rsid w:val="009059D2"/>
    <w:rsid w:val="00905F3D"/>
    <w:rsid w:val="009062FC"/>
    <w:rsid w:val="00906B4F"/>
    <w:rsid w:val="00906E6B"/>
    <w:rsid w:val="009078C9"/>
    <w:rsid w:val="00907B11"/>
    <w:rsid w:val="00907C08"/>
    <w:rsid w:val="00907DC3"/>
    <w:rsid w:val="00907DE4"/>
    <w:rsid w:val="00907E42"/>
    <w:rsid w:val="0091028A"/>
    <w:rsid w:val="00910627"/>
    <w:rsid w:val="0091080A"/>
    <w:rsid w:val="009108B6"/>
    <w:rsid w:val="00910B35"/>
    <w:rsid w:val="00910CE2"/>
    <w:rsid w:val="00910FF8"/>
    <w:rsid w:val="0091114B"/>
    <w:rsid w:val="00911396"/>
    <w:rsid w:val="00911598"/>
    <w:rsid w:val="0091159A"/>
    <w:rsid w:val="00911603"/>
    <w:rsid w:val="00911C81"/>
    <w:rsid w:val="00911D0E"/>
    <w:rsid w:val="00911E9E"/>
    <w:rsid w:val="00912361"/>
    <w:rsid w:val="00912476"/>
    <w:rsid w:val="009125A9"/>
    <w:rsid w:val="009126E6"/>
    <w:rsid w:val="00912807"/>
    <w:rsid w:val="00912A58"/>
    <w:rsid w:val="00912C2A"/>
    <w:rsid w:val="00912FD2"/>
    <w:rsid w:val="009130D1"/>
    <w:rsid w:val="00913E39"/>
    <w:rsid w:val="009143A4"/>
    <w:rsid w:val="009147C8"/>
    <w:rsid w:val="00914A6F"/>
    <w:rsid w:val="00914D75"/>
    <w:rsid w:val="009155DA"/>
    <w:rsid w:val="0091571D"/>
    <w:rsid w:val="009162DB"/>
    <w:rsid w:val="00916481"/>
    <w:rsid w:val="00916636"/>
    <w:rsid w:val="0091673A"/>
    <w:rsid w:val="00916C80"/>
    <w:rsid w:val="009172B9"/>
    <w:rsid w:val="0091747B"/>
    <w:rsid w:val="009175B0"/>
    <w:rsid w:val="00917925"/>
    <w:rsid w:val="00917C83"/>
    <w:rsid w:val="00917DB5"/>
    <w:rsid w:val="009203EB"/>
    <w:rsid w:val="00920418"/>
    <w:rsid w:val="009206AD"/>
    <w:rsid w:val="00920978"/>
    <w:rsid w:val="00920A0B"/>
    <w:rsid w:val="00920A97"/>
    <w:rsid w:val="00920E12"/>
    <w:rsid w:val="0092149B"/>
    <w:rsid w:val="009229A0"/>
    <w:rsid w:val="00922A46"/>
    <w:rsid w:val="0092318D"/>
    <w:rsid w:val="00923328"/>
    <w:rsid w:val="00923422"/>
    <w:rsid w:val="00923C3F"/>
    <w:rsid w:val="00923DCF"/>
    <w:rsid w:val="00923EC8"/>
    <w:rsid w:val="00924772"/>
    <w:rsid w:val="009247A1"/>
    <w:rsid w:val="00924941"/>
    <w:rsid w:val="00925160"/>
    <w:rsid w:val="00925394"/>
    <w:rsid w:val="00925761"/>
    <w:rsid w:val="00925947"/>
    <w:rsid w:val="00925B65"/>
    <w:rsid w:val="00925DC5"/>
    <w:rsid w:val="009265FC"/>
    <w:rsid w:val="00926AA8"/>
    <w:rsid w:val="00926C4B"/>
    <w:rsid w:val="00926CAD"/>
    <w:rsid w:val="009276CF"/>
    <w:rsid w:val="0092773B"/>
    <w:rsid w:val="00927D86"/>
    <w:rsid w:val="00927F03"/>
    <w:rsid w:val="00930371"/>
    <w:rsid w:val="009305DA"/>
    <w:rsid w:val="00930675"/>
    <w:rsid w:val="0093092A"/>
    <w:rsid w:val="00930A26"/>
    <w:rsid w:val="00930B1F"/>
    <w:rsid w:val="00930CA7"/>
    <w:rsid w:val="00930E7E"/>
    <w:rsid w:val="00931297"/>
    <w:rsid w:val="009315F0"/>
    <w:rsid w:val="009317F7"/>
    <w:rsid w:val="009318F1"/>
    <w:rsid w:val="00931CC8"/>
    <w:rsid w:val="009322F3"/>
    <w:rsid w:val="00932320"/>
    <w:rsid w:val="00932582"/>
    <w:rsid w:val="00932B37"/>
    <w:rsid w:val="00932B8A"/>
    <w:rsid w:val="00932F70"/>
    <w:rsid w:val="009330A7"/>
    <w:rsid w:val="009336AD"/>
    <w:rsid w:val="0093387F"/>
    <w:rsid w:val="00933AB7"/>
    <w:rsid w:val="00934078"/>
    <w:rsid w:val="00934323"/>
    <w:rsid w:val="009344F9"/>
    <w:rsid w:val="0093457C"/>
    <w:rsid w:val="00934A15"/>
    <w:rsid w:val="00934A45"/>
    <w:rsid w:val="00934C27"/>
    <w:rsid w:val="00934C55"/>
    <w:rsid w:val="009350E2"/>
    <w:rsid w:val="00935566"/>
    <w:rsid w:val="00935B17"/>
    <w:rsid w:val="00935BF1"/>
    <w:rsid w:val="00936034"/>
    <w:rsid w:val="0093640A"/>
    <w:rsid w:val="0093643D"/>
    <w:rsid w:val="009364E0"/>
    <w:rsid w:val="0093667B"/>
    <w:rsid w:val="009368AA"/>
    <w:rsid w:val="00936CF4"/>
    <w:rsid w:val="00936DA4"/>
    <w:rsid w:val="00936DE0"/>
    <w:rsid w:val="00936F40"/>
    <w:rsid w:val="00937441"/>
    <w:rsid w:val="009377AD"/>
    <w:rsid w:val="009377B5"/>
    <w:rsid w:val="009377D8"/>
    <w:rsid w:val="00937837"/>
    <w:rsid w:val="00937982"/>
    <w:rsid w:val="00937A8C"/>
    <w:rsid w:val="00937DFB"/>
    <w:rsid w:val="00937E20"/>
    <w:rsid w:val="00941038"/>
    <w:rsid w:val="00941257"/>
    <w:rsid w:val="0094151D"/>
    <w:rsid w:val="0094178A"/>
    <w:rsid w:val="00941945"/>
    <w:rsid w:val="00941C67"/>
    <w:rsid w:val="00941EF5"/>
    <w:rsid w:val="009421C7"/>
    <w:rsid w:val="0094248E"/>
    <w:rsid w:val="0094254B"/>
    <w:rsid w:val="00942C1A"/>
    <w:rsid w:val="00942C2F"/>
    <w:rsid w:val="0094317E"/>
    <w:rsid w:val="009433FE"/>
    <w:rsid w:val="00943403"/>
    <w:rsid w:val="009434F2"/>
    <w:rsid w:val="00943A6C"/>
    <w:rsid w:val="00943C46"/>
    <w:rsid w:val="00943E0B"/>
    <w:rsid w:val="00943EAE"/>
    <w:rsid w:val="00944022"/>
    <w:rsid w:val="00944163"/>
    <w:rsid w:val="009441D6"/>
    <w:rsid w:val="009442A0"/>
    <w:rsid w:val="009442EF"/>
    <w:rsid w:val="009446B0"/>
    <w:rsid w:val="00944CCB"/>
    <w:rsid w:val="0094528D"/>
    <w:rsid w:val="009455C8"/>
    <w:rsid w:val="00945ACF"/>
    <w:rsid w:val="00945D67"/>
    <w:rsid w:val="00945DC3"/>
    <w:rsid w:val="00946010"/>
    <w:rsid w:val="00946243"/>
    <w:rsid w:val="009463B9"/>
    <w:rsid w:val="009471B9"/>
    <w:rsid w:val="009477DE"/>
    <w:rsid w:val="00947815"/>
    <w:rsid w:val="009479A9"/>
    <w:rsid w:val="00947D59"/>
    <w:rsid w:val="00947E82"/>
    <w:rsid w:val="00950A2C"/>
    <w:rsid w:val="00950C93"/>
    <w:rsid w:val="009510DF"/>
    <w:rsid w:val="00951303"/>
    <w:rsid w:val="00951BDE"/>
    <w:rsid w:val="00952654"/>
    <w:rsid w:val="009527E8"/>
    <w:rsid w:val="00952897"/>
    <w:rsid w:val="00952D50"/>
    <w:rsid w:val="00952D5E"/>
    <w:rsid w:val="00952DD5"/>
    <w:rsid w:val="009530E9"/>
    <w:rsid w:val="009531E1"/>
    <w:rsid w:val="00953225"/>
    <w:rsid w:val="009533EE"/>
    <w:rsid w:val="0095396B"/>
    <w:rsid w:val="009539EA"/>
    <w:rsid w:val="00953AC6"/>
    <w:rsid w:val="0095408B"/>
    <w:rsid w:val="009543BC"/>
    <w:rsid w:val="0095458C"/>
    <w:rsid w:val="00954DAD"/>
    <w:rsid w:val="00955260"/>
    <w:rsid w:val="00956099"/>
    <w:rsid w:val="00956770"/>
    <w:rsid w:val="00956CFD"/>
    <w:rsid w:val="00956F00"/>
    <w:rsid w:val="00957110"/>
    <w:rsid w:val="009571FF"/>
    <w:rsid w:val="009574F3"/>
    <w:rsid w:val="009575BC"/>
    <w:rsid w:val="00957A43"/>
    <w:rsid w:val="00957ADF"/>
    <w:rsid w:val="00957BD0"/>
    <w:rsid w:val="00957D2E"/>
    <w:rsid w:val="00960644"/>
    <w:rsid w:val="0096066B"/>
    <w:rsid w:val="00960A19"/>
    <w:rsid w:val="00960BD2"/>
    <w:rsid w:val="00960F5E"/>
    <w:rsid w:val="009612E7"/>
    <w:rsid w:val="00961458"/>
    <w:rsid w:val="009616FC"/>
    <w:rsid w:val="009617B3"/>
    <w:rsid w:val="00961954"/>
    <w:rsid w:val="00961B4C"/>
    <w:rsid w:val="00961E56"/>
    <w:rsid w:val="00962862"/>
    <w:rsid w:val="009628E4"/>
    <w:rsid w:val="009628F4"/>
    <w:rsid w:val="009629BE"/>
    <w:rsid w:val="009629C0"/>
    <w:rsid w:val="00963096"/>
    <w:rsid w:val="00963649"/>
    <w:rsid w:val="00963670"/>
    <w:rsid w:val="00963F82"/>
    <w:rsid w:val="0096427B"/>
    <w:rsid w:val="009642C9"/>
    <w:rsid w:val="00964342"/>
    <w:rsid w:val="009648E3"/>
    <w:rsid w:val="009651C8"/>
    <w:rsid w:val="009653CC"/>
    <w:rsid w:val="009656B5"/>
    <w:rsid w:val="00965A39"/>
    <w:rsid w:val="00965A43"/>
    <w:rsid w:val="00965C5E"/>
    <w:rsid w:val="00965F10"/>
    <w:rsid w:val="00966035"/>
    <w:rsid w:val="0096631E"/>
    <w:rsid w:val="00966BD4"/>
    <w:rsid w:val="00966CA3"/>
    <w:rsid w:val="009674B0"/>
    <w:rsid w:val="009677AF"/>
    <w:rsid w:val="009678AA"/>
    <w:rsid w:val="00967DFE"/>
    <w:rsid w:val="00970082"/>
    <w:rsid w:val="009704CA"/>
    <w:rsid w:val="00970811"/>
    <w:rsid w:val="00970A41"/>
    <w:rsid w:val="00970C1D"/>
    <w:rsid w:val="00970E63"/>
    <w:rsid w:val="0097131D"/>
    <w:rsid w:val="00971359"/>
    <w:rsid w:val="009715A0"/>
    <w:rsid w:val="009715DD"/>
    <w:rsid w:val="00972095"/>
    <w:rsid w:val="0097256D"/>
    <w:rsid w:val="009725C4"/>
    <w:rsid w:val="009725DE"/>
    <w:rsid w:val="00972826"/>
    <w:rsid w:val="00972D41"/>
    <w:rsid w:val="00972E33"/>
    <w:rsid w:val="00972EAE"/>
    <w:rsid w:val="00972EB9"/>
    <w:rsid w:val="00973318"/>
    <w:rsid w:val="00973A43"/>
    <w:rsid w:val="00973B9C"/>
    <w:rsid w:val="0097402F"/>
    <w:rsid w:val="0097409A"/>
    <w:rsid w:val="00974135"/>
    <w:rsid w:val="00974237"/>
    <w:rsid w:val="00974620"/>
    <w:rsid w:val="00974695"/>
    <w:rsid w:val="009746A8"/>
    <w:rsid w:val="00974A8F"/>
    <w:rsid w:val="009757C3"/>
    <w:rsid w:val="009759C0"/>
    <w:rsid w:val="00975F93"/>
    <w:rsid w:val="009760EA"/>
    <w:rsid w:val="0097610C"/>
    <w:rsid w:val="00976C90"/>
    <w:rsid w:val="00976D75"/>
    <w:rsid w:val="00977146"/>
    <w:rsid w:val="00977184"/>
    <w:rsid w:val="00977503"/>
    <w:rsid w:val="009775D5"/>
    <w:rsid w:val="009779CA"/>
    <w:rsid w:val="00977C5F"/>
    <w:rsid w:val="00977D26"/>
    <w:rsid w:val="00977FB8"/>
    <w:rsid w:val="00980239"/>
    <w:rsid w:val="0098069B"/>
    <w:rsid w:val="00980839"/>
    <w:rsid w:val="00980C87"/>
    <w:rsid w:val="00980DFF"/>
    <w:rsid w:val="009810B4"/>
    <w:rsid w:val="00981361"/>
    <w:rsid w:val="00981495"/>
    <w:rsid w:val="0098179C"/>
    <w:rsid w:val="009819F2"/>
    <w:rsid w:val="00981A4F"/>
    <w:rsid w:val="00981B04"/>
    <w:rsid w:val="00981D6F"/>
    <w:rsid w:val="00982334"/>
    <w:rsid w:val="00982458"/>
    <w:rsid w:val="009827E4"/>
    <w:rsid w:val="0098288B"/>
    <w:rsid w:val="00982A3D"/>
    <w:rsid w:val="00982A69"/>
    <w:rsid w:val="00982F53"/>
    <w:rsid w:val="009830B3"/>
    <w:rsid w:val="00983AE3"/>
    <w:rsid w:val="0098405D"/>
    <w:rsid w:val="00984393"/>
    <w:rsid w:val="00985318"/>
    <w:rsid w:val="0098534B"/>
    <w:rsid w:val="0098547E"/>
    <w:rsid w:val="00985676"/>
    <w:rsid w:val="00985BF5"/>
    <w:rsid w:val="00985D40"/>
    <w:rsid w:val="009862A3"/>
    <w:rsid w:val="009864EB"/>
    <w:rsid w:val="0098671C"/>
    <w:rsid w:val="00986A27"/>
    <w:rsid w:val="00986C0B"/>
    <w:rsid w:val="00986D54"/>
    <w:rsid w:val="00986ECF"/>
    <w:rsid w:val="00986FF9"/>
    <w:rsid w:val="00987004"/>
    <w:rsid w:val="009874F2"/>
    <w:rsid w:val="0098772E"/>
    <w:rsid w:val="00987D16"/>
    <w:rsid w:val="0099005A"/>
    <w:rsid w:val="009900A0"/>
    <w:rsid w:val="009900B5"/>
    <w:rsid w:val="0099066C"/>
    <w:rsid w:val="009907F0"/>
    <w:rsid w:val="009909F3"/>
    <w:rsid w:val="00990F84"/>
    <w:rsid w:val="00991256"/>
    <w:rsid w:val="0099148B"/>
    <w:rsid w:val="0099161C"/>
    <w:rsid w:val="00991E09"/>
    <w:rsid w:val="00992663"/>
    <w:rsid w:val="00992DD6"/>
    <w:rsid w:val="00992E06"/>
    <w:rsid w:val="00992EA1"/>
    <w:rsid w:val="00993637"/>
    <w:rsid w:val="00993A88"/>
    <w:rsid w:val="00993BB1"/>
    <w:rsid w:val="00993EC0"/>
    <w:rsid w:val="00994312"/>
    <w:rsid w:val="009943C7"/>
    <w:rsid w:val="00994A79"/>
    <w:rsid w:val="00994E32"/>
    <w:rsid w:val="00995153"/>
    <w:rsid w:val="0099575B"/>
    <w:rsid w:val="0099576E"/>
    <w:rsid w:val="00995A28"/>
    <w:rsid w:val="0099612B"/>
    <w:rsid w:val="00996206"/>
    <w:rsid w:val="009968A7"/>
    <w:rsid w:val="00996A96"/>
    <w:rsid w:val="00996AA8"/>
    <w:rsid w:val="00996BE2"/>
    <w:rsid w:val="0099712C"/>
    <w:rsid w:val="00997146"/>
    <w:rsid w:val="00997E4E"/>
    <w:rsid w:val="00997E95"/>
    <w:rsid w:val="00997F8C"/>
    <w:rsid w:val="009A02B2"/>
    <w:rsid w:val="009A040E"/>
    <w:rsid w:val="009A0675"/>
    <w:rsid w:val="009A06F0"/>
    <w:rsid w:val="009A07FC"/>
    <w:rsid w:val="009A1013"/>
    <w:rsid w:val="009A1A5A"/>
    <w:rsid w:val="009A1B12"/>
    <w:rsid w:val="009A1D9B"/>
    <w:rsid w:val="009A1EDC"/>
    <w:rsid w:val="009A2A91"/>
    <w:rsid w:val="009A2B14"/>
    <w:rsid w:val="009A2D38"/>
    <w:rsid w:val="009A2E3F"/>
    <w:rsid w:val="009A38F1"/>
    <w:rsid w:val="009A3BDD"/>
    <w:rsid w:val="009A3BFD"/>
    <w:rsid w:val="009A3D2D"/>
    <w:rsid w:val="009A4076"/>
    <w:rsid w:val="009A41E6"/>
    <w:rsid w:val="009A46A4"/>
    <w:rsid w:val="009A49A1"/>
    <w:rsid w:val="009A4DBE"/>
    <w:rsid w:val="009A54C9"/>
    <w:rsid w:val="009A5554"/>
    <w:rsid w:val="009A56DA"/>
    <w:rsid w:val="009A5A03"/>
    <w:rsid w:val="009A5B0D"/>
    <w:rsid w:val="009A5E1F"/>
    <w:rsid w:val="009A6250"/>
    <w:rsid w:val="009A63AE"/>
    <w:rsid w:val="009A664A"/>
    <w:rsid w:val="009A666A"/>
    <w:rsid w:val="009A6C28"/>
    <w:rsid w:val="009A6F56"/>
    <w:rsid w:val="009A74B8"/>
    <w:rsid w:val="009A7850"/>
    <w:rsid w:val="009A7B2C"/>
    <w:rsid w:val="009B061C"/>
    <w:rsid w:val="009B07F4"/>
    <w:rsid w:val="009B090E"/>
    <w:rsid w:val="009B1162"/>
    <w:rsid w:val="009B13E1"/>
    <w:rsid w:val="009B1763"/>
    <w:rsid w:val="009B1D59"/>
    <w:rsid w:val="009B2254"/>
    <w:rsid w:val="009B2343"/>
    <w:rsid w:val="009B2508"/>
    <w:rsid w:val="009B2836"/>
    <w:rsid w:val="009B2C29"/>
    <w:rsid w:val="009B32BD"/>
    <w:rsid w:val="009B3605"/>
    <w:rsid w:val="009B3B0A"/>
    <w:rsid w:val="009B3F3C"/>
    <w:rsid w:val="009B402F"/>
    <w:rsid w:val="009B4361"/>
    <w:rsid w:val="009B4E1C"/>
    <w:rsid w:val="009B4FE3"/>
    <w:rsid w:val="009B53A5"/>
    <w:rsid w:val="009B5742"/>
    <w:rsid w:val="009B5919"/>
    <w:rsid w:val="009B5942"/>
    <w:rsid w:val="009B5B1D"/>
    <w:rsid w:val="009B66B5"/>
    <w:rsid w:val="009B6A45"/>
    <w:rsid w:val="009B6C49"/>
    <w:rsid w:val="009B6DF2"/>
    <w:rsid w:val="009B6F3D"/>
    <w:rsid w:val="009B71B0"/>
    <w:rsid w:val="009B7684"/>
    <w:rsid w:val="009B7C11"/>
    <w:rsid w:val="009C015E"/>
    <w:rsid w:val="009C0220"/>
    <w:rsid w:val="009C0379"/>
    <w:rsid w:val="009C0992"/>
    <w:rsid w:val="009C0A14"/>
    <w:rsid w:val="009C0B7C"/>
    <w:rsid w:val="009C0C09"/>
    <w:rsid w:val="009C0C14"/>
    <w:rsid w:val="009C0FE6"/>
    <w:rsid w:val="009C1088"/>
    <w:rsid w:val="009C130C"/>
    <w:rsid w:val="009C149D"/>
    <w:rsid w:val="009C1529"/>
    <w:rsid w:val="009C15D1"/>
    <w:rsid w:val="009C17B2"/>
    <w:rsid w:val="009C1CF5"/>
    <w:rsid w:val="009C1DD0"/>
    <w:rsid w:val="009C205C"/>
    <w:rsid w:val="009C2A2A"/>
    <w:rsid w:val="009C2A58"/>
    <w:rsid w:val="009C2EFC"/>
    <w:rsid w:val="009C303F"/>
    <w:rsid w:val="009C3341"/>
    <w:rsid w:val="009C381F"/>
    <w:rsid w:val="009C3C28"/>
    <w:rsid w:val="009C44E4"/>
    <w:rsid w:val="009C4EB0"/>
    <w:rsid w:val="009C5035"/>
    <w:rsid w:val="009C5257"/>
    <w:rsid w:val="009C534E"/>
    <w:rsid w:val="009C53A4"/>
    <w:rsid w:val="009C5AA3"/>
    <w:rsid w:val="009C5BDC"/>
    <w:rsid w:val="009C5D8C"/>
    <w:rsid w:val="009C6953"/>
    <w:rsid w:val="009C6A5A"/>
    <w:rsid w:val="009C6E70"/>
    <w:rsid w:val="009C72AA"/>
    <w:rsid w:val="009C72EE"/>
    <w:rsid w:val="009C7671"/>
    <w:rsid w:val="009C76D1"/>
    <w:rsid w:val="009C7A02"/>
    <w:rsid w:val="009C7E23"/>
    <w:rsid w:val="009D0064"/>
    <w:rsid w:val="009D03B6"/>
    <w:rsid w:val="009D07D9"/>
    <w:rsid w:val="009D09F0"/>
    <w:rsid w:val="009D1152"/>
    <w:rsid w:val="009D128A"/>
    <w:rsid w:val="009D12EC"/>
    <w:rsid w:val="009D1465"/>
    <w:rsid w:val="009D15F3"/>
    <w:rsid w:val="009D1678"/>
    <w:rsid w:val="009D1D41"/>
    <w:rsid w:val="009D1DA4"/>
    <w:rsid w:val="009D1F73"/>
    <w:rsid w:val="009D23DE"/>
    <w:rsid w:val="009D2568"/>
    <w:rsid w:val="009D2825"/>
    <w:rsid w:val="009D2873"/>
    <w:rsid w:val="009D2F39"/>
    <w:rsid w:val="009D36FA"/>
    <w:rsid w:val="009D3C45"/>
    <w:rsid w:val="009D4358"/>
    <w:rsid w:val="009D456E"/>
    <w:rsid w:val="009D479B"/>
    <w:rsid w:val="009D4F19"/>
    <w:rsid w:val="009D53D1"/>
    <w:rsid w:val="009D53D8"/>
    <w:rsid w:val="009D5735"/>
    <w:rsid w:val="009D58A8"/>
    <w:rsid w:val="009D5A66"/>
    <w:rsid w:val="009D6089"/>
    <w:rsid w:val="009D6893"/>
    <w:rsid w:val="009D689F"/>
    <w:rsid w:val="009D707F"/>
    <w:rsid w:val="009D73FD"/>
    <w:rsid w:val="009D7DFB"/>
    <w:rsid w:val="009D7E7A"/>
    <w:rsid w:val="009E00E9"/>
    <w:rsid w:val="009E040C"/>
    <w:rsid w:val="009E0FC8"/>
    <w:rsid w:val="009E1298"/>
    <w:rsid w:val="009E156D"/>
    <w:rsid w:val="009E1996"/>
    <w:rsid w:val="009E19ED"/>
    <w:rsid w:val="009E1A5E"/>
    <w:rsid w:val="009E1BDC"/>
    <w:rsid w:val="009E2093"/>
    <w:rsid w:val="009E280B"/>
    <w:rsid w:val="009E28E3"/>
    <w:rsid w:val="009E2B97"/>
    <w:rsid w:val="009E2CDD"/>
    <w:rsid w:val="009E2E6F"/>
    <w:rsid w:val="009E3396"/>
    <w:rsid w:val="009E3676"/>
    <w:rsid w:val="009E37FF"/>
    <w:rsid w:val="009E424E"/>
    <w:rsid w:val="009E4377"/>
    <w:rsid w:val="009E4467"/>
    <w:rsid w:val="009E45E4"/>
    <w:rsid w:val="009E4750"/>
    <w:rsid w:val="009E478F"/>
    <w:rsid w:val="009E4F66"/>
    <w:rsid w:val="009E50B8"/>
    <w:rsid w:val="009E523E"/>
    <w:rsid w:val="009E5768"/>
    <w:rsid w:val="009E5F55"/>
    <w:rsid w:val="009E5FD4"/>
    <w:rsid w:val="009E6216"/>
    <w:rsid w:val="009E6351"/>
    <w:rsid w:val="009E69C4"/>
    <w:rsid w:val="009E6A66"/>
    <w:rsid w:val="009E73E8"/>
    <w:rsid w:val="009E790B"/>
    <w:rsid w:val="009E7D0A"/>
    <w:rsid w:val="009F009F"/>
    <w:rsid w:val="009F00FA"/>
    <w:rsid w:val="009F0737"/>
    <w:rsid w:val="009F0B69"/>
    <w:rsid w:val="009F1019"/>
    <w:rsid w:val="009F11EE"/>
    <w:rsid w:val="009F1C78"/>
    <w:rsid w:val="009F2030"/>
    <w:rsid w:val="009F2897"/>
    <w:rsid w:val="009F2971"/>
    <w:rsid w:val="009F29C7"/>
    <w:rsid w:val="009F2DFD"/>
    <w:rsid w:val="009F2E86"/>
    <w:rsid w:val="009F3044"/>
    <w:rsid w:val="009F3594"/>
    <w:rsid w:val="009F3751"/>
    <w:rsid w:val="009F3925"/>
    <w:rsid w:val="009F3A72"/>
    <w:rsid w:val="009F3C97"/>
    <w:rsid w:val="009F41C8"/>
    <w:rsid w:val="009F45C4"/>
    <w:rsid w:val="009F4851"/>
    <w:rsid w:val="009F4AF7"/>
    <w:rsid w:val="009F4DFC"/>
    <w:rsid w:val="009F4FA2"/>
    <w:rsid w:val="009F5437"/>
    <w:rsid w:val="009F54B8"/>
    <w:rsid w:val="009F5790"/>
    <w:rsid w:val="009F5C13"/>
    <w:rsid w:val="009F5D03"/>
    <w:rsid w:val="009F6110"/>
    <w:rsid w:val="009F63A5"/>
    <w:rsid w:val="009F6733"/>
    <w:rsid w:val="009F6F3F"/>
    <w:rsid w:val="009F7775"/>
    <w:rsid w:val="009F7813"/>
    <w:rsid w:val="009F7DFA"/>
    <w:rsid w:val="00A002AC"/>
    <w:rsid w:val="00A0093D"/>
    <w:rsid w:val="00A00BA1"/>
    <w:rsid w:val="00A00DBE"/>
    <w:rsid w:val="00A01014"/>
    <w:rsid w:val="00A01041"/>
    <w:rsid w:val="00A01780"/>
    <w:rsid w:val="00A01ABE"/>
    <w:rsid w:val="00A01C74"/>
    <w:rsid w:val="00A01FA9"/>
    <w:rsid w:val="00A02842"/>
    <w:rsid w:val="00A02898"/>
    <w:rsid w:val="00A02FA7"/>
    <w:rsid w:val="00A03584"/>
    <w:rsid w:val="00A035CB"/>
    <w:rsid w:val="00A0374F"/>
    <w:rsid w:val="00A03800"/>
    <w:rsid w:val="00A0384C"/>
    <w:rsid w:val="00A04056"/>
    <w:rsid w:val="00A041D7"/>
    <w:rsid w:val="00A04982"/>
    <w:rsid w:val="00A049F2"/>
    <w:rsid w:val="00A04C24"/>
    <w:rsid w:val="00A04D19"/>
    <w:rsid w:val="00A04D7D"/>
    <w:rsid w:val="00A04E31"/>
    <w:rsid w:val="00A050AE"/>
    <w:rsid w:val="00A0548C"/>
    <w:rsid w:val="00A058C0"/>
    <w:rsid w:val="00A0597B"/>
    <w:rsid w:val="00A066F1"/>
    <w:rsid w:val="00A06B5E"/>
    <w:rsid w:val="00A06C77"/>
    <w:rsid w:val="00A06D8F"/>
    <w:rsid w:val="00A06D90"/>
    <w:rsid w:val="00A06E23"/>
    <w:rsid w:val="00A07A2A"/>
    <w:rsid w:val="00A1082C"/>
    <w:rsid w:val="00A10DE1"/>
    <w:rsid w:val="00A11429"/>
    <w:rsid w:val="00A11A96"/>
    <w:rsid w:val="00A11C30"/>
    <w:rsid w:val="00A11F8F"/>
    <w:rsid w:val="00A126BA"/>
    <w:rsid w:val="00A127E5"/>
    <w:rsid w:val="00A1298F"/>
    <w:rsid w:val="00A12AFE"/>
    <w:rsid w:val="00A12CCC"/>
    <w:rsid w:val="00A12D4A"/>
    <w:rsid w:val="00A13859"/>
    <w:rsid w:val="00A13ED3"/>
    <w:rsid w:val="00A140B1"/>
    <w:rsid w:val="00A141CE"/>
    <w:rsid w:val="00A1425F"/>
    <w:rsid w:val="00A142E7"/>
    <w:rsid w:val="00A14310"/>
    <w:rsid w:val="00A143DA"/>
    <w:rsid w:val="00A146CC"/>
    <w:rsid w:val="00A14CE1"/>
    <w:rsid w:val="00A14D6F"/>
    <w:rsid w:val="00A14E17"/>
    <w:rsid w:val="00A151AA"/>
    <w:rsid w:val="00A155A6"/>
    <w:rsid w:val="00A15618"/>
    <w:rsid w:val="00A15656"/>
    <w:rsid w:val="00A1570D"/>
    <w:rsid w:val="00A15F2C"/>
    <w:rsid w:val="00A16630"/>
    <w:rsid w:val="00A16871"/>
    <w:rsid w:val="00A16E0B"/>
    <w:rsid w:val="00A17744"/>
    <w:rsid w:val="00A17A9F"/>
    <w:rsid w:val="00A17AA3"/>
    <w:rsid w:val="00A20610"/>
    <w:rsid w:val="00A207C2"/>
    <w:rsid w:val="00A20921"/>
    <w:rsid w:val="00A20BCD"/>
    <w:rsid w:val="00A20BE0"/>
    <w:rsid w:val="00A20E90"/>
    <w:rsid w:val="00A21317"/>
    <w:rsid w:val="00A21321"/>
    <w:rsid w:val="00A2179A"/>
    <w:rsid w:val="00A218CC"/>
    <w:rsid w:val="00A21E12"/>
    <w:rsid w:val="00A2218A"/>
    <w:rsid w:val="00A22AF3"/>
    <w:rsid w:val="00A22B4D"/>
    <w:rsid w:val="00A22EE7"/>
    <w:rsid w:val="00A23313"/>
    <w:rsid w:val="00A2373D"/>
    <w:rsid w:val="00A239CE"/>
    <w:rsid w:val="00A23ABD"/>
    <w:rsid w:val="00A24338"/>
    <w:rsid w:val="00A247E6"/>
    <w:rsid w:val="00A24A41"/>
    <w:rsid w:val="00A24D92"/>
    <w:rsid w:val="00A25BD3"/>
    <w:rsid w:val="00A26122"/>
    <w:rsid w:val="00A2616E"/>
    <w:rsid w:val="00A26AF3"/>
    <w:rsid w:val="00A26C11"/>
    <w:rsid w:val="00A26EF5"/>
    <w:rsid w:val="00A2731E"/>
    <w:rsid w:val="00A27348"/>
    <w:rsid w:val="00A2764F"/>
    <w:rsid w:val="00A2780B"/>
    <w:rsid w:val="00A27F6F"/>
    <w:rsid w:val="00A3016B"/>
    <w:rsid w:val="00A30241"/>
    <w:rsid w:val="00A30282"/>
    <w:rsid w:val="00A302FC"/>
    <w:rsid w:val="00A306BC"/>
    <w:rsid w:val="00A308D1"/>
    <w:rsid w:val="00A30D84"/>
    <w:rsid w:val="00A310BD"/>
    <w:rsid w:val="00A312A0"/>
    <w:rsid w:val="00A31391"/>
    <w:rsid w:val="00A313DB"/>
    <w:rsid w:val="00A31432"/>
    <w:rsid w:val="00A3202C"/>
    <w:rsid w:val="00A3236F"/>
    <w:rsid w:val="00A32BC6"/>
    <w:rsid w:val="00A32DE5"/>
    <w:rsid w:val="00A32DEC"/>
    <w:rsid w:val="00A32FDC"/>
    <w:rsid w:val="00A330EA"/>
    <w:rsid w:val="00A3321E"/>
    <w:rsid w:val="00A338C0"/>
    <w:rsid w:val="00A33A40"/>
    <w:rsid w:val="00A33C56"/>
    <w:rsid w:val="00A33DF2"/>
    <w:rsid w:val="00A33FF3"/>
    <w:rsid w:val="00A342E0"/>
    <w:rsid w:val="00A34822"/>
    <w:rsid w:val="00A34CAD"/>
    <w:rsid w:val="00A351F3"/>
    <w:rsid w:val="00A352A6"/>
    <w:rsid w:val="00A35B13"/>
    <w:rsid w:val="00A35B4A"/>
    <w:rsid w:val="00A35C9F"/>
    <w:rsid w:val="00A36621"/>
    <w:rsid w:val="00A370F5"/>
    <w:rsid w:val="00A37472"/>
    <w:rsid w:val="00A37FFB"/>
    <w:rsid w:val="00A404E4"/>
    <w:rsid w:val="00A406FA"/>
    <w:rsid w:val="00A40935"/>
    <w:rsid w:val="00A40956"/>
    <w:rsid w:val="00A40A6A"/>
    <w:rsid w:val="00A40ABF"/>
    <w:rsid w:val="00A40FE3"/>
    <w:rsid w:val="00A414AE"/>
    <w:rsid w:val="00A41CD7"/>
    <w:rsid w:val="00A41DCE"/>
    <w:rsid w:val="00A42038"/>
    <w:rsid w:val="00A4225D"/>
    <w:rsid w:val="00A42562"/>
    <w:rsid w:val="00A42797"/>
    <w:rsid w:val="00A427EE"/>
    <w:rsid w:val="00A42EFD"/>
    <w:rsid w:val="00A431B6"/>
    <w:rsid w:val="00A437BF"/>
    <w:rsid w:val="00A43B2D"/>
    <w:rsid w:val="00A43F2D"/>
    <w:rsid w:val="00A44499"/>
    <w:rsid w:val="00A44512"/>
    <w:rsid w:val="00A44AE1"/>
    <w:rsid w:val="00A4553B"/>
    <w:rsid w:val="00A455E9"/>
    <w:rsid w:val="00A45747"/>
    <w:rsid w:val="00A45A5A"/>
    <w:rsid w:val="00A45DD2"/>
    <w:rsid w:val="00A45FF4"/>
    <w:rsid w:val="00A466AA"/>
    <w:rsid w:val="00A46876"/>
    <w:rsid w:val="00A46F71"/>
    <w:rsid w:val="00A47751"/>
    <w:rsid w:val="00A477C8"/>
    <w:rsid w:val="00A47BEC"/>
    <w:rsid w:val="00A47D90"/>
    <w:rsid w:val="00A47EB7"/>
    <w:rsid w:val="00A47F0A"/>
    <w:rsid w:val="00A50885"/>
    <w:rsid w:val="00A50C52"/>
    <w:rsid w:val="00A50F59"/>
    <w:rsid w:val="00A512A4"/>
    <w:rsid w:val="00A517B1"/>
    <w:rsid w:val="00A524D7"/>
    <w:rsid w:val="00A52573"/>
    <w:rsid w:val="00A52C2F"/>
    <w:rsid w:val="00A52F7F"/>
    <w:rsid w:val="00A531AA"/>
    <w:rsid w:val="00A53228"/>
    <w:rsid w:val="00A537FB"/>
    <w:rsid w:val="00A538FC"/>
    <w:rsid w:val="00A53D65"/>
    <w:rsid w:val="00A53ED6"/>
    <w:rsid w:val="00A53F0A"/>
    <w:rsid w:val="00A53FCE"/>
    <w:rsid w:val="00A541DF"/>
    <w:rsid w:val="00A544A7"/>
    <w:rsid w:val="00A54F19"/>
    <w:rsid w:val="00A54F9C"/>
    <w:rsid w:val="00A554CB"/>
    <w:rsid w:val="00A556CC"/>
    <w:rsid w:val="00A55AF7"/>
    <w:rsid w:val="00A55BE9"/>
    <w:rsid w:val="00A55CD9"/>
    <w:rsid w:val="00A56008"/>
    <w:rsid w:val="00A566CA"/>
    <w:rsid w:val="00A567F7"/>
    <w:rsid w:val="00A56AE3"/>
    <w:rsid w:val="00A570D9"/>
    <w:rsid w:val="00A5744E"/>
    <w:rsid w:val="00A57653"/>
    <w:rsid w:val="00A5792D"/>
    <w:rsid w:val="00A57A2F"/>
    <w:rsid w:val="00A57DF3"/>
    <w:rsid w:val="00A57EAA"/>
    <w:rsid w:val="00A60359"/>
    <w:rsid w:val="00A6045E"/>
    <w:rsid w:val="00A6046D"/>
    <w:rsid w:val="00A60513"/>
    <w:rsid w:val="00A6073A"/>
    <w:rsid w:val="00A6093C"/>
    <w:rsid w:val="00A60AFE"/>
    <w:rsid w:val="00A60BDE"/>
    <w:rsid w:val="00A6140E"/>
    <w:rsid w:val="00A6156A"/>
    <w:rsid w:val="00A615E0"/>
    <w:rsid w:val="00A619D6"/>
    <w:rsid w:val="00A620BA"/>
    <w:rsid w:val="00A622C2"/>
    <w:rsid w:val="00A62549"/>
    <w:rsid w:val="00A6261F"/>
    <w:rsid w:val="00A626B8"/>
    <w:rsid w:val="00A62A0F"/>
    <w:rsid w:val="00A62A4B"/>
    <w:rsid w:val="00A630CC"/>
    <w:rsid w:val="00A63364"/>
    <w:rsid w:val="00A63DD1"/>
    <w:rsid w:val="00A63E0A"/>
    <w:rsid w:val="00A6415D"/>
    <w:rsid w:val="00A6440B"/>
    <w:rsid w:val="00A645F7"/>
    <w:rsid w:val="00A6492B"/>
    <w:rsid w:val="00A64C1F"/>
    <w:rsid w:val="00A64F97"/>
    <w:rsid w:val="00A652E3"/>
    <w:rsid w:val="00A65927"/>
    <w:rsid w:val="00A65A1F"/>
    <w:rsid w:val="00A65AE0"/>
    <w:rsid w:val="00A65F5E"/>
    <w:rsid w:val="00A66334"/>
    <w:rsid w:val="00A66952"/>
    <w:rsid w:val="00A66ABD"/>
    <w:rsid w:val="00A67823"/>
    <w:rsid w:val="00A67A5A"/>
    <w:rsid w:val="00A67B9B"/>
    <w:rsid w:val="00A70241"/>
    <w:rsid w:val="00A70939"/>
    <w:rsid w:val="00A70CF7"/>
    <w:rsid w:val="00A70DEA"/>
    <w:rsid w:val="00A70F3A"/>
    <w:rsid w:val="00A713A6"/>
    <w:rsid w:val="00A719D4"/>
    <w:rsid w:val="00A7212B"/>
    <w:rsid w:val="00A721DC"/>
    <w:rsid w:val="00A72377"/>
    <w:rsid w:val="00A724E3"/>
    <w:rsid w:val="00A7256C"/>
    <w:rsid w:val="00A7259C"/>
    <w:rsid w:val="00A72B30"/>
    <w:rsid w:val="00A732D9"/>
    <w:rsid w:val="00A73492"/>
    <w:rsid w:val="00A734AC"/>
    <w:rsid w:val="00A735B0"/>
    <w:rsid w:val="00A73622"/>
    <w:rsid w:val="00A7367A"/>
    <w:rsid w:val="00A737E2"/>
    <w:rsid w:val="00A73B52"/>
    <w:rsid w:val="00A745C1"/>
    <w:rsid w:val="00A74FB7"/>
    <w:rsid w:val="00A751D6"/>
    <w:rsid w:val="00A7535C"/>
    <w:rsid w:val="00A754F3"/>
    <w:rsid w:val="00A75646"/>
    <w:rsid w:val="00A759E1"/>
    <w:rsid w:val="00A76076"/>
    <w:rsid w:val="00A769A8"/>
    <w:rsid w:val="00A76B81"/>
    <w:rsid w:val="00A77634"/>
    <w:rsid w:val="00A776B2"/>
    <w:rsid w:val="00A77B9D"/>
    <w:rsid w:val="00A77DEF"/>
    <w:rsid w:val="00A77FAF"/>
    <w:rsid w:val="00A80058"/>
    <w:rsid w:val="00A80315"/>
    <w:rsid w:val="00A809B5"/>
    <w:rsid w:val="00A80B9E"/>
    <w:rsid w:val="00A80D32"/>
    <w:rsid w:val="00A80F70"/>
    <w:rsid w:val="00A81E07"/>
    <w:rsid w:val="00A821F3"/>
    <w:rsid w:val="00A82E6D"/>
    <w:rsid w:val="00A82EE9"/>
    <w:rsid w:val="00A83045"/>
    <w:rsid w:val="00A832E3"/>
    <w:rsid w:val="00A836A9"/>
    <w:rsid w:val="00A839E0"/>
    <w:rsid w:val="00A83D3E"/>
    <w:rsid w:val="00A844CE"/>
    <w:rsid w:val="00A847EB"/>
    <w:rsid w:val="00A84A54"/>
    <w:rsid w:val="00A84B6C"/>
    <w:rsid w:val="00A84ED1"/>
    <w:rsid w:val="00A84EE4"/>
    <w:rsid w:val="00A84F0C"/>
    <w:rsid w:val="00A84F59"/>
    <w:rsid w:val="00A85308"/>
    <w:rsid w:val="00A85433"/>
    <w:rsid w:val="00A85444"/>
    <w:rsid w:val="00A854A5"/>
    <w:rsid w:val="00A85595"/>
    <w:rsid w:val="00A85679"/>
    <w:rsid w:val="00A85767"/>
    <w:rsid w:val="00A85992"/>
    <w:rsid w:val="00A85C2B"/>
    <w:rsid w:val="00A85E02"/>
    <w:rsid w:val="00A862FB"/>
    <w:rsid w:val="00A8658A"/>
    <w:rsid w:val="00A8665D"/>
    <w:rsid w:val="00A8682E"/>
    <w:rsid w:val="00A86A85"/>
    <w:rsid w:val="00A86FE7"/>
    <w:rsid w:val="00A877E0"/>
    <w:rsid w:val="00A90186"/>
    <w:rsid w:val="00A901EA"/>
    <w:rsid w:val="00A9042E"/>
    <w:rsid w:val="00A904C9"/>
    <w:rsid w:val="00A90662"/>
    <w:rsid w:val="00A90977"/>
    <w:rsid w:val="00A90A12"/>
    <w:rsid w:val="00A91051"/>
    <w:rsid w:val="00A91455"/>
    <w:rsid w:val="00A91700"/>
    <w:rsid w:val="00A91CBA"/>
    <w:rsid w:val="00A91DC0"/>
    <w:rsid w:val="00A921BF"/>
    <w:rsid w:val="00A92562"/>
    <w:rsid w:val="00A92A76"/>
    <w:rsid w:val="00A92C57"/>
    <w:rsid w:val="00A93002"/>
    <w:rsid w:val="00A931DB"/>
    <w:rsid w:val="00A93763"/>
    <w:rsid w:val="00A93771"/>
    <w:rsid w:val="00A93A37"/>
    <w:rsid w:val="00A93B9F"/>
    <w:rsid w:val="00A93C86"/>
    <w:rsid w:val="00A93D94"/>
    <w:rsid w:val="00A942D7"/>
    <w:rsid w:val="00A942DD"/>
    <w:rsid w:val="00A94580"/>
    <w:rsid w:val="00A9464A"/>
    <w:rsid w:val="00A94737"/>
    <w:rsid w:val="00A948A3"/>
    <w:rsid w:val="00A94E67"/>
    <w:rsid w:val="00A951DC"/>
    <w:rsid w:val="00A9570D"/>
    <w:rsid w:val="00A96238"/>
    <w:rsid w:val="00A96883"/>
    <w:rsid w:val="00A97145"/>
    <w:rsid w:val="00AA0283"/>
    <w:rsid w:val="00AA05D8"/>
    <w:rsid w:val="00AA1210"/>
    <w:rsid w:val="00AA1239"/>
    <w:rsid w:val="00AA1893"/>
    <w:rsid w:val="00AA19D0"/>
    <w:rsid w:val="00AA1E2B"/>
    <w:rsid w:val="00AA1E6D"/>
    <w:rsid w:val="00AA2026"/>
    <w:rsid w:val="00AA22F1"/>
    <w:rsid w:val="00AA234A"/>
    <w:rsid w:val="00AA25DF"/>
    <w:rsid w:val="00AA2606"/>
    <w:rsid w:val="00AA277F"/>
    <w:rsid w:val="00AA2B0A"/>
    <w:rsid w:val="00AA2CD8"/>
    <w:rsid w:val="00AA2D7F"/>
    <w:rsid w:val="00AA3581"/>
    <w:rsid w:val="00AA39F5"/>
    <w:rsid w:val="00AA442F"/>
    <w:rsid w:val="00AA4E34"/>
    <w:rsid w:val="00AA4EB0"/>
    <w:rsid w:val="00AA5518"/>
    <w:rsid w:val="00AA5779"/>
    <w:rsid w:val="00AA58F4"/>
    <w:rsid w:val="00AA5AE2"/>
    <w:rsid w:val="00AA5DDB"/>
    <w:rsid w:val="00AA67E2"/>
    <w:rsid w:val="00AA6EA3"/>
    <w:rsid w:val="00AA704F"/>
    <w:rsid w:val="00AA78B0"/>
    <w:rsid w:val="00AA7CC3"/>
    <w:rsid w:val="00AA7DF3"/>
    <w:rsid w:val="00AB0262"/>
    <w:rsid w:val="00AB0912"/>
    <w:rsid w:val="00AB0A1E"/>
    <w:rsid w:val="00AB0C72"/>
    <w:rsid w:val="00AB0DEA"/>
    <w:rsid w:val="00AB0E07"/>
    <w:rsid w:val="00AB0F45"/>
    <w:rsid w:val="00AB118B"/>
    <w:rsid w:val="00AB1373"/>
    <w:rsid w:val="00AB1A04"/>
    <w:rsid w:val="00AB1BB3"/>
    <w:rsid w:val="00AB2070"/>
    <w:rsid w:val="00AB26AF"/>
    <w:rsid w:val="00AB3185"/>
    <w:rsid w:val="00AB334A"/>
    <w:rsid w:val="00AB35D9"/>
    <w:rsid w:val="00AB3BB1"/>
    <w:rsid w:val="00AB3CBB"/>
    <w:rsid w:val="00AB4728"/>
    <w:rsid w:val="00AB478E"/>
    <w:rsid w:val="00AB47FC"/>
    <w:rsid w:val="00AB4B56"/>
    <w:rsid w:val="00AB4BE2"/>
    <w:rsid w:val="00AB4DDE"/>
    <w:rsid w:val="00AB575F"/>
    <w:rsid w:val="00AB5781"/>
    <w:rsid w:val="00AB58CF"/>
    <w:rsid w:val="00AB5BC5"/>
    <w:rsid w:val="00AB5EB2"/>
    <w:rsid w:val="00AB6033"/>
    <w:rsid w:val="00AB6043"/>
    <w:rsid w:val="00AB607E"/>
    <w:rsid w:val="00AB6319"/>
    <w:rsid w:val="00AB680C"/>
    <w:rsid w:val="00AB68B4"/>
    <w:rsid w:val="00AB694C"/>
    <w:rsid w:val="00AB6A99"/>
    <w:rsid w:val="00AB6C5E"/>
    <w:rsid w:val="00AB6D8E"/>
    <w:rsid w:val="00AB7C3E"/>
    <w:rsid w:val="00AB7E58"/>
    <w:rsid w:val="00AB7FB3"/>
    <w:rsid w:val="00AC046F"/>
    <w:rsid w:val="00AC064E"/>
    <w:rsid w:val="00AC065A"/>
    <w:rsid w:val="00AC06CB"/>
    <w:rsid w:val="00AC0D1A"/>
    <w:rsid w:val="00AC175D"/>
    <w:rsid w:val="00AC194B"/>
    <w:rsid w:val="00AC1A2C"/>
    <w:rsid w:val="00AC1E8F"/>
    <w:rsid w:val="00AC2889"/>
    <w:rsid w:val="00AC2BDD"/>
    <w:rsid w:val="00AC31C7"/>
    <w:rsid w:val="00AC33E0"/>
    <w:rsid w:val="00AC356E"/>
    <w:rsid w:val="00AC356F"/>
    <w:rsid w:val="00AC377D"/>
    <w:rsid w:val="00AC3AAF"/>
    <w:rsid w:val="00AC3BF7"/>
    <w:rsid w:val="00AC40EF"/>
    <w:rsid w:val="00AC4245"/>
    <w:rsid w:val="00AC430B"/>
    <w:rsid w:val="00AC4437"/>
    <w:rsid w:val="00AC4680"/>
    <w:rsid w:val="00AC479F"/>
    <w:rsid w:val="00AC4C5C"/>
    <w:rsid w:val="00AC4E5E"/>
    <w:rsid w:val="00AC5405"/>
    <w:rsid w:val="00AC5BB9"/>
    <w:rsid w:val="00AC5CB5"/>
    <w:rsid w:val="00AC5D68"/>
    <w:rsid w:val="00AC6355"/>
    <w:rsid w:val="00AC64E5"/>
    <w:rsid w:val="00AC6500"/>
    <w:rsid w:val="00AC6581"/>
    <w:rsid w:val="00AC6760"/>
    <w:rsid w:val="00AC6E41"/>
    <w:rsid w:val="00AC6E58"/>
    <w:rsid w:val="00AC6F87"/>
    <w:rsid w:val="00AC71AE"/>
    <w:rsid w:val="00AC76FA"/>
    <w:rsid w:val="00AC7919"/>
    <w:rsid w:val="00AC7ADB"/>
    <w:rsid w:val="00AC7EFC"/>
    <w:rsid w:val="00AD03E7"/>
    <w:rsid w:val="00AD0AED"/>
    <w:rsid w:val="00AD0C1C"/>
    <w:rsid w:val="00AD172D"/>
    <w:rsid w:val="00AD1DB9"/>
    <w:rsid w:val="00AD23C5"/>
    <w:rsid w:val="00AD292F"/>
    <w:rsid w:val="00AD2C29"/>
    <w:rsid w:val="00AD2C90"/>
    <w:rsid w:val="00AD3178"/>
    <w:rsid w:val="00AD31B7"/>
    <w:rsid w:val="00AD3364"/>
    <w:rsid w:val="00AD364F"/>
    <w:rsid w:val="00AD38D0"/>
    <w:rsid w:val="00AD3B13"/>
    <w:rsid w:val="00AD3B79"/>
    <w:rsid w:val="00AD40A5"/>
    <w:rsid w:val="00AD424A"/>
    <w:rsid w:val="00AD439E"/>
    <w:rsid w:val="00AD45FF"/>
    <w:rsid w:val="00AD4BA9"/>
    <w:rsid w:val="00AD4C62"/>
    <w:rsid w:val="00AD57D2"/>
    <w:rsid w:val="00AD584C"/>
    <w:rsid w:val="00AD69E6"/>
    <w:rsid w:val="00AD6C22"/>
    <w:rsid w:val="00AD71B4"/>
    <w:rsid w:val="00AD7216"/>
    <w:rsid w:val="00AD756F"/>
    <w:rsid w:val="00AD7CEC"/>
    <w:rsid w:val="00AE01AF"/>
    <w:rsid w:val="00AE051F"/>
    <w:rsid w:val="00AE064C"/>
    <w:rsid w:val="00AE0CB1"/>
    <w:rsid w:val="00AE0D46"/>
    <w:rsid w:val="00AE0F48"/>
    <w:rsid w:val="00AE1391"/>
    <w:rsid w:val="00AE13B3"/>
    <w:rsid w:val="00AE1635"/>
    <w:rsid w:val="00AE1918"/>
    <w:rsid w:val="00AE1A82"/>
    <w:rsid w:val="00AE1A95"/>
    <w:rsid w:val="00AE1F2D"/>
    <w:rsid w:val="00AE20B0"/>
    <w:rsid w:val="00AE22E2"/>
    <w:rsid w:val="00AE285F"/>
    <w:rsid w:val="00AE2AC6"/>
    <w:rsid w:val="00AE2BAC"/>
    <w:rsid w:val="00AE2C65"/>
    <w:rsid w:val="00AE300D"/>
    <w:rsid w:val="00AE304A"/>
    <w:rsid w:val="00AE454A"/>
    <w:rsid w:val="00AE4A0A"/>
    <w:rsid w:val="00AE500F"/>
    <w:rsid w:val="00AE53EA"/>
    <w:rsid w:val="00AE5580"/>
    <w:rsid w:val="00AE561B"/>
    <w:rsid w:val="00AE5886"/>
    <w:rsid w:val="00AE59CE"/>
    <w:rsid w:val="00AE5C22"/>
    <w:rsid w:val="00AE5E15"/>
    <w:rsid w:val="00AE62E3"/>
    <w:rsid w:val="00AE68CC"/>
    <w:rsid w:val="00AE6A8F"/>
    <w:rsid w:val="00AE6C34"/>
    <w:rsid w:val="00AE6FE8"/>
    <w:rsid w:val="00AE716B"/>
    <w:rsid w:val="00AE7527"/>
    <w:rsid w:val="00AE7E7B"/>
    <w:rsid w:val="00AE7EA2"/>
    <w:rsid w:val="00AF01AE"/>
    <w:rsid w:val="00AF05AC"/>
    <w:rsid w:val="00AF06F9"/>
    <w:rsid w:val="00AF07AD"/>
    <w:rsid w:val="00AF09DD"/>
    <w:rsid w:val="00AF0DEE"/>
    <w:rsid w:val="00AF1122"/>
    <w:rsid w:val="00AF11A0"/>
    <w:rsid w:val="00AF1305"/>
    <w:rsid w:val="00AF19CA"/>
    <w:rsid w:val="00AF21B3"/>
    <w:rsid w:val="00AF229E"/>
    <w:rsid w:val="00AF29BA"/>
    <w:rsid w:val="00AF29F3"/>
    <w:rsid w:val="00AF33E1"/>
    <w:rsid w:val="00AF35A1"/>
    <w:rsid w:val="00AF36A1"/>
    <w:rsid w:val="00AF3B6F"/>
    <w:rsid w:val="00AF3C0A"/>
    <w:rsid w:val="00AF4F53"/>
    <w:rsid w:val="00AF50A7"/>
    <w:rsid w:val="00AF5588"/>
    <w:rsid w:val="00AF5600"/>
    <w:rsid w:val="00AF5906"/>
    <w:rsid w:val="00AF5ABC"/>
    <w:rsid w:val="00AF5B9F"/>
    <w:rsid w:val="00AF5EE8"/>
    <w:rsid w:val="00AF5F96"/>
    <w:rsid w:val="00AF6193"/>
    <w:rsid w:val="00AF61F3"/>
    <w:rsid w:val="00AF651F"/>
    <w:rsid w:val="00AF6584"/>
    <w:rsid w:val="00AF66DF"/>
    <w:rsid w:val="00AF6741"/>
    <w:rsid w:val="00AF6AB4"/>
    <w:rsid w:val="00AF6BF9"/>
    <w:rsid w:val="00AF6C9D"/>
    <w:rsid w:val="00AF6D80"/>
    <w:rsid w:val="00AF74BD"/>
    <w:rsid w:val="00AF77C1"/>
    <w:rsid w:val="00AF799A"/>
    <w:rsid w:val="00B00495"/>
    <w:rsid w:val="00B00D54"/>
    <w:rsid w:val="00B01051"/>
    <w:rsid w:val="00B010AA"/>
    <w:rsid w:val="00B01419"/>
    <w:rsid w:val="00B01498"/>
    <w:rsid w:val="00B014AB"/>
    <w:rsid w:val="00B0186A"/>
    <w:rsid w:val="00B018E0"/>
    <w:rsid w:val="00B01DDF"/>
    <w:rsid w:val="00B020F6"/>
    <w:rsid w:val="00B02308"/>
    <w:rsid w:val="00B0236D"/>
    <w:rsid w:val="00B02762"/>
    <w:rsid w:val="00B02919"/>
    <w:rsid w:val="00B03278"/>
    <w:rsid w:val="00B03331"/>
    <w:rsid w:val="00B0334C"/>
    <w:rsid w:val="00B036A5"/>
    <w:rsid w:val="00B041A1"/>
    <w:rsid w:val="00B04D67"/>
    <w:rsid w:val="00B05590"/>
    <w:rsid w:val="00B05E83"/>
    <w:rsid w:val="00B064C0"/>
    <w:rsid w:val="00B068D1"/>
    <w:rsid w:val="00B06C8E"/>
    <w:rsid w:val="00B06D28"/>
    <w:rsid w:val="00B0711C"/>
    <w:rsid w:val="00B072BB"/>
    <w:rsid w:val="00B07311"/>
    <w:rsid w:val="00B07380"/>
    <w:rsid w:val="00B0754C"/>
    <w:rsid w:val="00B07673"/>
    <w:rsid w:val="00B077C0"/>
    <w:rsid w:val="00B077C6"/>
    <w:rsid w:val="00B07C30"/>
    <w:rsid w:val="00B07FBC"/>
    <w:rsid w:val="00B10284"/>
    <w:rsid w:val="00B103B1"/>
    <w:rsid w:val="00B10D06"/>
    <w:rsid w:val="00B11070"/>
    <w:rsid w:val="00B110B9"/>
    <w:rsid w:val="00B111A2"/>
    <w:rsid w:val="00B11395"/>
    <w:rsid w:val="00B1145A"/>
    <w:rsid w:val="00B11632"/>
    <w:rsid w:val="00B1170D"/>
    <w:rsid w:val="00B11E5B"/>
    <w:rsid w:val="00B120D6"/>
    <w:rsid w:val="00B12342"/>
    <w:rsid w:val="00B1251F"/>
    <w:rsid w:val="00B1279B"/>
    <w:rsid w:val="00B12D8A"/>
    <w:rsid w:val="00B130AC"/>
    <w:rsid w:val="00B130FB"/>
    <w:rsid w:val="00B133B2"/>
    <w:rsid w:val="00B136A2"/>
    <w:rsid w:val="00B13E00"/>
    <w:rsid w:val="00B13F82"/>
    <w:rsid w:val="00B1421D"/>
    <w:rsid w:val="00B142A8"/>
    <w:rsid w:val="00B14383"/>
    <w:rsid w:val="00B1475D"/>
    <w:rsid w:val="00B14806"/>
    <w:rsid w:val="00B14892"/>
    <w:rsid w:val="00B14A9D"/>
    <w:rsid w:val="00B151EF"/>
    <w:rsid w:val="00B15882"/>
    <w:rsid w:val="00B158F6"/>
    <w:rsid w:val="00B15912"/>
    <w:rsid w:val="00B15944"/>
    <w:rsid w:val="00B1595F"/>
    <w:rsid w:val="00B15ABB"/>
    <w:rsid w:val="00B15BDE"/>
    <w:rsid w:val="00B1625C"/>
    <w:rsid w:val="00B16909"/>
    <w:rsid w:val="00B16DCE"/>
    <w:rsid w:val="00B16FD3"/>
    <w:rsid w:val="00B17255"/>
    <w:rsid w:val="00B17356"/>
    <w:rsid w:val="00B1770B"/>
    <w:rsid w:val="00B17926"/>
    <w:rsid w:val="00B179FD"/>
    <w:rsid w:val="00B17E80"/>
    <w:rsid w:val="00B17EEE"/>
    <w:rsid w:val="00B17F07"/>
    <w:rsid w:val="00B17FE5"/>
    <w:rsid w:val="00B20113"/>
    <w:rsid w:val="00B20487"/>
    <w:rsid w:val="00B205C6"/>
    <w:rsid w:val="00B207BF"/>
    <w:rsid w:val="00B2095F"/>
    <w:rsid w:val="00B21135"/>
    <w:rsid w:val="00B211C2"/>
    <w:rsid w:val="00B21374"/>
    <w:rsid w:val="00B21513"/>
    <w:rsid w:val="00B215CC"/>
    <w:rsid w:val="00B21610"/>
    <w:rsid w:val="00B21650"/>
    <w:rsid w:val="00B216E9"/>
    <w:rsid w:val="00B21CAA"/>
    <w:rsid w:val="00B22335"/>
    <w:rsid w:val="00B223F5"/>
    <w:rsid w:val="00B226BF"/>
    <w:rsid w:val="00B227BE"/>
    <w:rsid w:val="00B22B77"/>
    <w:rsid w:val="00B22CE4"/>
    <w:rsid w:val="00B22E14"/>
    <w:rsid w:val="00B23573"/>
    <w:rsid w:val="00B23715"/>
    <w:rsid w:val="00B23FD1"/>
    <w:rsid w:val="00B2407D"/>
    <w:rsid w:val="00B242F2"/>
    <w:rsid w:val="00B245B8"/>
    <w:rsid w:val="00B24884"/>
    <w:rsid w:val="00B248CC"/>
    <w:rsid w:val="00B24962"/>
    <w:rsid w:val="00B249FB"/>
    <w:rsid w:val="00B24ADB"/>
    <w:rsid w:val="00B24F59"/>
    <w:rsid w:val="00B25397"/>
    <w:rsid w:val="00B2548B"/>
    <w:rsid w:val="00B255BD"/>
    <w:rsid w:val="00B25688"/>
    <w:rsid w:val="00B25A7F"/>
    <w:rsid w:val="00B25AB4"/>
    <w:rsid w:val="00B25BF2"/>
    <w:rsid w:val="00B25CAF"/>
    <w:rsid w:val="00B25F87"/>
    <w:rsid w:val="00B26222"/>
    <w:rsid w:val="00B2627F"/>
    <w:rsid w:val="00B26B99"/>
    <w:rsid w:val="00B26CB3"/>
    <w:rsid w:val="00B274CF"/>
    <w:rsid w:val="00B2785D"/>
    <w:rsid w:val="00B27D51"/>
    <w:rsid w:val="00B27D9A"/>
    <w:rsid w:val="00B3025D"/>
    <w:rsid w:val="00B303A6"/>
    <w:rsid w:val="00B30766"/>
    <w:rsid w:val="00B30EDC"/>
    <w:rsid w:val="00B31314"/>
    <w:rsid w:val="00B31459"/>
    <w:rsid w:val="00B315A8"/>
    <w:rsid w:val="00B3166C"/>
    <w:rsid w:val="00B316F0"/>
    <w:rsid w:val="00B318F4"/>
    <w:rsid w:val="00B32090"/>
    <w:rsid w:val="00B32510"/>
    <w:rsid w:val="00B32567"/>
    <w:rsid w:val="00B3265E"/>
    <w:rsid w:val="00B328CF"/>
    <w:rsid w:val="00B330E0"/>
    <w:rsid w:val="00B3312A"/>
    <w:rsid w:val="00B33475"/>
    <w:rsid w:val="00B3353A"/>
    <w:rsid w:val="00B3385A"/>
    <w:rsid w:val="00B33909"/>
    <w:rsid w:val="00B33922"/>
    <w:rsid w:val="00B34226"/>
    <w:rsid w:val="00B34291"/>
    <w:rsid w:val="00B343AD"/>
    <w:rsid w:val="00B3443C"/>
    <w:rsid w:val="00B34861"/>
    <w:rsid w:val="00B34C9C"/>
    <w:rsid w:val="00B34EAF"/>
    <w:rsid w:val="00B359F8"/>
    <w:rsid w:val="00B35BD7"/>
    <w:rsid w:val="00B35D1F"/>
    <w:rsid w:val="00B36468"/>
    <w:rsid w:val="00B369BD"/>
    <w:rsid w:val="00B36B50"/>
    <w:rsid w:val="00B36F3B"/>
    <w:rsid w:val="00B36FB3"/>
    <w:rsid w:val="00B36FEF"/>
    <w:rsid w:val="00B37096"/>
    <w:rsid w:val="00B37FF7"/>
    <w:rsid w:val="00B400C1"/>
    <w:rsid w:val="00B40428"/>
    <w:rsid w:val="00B40582"/>
    <w:rsid w:val="00B40823"/>
    <w:rsid w:val="00B408C0"/>
    <w:rsid w:val="00B40F13"/>
    <w:rsid w:val="00B41110"/>
    <w:rsid w:val="00B4115B"/>
    <w:rsid w:val="00B4144A"/>
    <w:rsid w:val="00B4149D"/>
    <w:rsid w:val="00B414A3"/>
    <w:rsid w:val="00B4151B"/>
    <w:rsid w:val="00B41676"/>
    <w:rsid w:val="00B416A1"/>
    <w:rsid w:val="00B417E1"/>
    <w:rsid w:val="00B41F0D"/>
    <w:rsid w:val="00B42167"/>
    <w:rsid w:val="00B42F1A"/>
    <w:rsid w:val="00B4319E"/>
    <w:rsid w:val="00B43222"/>
    <w:rsid w:val="00B43302"/>
    <w:rsid w:val="00B43E5B"/>
    <w:rsid w:val="00B44603"/>
    <w:rsid w:val="00B4469D"/>
    <w:rsid w:val="00B44A53"/>
    <w:rsid w:val="00B44B88"/>
    <w:rsid w:val="00B44BE7"/>
    <w:rsid w:val="00B44C00"/>
    <w:rsid w:val="00B44D20"/>
    <w:rsid w:val="00B4519D"/>
    <w:rsid w:val="00B454A2"/>
    <w:rsid w:val="00B45522"/>
    <w:rsid w:val="00B455C2"/>
    <w:rsid w:val="00B456BE"/>
    <w:rsid w:val="00B456CB"/>
    <w:rsid w:val="00B456E1"/>
    <w:rsid w:val="00B45732"/>
    <w:rsid w:val="00B458F8"/>
    <w:rsid w:val="00B458FF"/>
    <w:rsid w:val="00B45ABD"/>
    <w:rsid w:val="00B45E03"/>
    <w:rsid w:val="00B45FD0"/>
    <w:rsid w:val="00B46047"/>
    <w:rsid w:val="00B46062"/>
    <w:rsid w:val="00B46111"/>
    <w:rsid w:val="00B4631B"/>
    <w:rsid w:val="00B464F3"/>
    <w:rsid w:val="00B46ABE"/>
    <w:rsid w:val="00B46C21"/>
    <w:rsid w:val="00B47478"/>
    <w:rsid w:val="00B50600"/>
    <w:rsid w:val="00B508D0"/>
    <w:rsid w:val="00B508DE"/>
    <w:rsid w:val="00B50B30"/>
    <w:rsid w:val="00B50BE7"/>
    <w:rsid w:val="00B50C62"/>
    <w:rsid w:val="00B51051"/>
    <w:rsid w:val="00B51890"/>
    <w:rsid w:val="00B51936"/>
    <w:rsid w:val="00B51F91"/>
    <w:rsid w:val="00B5200F"/>
    <w:rsid w:val="00B52778"/>
    <w:rsid w:val="00B52FF4"/>
    <w:rsid w:val="00B5319E"/>
    <w:rsid w:val="00B532E1"/>
    <w:rsid w:val="00B53509"/>
    <w:rsid w:val="00B535D4"/>
    <w:rsid w:val="00B53CB9"/>
    <w:rsid w:val="00B54255"/>
    <w:rsid w:val="00B54523"/>
    <w:rsid w:val="00B54A91"/>
    <w:rsid w:val="00B5500E"/>
    <w:rsid w:val="00B55179"/>
    <w:rsid w:val="00B55323"/>
    <w:rsid w:val="00B5564B"/>
    <w:rsid w:val="00B556A7"/>
    <w:rsid w:val="00B55826"/>
    <w:rsid w:val="00B55D92"/>
    <w:rsid w:val="00B562D0"/>
    <w:rsid w:val="00B568F9"/>
    <w:rsid w:val="00B56ADB"/>
    <w:rsid w:val="00B56D11"/>
    <w:rsid w:val="00B56F59"/>
    <w:rsid w:val="00B57203"/>
    <w:rsid w:val="00B57321"/>
    <w:rsid w:val="00B57A44"/>
    <w:rsid w:val="00B6000D"/>
    <w:rsid w:val="00B601F7"/>
    <w:rsid w:val="00B605DB"/>
    <w:rsid w:val="00B607EC"/>
    <w:rsid w:val="00B60CDD"/>
    <w:rsid w:val="00B6138E"/>
    <w:rsid w:val="00B615FC"/>
    <w:rsid w:val="00B6193C"/>
    <w:rsid w:val="00B61F56"/>
    <w:rsid w:val="00B6262D"/>
    <w:rsid w:val="00B6292D"/>
    <w:rsid w:val="00B6295A"/>
    <w:rsid w:val="00B62A4A"/>
    <w:rsid w:val="00B62DEF"/>
    <w:rsid w:val="00B62FCD"/>
    <w:rsid w:val="00B63060"/>
    <w:rsid w:val="00B631F2"/>
    <w:rsid w:val="00B634EC"/>
    <w:rsid w:val="00B6354C"/>
    <w:rsid w:val="00B63682"/>
    <w:rsid w:val="00B63845"/>
    <w:rsid w:val="00B63F41"/>
    <w:rsid w:val="00B645DB"/>
    <w:rsid w:val="00B649F4"/>
    <w:rsid w:val="00B64CDA"/>
    <w:rsid w:val="00B64E8E"/>
    <w:rsid w:val="00B64F41"/>
    <w:rsid w:val="00B64F4F"/>
    <w:rsid w:val="00B64F5A"/>
    <w:rsid w:val="00B65ABE"/>
    <w:rsid w:val="00B65D62"/>
    <w:rsid w:val="00B65EF7"/>
    <w:rsid w:val="00B66291"/>
    <w:rsid w:val="00B66360"/>
    <w:rsid w:val="00B663A9"/>
    <w:rsid w:val="00B666D3"/>
    <w:rsid w:val="00B666DB"/>
    <w:rsid w:val="00B66B61"/>
    <w:rsid w:val="00B66BC3"/>
    <w:rsid w:val="00B67506"/>
    <w:rsid w:val="00B67744"/>
    <w:rsid w:val="00B67E63"/>
    <w:rsid w:val="00B7002A"/>
    <w:rsid w:val="00B70231"/>
    <w:rsid w:val="00B70411"/>
    <w:rsid w:val="00B7052E"/>
    <w:rsid w:val="00B70537"/>
    <w:rsid w:val="00B7059D"/>
    <w:rsid w:val="00B708E4"/>
    <w:rsid w:val="00B70BAC"/>
    <w:rsid w:val="00B7118F"/>
    <w:rsid w:val="00B71896"/>
    <w:rsid w:val="00B71E3C"/>
    <w:rsid w:val="00B720E6"/>
    <w:rsid w:val="00B7211F"/>
    <w:rsid w:val="00B726E7"/>
    <w:rsid w:val="00B72740"/>
    <w:rsid w:val="00B727A3"/>
    <w:rsid w:val="00B72B45"/>
    <w:rsid w:val="00B7306E"/>
    <w:rsid w:val="00B73112"/>
    <w:rsid w:val="00B73151"/>
    <w:rsid w:val="00B731E7"/>
    <w:rsid w:val="00B738E9"/>
    <w:rsid w:val="00B73AEF"/>
    <w:rsid w:val="00B742FA"/>
    <w:rsid w:val="00B74476"/>
    <w:rsid w:val="00B7469C"/>
    <w:rsid w:val="00B746A0"/>
    <w:rsid w:val="00B7471B"/>
    <w:rsid w:val="00B74C18"/>
    <w:rsid w:val="00B74F75"/>
    <w:rsid w:val="00B751BA"/>
    <w:rsid w:val="00B75306"/>
    <w:rsid w:val="00B75370"/>
    <w:rsid w:val="00B75576"/>
    <w:rsid w:val="00B756A3"/>
    <w:rsid w:val="00B756B8"/>
    <w:rsid w:val="00B756E6"/>
    <w:rsid w:val="00B7577F"/>
    <w:rsid w:val="00B75AF5"/>
    <w:rsid w:val="00B75B1B"/>
    <w:rsid w:val="00B75B57"/>
    <w:rsid w:val="00B75B93"/>
    <w:rsid w:val="00B75BE3"/>
    <w:rsid w:val="00B76162"/>
    <w:rsid w:val="00B76213"/>
    <w:rsid w:val="00B76222"/>
    <w:rsid w:val="00B765C9"/>
    <w:rsid w:val="00B7671E"/>
    <w:rsid w:val="00B768BE"/>
    <w:rsid w:val="00B76982"/>
    <w:rsid w:val="00B76D48"/>
    <w:rsid w:val="00B77078"/>
    <w:rsid w:val="00B77100"/>
    <w:rsid w:val="00B77891"/>
    <w:rsid w:val="00B77AC3"/>
    <w:rsid w:val="00B77C7B"/>
    <w:rsid w:val="00B803BE"/>
    <w:rsid w:val="00B805CA"/>
    <w:rsid w:val="00B80A4E"/>
    <w:rsid w:val="00B80D60"/>
    <w:rsid w:val="00B80E8B"/>
    <w:rsid w:val="00B811B6"/>
    <w:rsid w:val="00B8128D"/>
    <w:rsid w:val="00B81661"/>
    <w:rsid w:val="00B81EEF"/>
    <w:rsid w:val="00B820BB"/>
    <w:rsid w:val="00B82DF1"/>
    <w:rsid w:val="00B83335"/>
    <w:rsid w:val="00B8357B"/>
    <w:rsid w:val="00B83627"/>
    <w:rsid w:val="00B83715"/>
    <w:rsid w:val="00B83B61"/>
    <w:rsid w:val="00B83DDC"/>
    <w:rsid w:val="00B8435C"/>
    <w:rsid w:val="00B849C3"/>
    <w:rsid w:val="00B84FA5"/>
    <w:rsid w:val="00B85441"/>
    <w:rsid w:val="00B854FD"/>
    <w:rsid w:val="00B85636"/>
    <w:rsid w:val="00B857AB"/>
    <w:rsid w:val="00B858A4"/>
    <w:rsid w:val="00B85D4A"/>
    <w:rsid w:val="00B85F15"/>
    <w:rsid w:val="00B86029"/>
    <w:rsid w:val="00B860C2"/>
    <w:rsid w:val="00B869E6"/>
    <w:rsid w:val="00B86CA8"/>
    <w:rsid w:val="00B86D53"/>
    <w:rsid w:val="00B86DF7"/>
    <w:rsid w:val="00B86EEB"/>
    <w:rsid w:val="00B8780A"/>
    <w:rsid w:val="00B87991"/>
    <w:rsid w:val="00B87B0E"/>
    <w:rsid w:val="00B87C21"/>
    <w:rsid w:val="00B87EE7"/>
    <w:rsid w:val="00B900BC"/>
    <w:rsid w:val="00B902B5"/>
    <w:rsid w:val="00B90498"/>
    <w:rsid w:val="00B904AA"/>
    <w:rsid w:val="00B90AF8"/>
    <w:rsid w:val="00B90F1B"/>
    <w:rsid w:val="00B91032"/>
    <w:rsid w:val="00B91093"/>
    <w:rsid w:val="00B91446"/>
    <w:rsid w:val="00B91589"/>
    <w:rsid w:val="00B91759"/>
    <w:rsid w:val="00B917EC"/>
    <w:rsid w:val="00B92265"/>
    <w:rsid w:val="00B9267D"/>
    <w:rsid w:val="00B926C0"/>
    <w:rsid w:val="00B92963"/>
    <w:rsid w:val="00B93196"/>
    <w:rsid w:val="00B93583"/>
    <w:rsid w:val="00B9374C"/>
    <w:rsid w:val="00B93B9D"/>
    <w:rsid w:val="00B93DB3"/>
    <w:rsid w:val="00B94201"/>
    <w:rsid w:val="00B94315"/>
    <w:rsid w:val="00B94348"/>
    <w:rsid w:val="00B94386"/>
    <w:rsid w:val="00B94509"/>
    <w:rsid w:val="00B94939"/>
    <w:rsid w:val="00B94D48"/>
    <w:rsid w:val="00B94F54"/>
    <w:rsid w:val="00B95016"/>
    <w:rsid w:val="00B9522E"/>
    <w:rsid w:val="00B95262"/>
    <w:rsid w:val="00B9539B"/>
    <w:rsid w:val="00B95948"/>
    <w:rsid w:val="00B95C6F"/>
    <w:rsid w:val="00B95EB1"/>
    <w:rsid w:val="00B96021"/>
    <w:rsid w:val="00B96081"/>
    <w:rsid w:val="00B968B3"/>
    <w:rsid w:val="00B96CFA"/>
    <w:rsid w:val="00B97526"/>
    <w:rsid w:val="00B9766B"/>
    <w:rsid w:val="00B9771F"/>
    <w:rsid w:val="00B97A25"/>
    <w:rsid w:val="00BA07AE"/>
    <w:rsid w:val="00BA165A"/>
    <w:rsid w:val="00BA166F"/>
    <w:rsid w:val="00BA1B27"/>
    <w:rsid w:val="00BA23EE"/>
    <w:rsid w:val="00BA24E4"/>
    <w:rsid w:val="00BA2577"/>
    <w:rsid w:val="00BA25C2"/>
    <w:rsid w:val="00BA26D9"/>
    <w:rsid w:val="00BA2983"/>
    <w:rsid w:val="00BA2A75"/>
    <w:rsid w:val="00BA2B99"/>
    <w:rsid w:val="00BA2C5B"/>
    <w:rsid w:val="00BA32A8"/>
    <w:rsid w:val="00BA33EA"/>
    <w:rsid w:val="00BA390F"/>
    <w:rsid w:val="00BA45FE"/>
    <w:rsid w:val="00BA4A9C"/>
    <w:rsid w:val="00BA4BD9"/>
    <w:rsid w:val="00BA4E5F"/>
    <w:rsid w:val="00BA54D3"/>
    <w:rsid w:val="00BA62DB"/>
    <w:rsid w:val="00BA64A6"/>
    <w:rsid w:val="00BA66B1"/>
    <w:rsid w:val="00BA7BB4"/>
    <w:rsid w:val="00BA7D8C"/>
    <w:rsid w:val="00BB0585"/>
    <w:rsid w:val="00BB07A8"/>
    <w:rsid w:val="00BB0D70"/>
    <w:rsid w:val="00BB0EF7"/>
    <w:rsid w:val="00BB0EFC"/>
    <w:rsid w:val="00BB0F40"/>
    <w:rsid w:val="00BB10C4"/>
    <w:rsid w:val="00BB162F"/>
    <w:rsid w:val="00BB18D2"/>
    <w:rsid w:val="00BB1C63"/>
    <w:rsid w:val="00BB1C6A"/>
    <w:rsid w:val="00BB1DAD"/>
    <w:rsid w:val="00BB1DDB"/>
    <w:rsid w:val="00BB1EFE"/>
    <w:rsid w:val="00BB1F3A"/>
    <w:rsid w:val="00BB24D8"/>
    <w:rsid w:val="00BB24F6"/>
    <w:rsid w:val="00BB2B82"/>
    <w:rsid w:val="00BB2C86"/>
    <w:rsid w:val="00BB2D0C"/>
    <w:rsid w:val="00BB2D36"/>
    <w:rsid w:val="00BB2FE1"/>
    <w:rsid w:val="00BB326D"/>
    <w:rsid w:val="00BB367D"/>
    <w:rsid w:val="00BB38F1"/>
    <w:rsid w:val="00BB39C9"/>
    <w:rsid w:val="00BB3AC2"/>
    <w:rsid w:val="00BB3B43"/>
    <w:rsid w:val="00BB3F4F"/>
    <w:rsid w:val="00BB4009"/>
    <w:rsid w:val="00BB40E4"/>
    <w:rsid w:val="00BB42E1"/>
    <w:rsid w:val="00BB4476"/>
    <w:rsid w:val="00BB4829"/>
    <w:rsid w:val="00BB49E9"/>
    <w:rsid w:val="00BB4ABA"/>
    <w:rsid w:val="00BB4B36"/>
    <w:rsid w:val="00BB4DD6"/>
    <w:rsid w:val="00BB4FD4"/>
    <w:rsid w:val="00BB50B2"/>
    <w:rsid w:val="00BB51A9"/>
    <w:rsid w:val="00BB52A8"/>
    <w:rsid w:val="00BB56AF"/>
    <w:rsid w:val="00BB5831"/>
    <w:rsid w:val="00BB5B58"/>
    <w:rsid w:val="00BB5C72"/>
    <w:rsid w:val="00BB62EF"/>
    <w:rsid w:val="00BB637C"/>
    <w:rsid w:val="00BB64FE"/>
    <w:rsid w:val="00BB6B4C"/>
    <w:rsid w:val="00BB7147"/>
    <w:rsid w:val="00BB7241"/>
    <w:rsid w:val="00BB73D0"/>
    <w:rsid w:val="00BB7582"/>
    <w:rsid w:val="00BB797F"/>
    <w:rsid w:val="00BC01E0"/>
    <w:rsid w:val="00BC0668"/>
    <w:rsid w:val="00BC0C06"/>
    <w:rsid w:val="00BC131F"/>
    <w:rsid w:val="00BC16A1"/>
    <w:rsid w:val="00BC1893"/>
    <w:rsid w:val="00BC1F2B"/>
    <w:rsid w:val="00BC206F"/>
    <w:rsid w:val="00BC21DC"/>
    <w:rsid w:val="00BC23A0"/>
    <w:rsid w:val="00BC23A1"/>
    <w:rsid w:val="00BC247F"/>
    <w:rsid w:val="00BC24E5"/>
    <w:rsid w:val="00BC27B9"/>
    <w:rsid w:val="00BC29CA"/>
    <w:rsid w:val="00BC2A72"/>
    <w:rsid w:val="00BC2C05"/>
    <w:rsid w:val="00BC346B"/>
    <w:rsid w:val="00BC3750"/>
    <w:rsid w:val="00BC39FE"/>
    <w:rsid w:val="00BC3DDA"/>
    <w:rsid w:val="00BC3DE5"/>
    <w:rsid w:val="00BC4294"/>
    <w:rsid w:val="00BC438D"/>
    <w:rsid w:val="00BC4617"/>
    <w:rsid w:val="00BC4650"/>
    <w:rsid w:val="00BC47A3"/>
    <w:rsid w:val="00BC48E0"/>
    <w:rsid w:val="00BC4CED"/>
    <w:rsid w:val="00BC4E3D"/>
    <w:rsid w:val="00BC501E"/>
    <w:rsid w:val="00BC5530"/>
    <w:rsid w:val="00BC587D"/>
    <w:rsid w:val="00BC5CF7"/>
    <w:rsid w:val="00BC6760"/>
    <w:rsid w:val="00BC6957"/>
    <w:rsid w:val="00BC69C4"/>
    <w:rsid w:val="00BC6B2B"/>
    <w:rsid w:val="00BC6B45"/>
    <w:rsid w:val="00BC7949"/>
    <w:rsid w:val="00BC795C"/>
    <w:rsid w:val="00BC797E"/>
    <w:rsid w:val="00BC7B29"/>
    <w:rsid w:val="00BC7C00"/>
    <w:rsid w:val="00BD0149"/>
    <w:rsid w:val="00BD02B9"/>
    <w:rsid w:val="00BD07F9"/>
    <w:rsid w:val="00BD08FD"/>
    <w:rsid w:val="00BD0AD1"/>
    <w:rsid w:val="00BD1163"/>
    <w:rsid w:val="00BD117B"/>
    <w:rsid w:val="00BD135C"/>
    <w:rsid w:val="00BD1ABF"/>
    <w:rsid w:val="00BD1E08"/>
    <w:rsid w:val="00BD208C"/>
    <w:rsid w:val="00BD236C"/>
    <w:rsid w:val="00BD25E1"/>
    <w:rsid w:val="00BD28D7"/>
    <w:rsid w:val="00BD2EF8"/>
    <w:rsid w:val="00BD3120"/>
    <w:rsid w:val="00BD3364"/>
    <w:rsid w:val="00BD3B1E"/>
    <w:rsid w:val="00BD3EAC"/>
    <w:rsid w:val="00BD3EE0"/>
    <w:rsid w:val="00BD3FA1"/>
    <w:rsid w:val="00BD3FC9"/>
    <w:rsid w:val="00BD40E7"/>
    <w:rsid w:val="00BD4102"/>
    <w:rsid w:val="00BD42BE"/>
    <w:rsid w:val="00BD4651"/>
    <w:rsid w:val="00BD495A"/>
    <w:rsid w:val="00BD4B13"/>
    <w:rsid w:val="00BD5CEE"/>
    <w:rsid w:val="00BD5D35"/>
    <w:rsid w:val="00BD6278"/>
    <w:rsid w:val="00BD634A"/>
    <w:rsid w:val="00BD6372"/>
    <w:rsid w:val="00BD66E2"/>
    <w:rsid w:val="00BD6729"/>
    <w:rsid w:val="00BD698D"/>
    <w:rsid w:val="00BD6C64"/>
    <w:rsid w:val="00BD71EF"/>
    <w:rsid w:val="00BD72E7"/>
    <w:rsid w:val="00BE03C4"/>
    <w:rsid w:val="00BE0A7B"/>
    <w:rsid w:val="00BE0B50"/>
    <w:rsid w:val="00BE0E64"/>
    <w:rsid w:val="00BE0FFB"/>
    <w:rsid w:val="00BE1140"/>
    <w:rsid w:val="00BE1CCE"/>
    <w:rsid w:val="00BE1D0B"/>
    <w:rsid w:val="00BE1F0A"/>
    <w:rsid w:val="00BE2611"/>
    <w:rsid w:val="00BE29C6"/>
    <w:rsid w:val="00BE2A63"/>
    <w:rsid w:val="00BE2DB9"/>
    <w:rsid w:val="00BE358C"/>
    <w:rsid w:val="00BE3A58"/>
    <w:rsid w:val="00BE4236"/>
    <w:rsid w:val="00BE487C"/>
    <w:rsid w:val="00BE4990"/>
    <w:rsid w:val="00BE4E63"/>
    <w:rsid w:val="00BE500B"/>
    <w:rsid w:val="00BE5176"/>
    <w:rsid w:val="00BE5722"/>
    <w:rsid w:val="00BE6006"/>
    <w:rsid w:val="00BE60A3"/>
    <w:rsid w:val="00BE62BD"/>
    <w:rsid w:val="00BE6B00"/>
    <w:rsid w:val="00BE6E44"/>
    <w:rsid w:val="00BE733F"/>
    <w:rsid w:val="00BE762F"/>
    <w:rsid w:val="00BE7AF0"/>
    <w:rsid w:val="00BE7E09"/>
    <w:rsid w:val="00BF063F"/>
    <w:rsid w:val="00BF0B1D"/>
    <w:rsid w:val="00BF10B1"/>
    <w:rsid w:val="00BF10E4"/>
    <w:rsid w:val="00BF1740"/>
    <w:rsid w:val="00BF19C5"/>
    <w:rsid w:val="00BF22D3"/>
    <w:rsid w:val="00BF22E5"/>
    <w:rsid w:val="00BF22EE"/>
    <w:rsid w:val="00BF2E63"/>
    <w:rsid w:val="00BF3343"/>
    <w:rsid w:val="00BF3CB1"/>
    <w:rsid w:val="00BF3DD6"/>
    <w:rsid w:val="00BF43CA"/>
    <w:rsid w:val="00BF444D"/>
    <w:rsid w:val="00BF4628"/>
    <w:rsid w:val="00BF4742"/>
    <w:rsid w:val="00BF4794"/>
    <w:rsid w:val="00BF47DD"/>
    <w:rsid w:val="00BF4933"/>
    <w:rsid w:val="00BF51E8"/>
    <w:rsid w:val="00BF5498"/>
    <w:rsid w:val="00BF54E7"/>
    <w:rsid w:val="00BF5680"/>
    <w:rsid w:val="00BF58BC"/>
    <w:rsid w:val="00BF5CC2"/>
    <w:rsid w:val="00BF6BE2"/>
    <w:rsid w:val="00BF6CC0"/>
    <w:rsid w:val="00BF6EAF"/>
    <w:rsid w:val="00BF70C9"/>
    <w:rsid w:val="00BF74AD"/>
    <w:rsid w:val="00BF76CF"/>
    <w:rsid w:val="00BF7ACC"/>
    <w:rsid w:val="00BF7FED"/>
    <w:rsid w:val="00C00004"/>
    <w:rsid w:val="00C00B30"/>
    <w:rsid w:val="00C00D80"/>
    <w:rsid w:val="00C01240"/>
    <w:rsid w:val="00C0154A"/>
    <w:rsid w:val="00C0165B"/>
    <w:rsid w:val="00C019AF"/>
    <w:rsid w:val="00C01AA9"/>
    <w:rsid w:val="00C01BA9"/>
    <w:rsid w:val="00C01BAE"/>
    <w:rsid w:val="00C01DA1"/>
    <w:rsid w:val="00C01F1C"/>
    <w:rsid w:val="00C02537"/>
    <w:rsid w:val="00C026C4"/>
    <w:rsid w:val="00C02966"/>
    <w:rsid w:val="00C02D54"/>
    <w:rsid w:val="00C032C8"/>
    <w:rsid w:val="00C032F9"/>
    <w:rsid w:val="00C033D5"/>
    <w:rsid w:val="00C03430"/>
    <w:rsid w:val="00C0365B"/>
    <w:rsid w:val="00C042A4"/>
    <w:rsid w:val="00C04376"/>
    <w:rsid w:val="00C049BB"/>
    <w:rsid w:val="00C04D23"/>
    <w:rsid w:val="00C04F9B"/>
    <w:rsid w:val="00C0521B"/>
    <w:rsid w:val="00C056BD"/>
    <w:rsid w:val="00C05870"/>
    <w:rsid w:val="00C058A7"/>
    <w:rsid w:val="00C05D1C"/>
    <w:rsid w:val="00C06007"/>
    <w:rsid w:val="00C060E0"/>
    <w:rsid w:val="00C0648C"/>
    <w:rsid w:val="00C069EB"/>
    <w:rsid w:val="00C06E57"/>
    <w:rsid w:val="00C07A93"/>
    <w:rsid w:val="00C07B0B"/>
    <w:rsid w:val="00C07F06"/>
    <w:rsid w:val="00C07F61"/>
    <w:rsid w:val="00C10085"/>
    <w:rsid w:val="00C1049F"/>
    <w:rsid w:val="00C106C0"/>
    <w:rsid w:val="00C107BF"/>
    <w:rsid w:val="00C10B02"/>
    <w:rsid w:val="00C10F5E"/>
    <w:rsid w:val="00C11228"/>
    <w:rsid w:val="00C1142F"/>
    <w:rsid w:val="00C115F8"/>
    <w:rsid w:val="00C1167C"/>
    <w:rsid w:val="00C116D5"/>
    <w:rsid w:val="00C11947"/>
    <w:rsid w:val="00C11CBC"/>
    <w:rsid w:val="00C11FE2"/>
    <w:rsid w:val="00C11FED"/>
    <w:rsid w:val="00C12016"/>
    <w:rsid w:val="00C12309"/>
    <w:rsid w:val="00C1235C"/>
    <w:rsid w:val="00C12481"/>
    <w:rsid w:val="00C12536"/>
    <w:rsid w:val="00C126C0"/>
    <w:rsid w:val="00C12BB0"/>
    <w:rsid w:val="00C12BDE"/>
    <w:rsid w:val="00C12E60"/>
    <w:rsid w:val="00C1331A"/>
    <w:rsid w:val="00C135DB"/>
    <w:rsid w:val="00C13D03"/>
    <w:rsid w:val="00C13E13"/>
    <w:rsid w:val="00C13EC3"/>
    <w:rsid w:val="00C141CC"/>
    <w:rsid w:val="00C141E8"/>
    <w:rsid w:val="00C145AC"/>
    <w:rsid w:val="00C147CB"/>
    <w:rsid w:val="00C147FD"/>
    <w:rsid w:val="00C14867"/>
    <w:rsid w:val="00C14935"/>
    <w:rsid w:val="00C1499F"/>
    <w:rsid w:val="00C14E33"/>
    <w:rsid w:val="00C14EB4"/>
    <w:rsid w:val="00C15348"/>
    <w:rsid w:val="00C15946"/>
    <w:rsid w:val="00C15AB3"/>
    <w:rsid w:val="00C166A5"/>
    <w:rsid w:val="00C1670F"/>
    <w:rsid w:val="00C17408"/>
    <w:rsid w:val="00C17492"/>
    <w:rsid w:val="00C17502"/>
    <w:rsid w:val="00C17565"/>
    <w:rsid w:val="00C17DFD"/>
    <w:rsid w:val="00C2070B"/>
    <w:rsid w:val="00C208EF"/>
    <w:rsid w:val="00C20C73"/>
    <w:rsid w:val="00C211E8"/>
    <w:rsid w:val="00C212D1"/>
    <w:rsid w:val="00C21759"/>
    <w:rsid w:val="00C21C79"/>
    <w:rsid w:val="00C21C7C"/>
    <w:rsid w:val="00C21CD0"/>
    <w:rsid w:val="00C21FAA"/>
    <w:rsid w:val="00C2251A"/>
    <w:rsid w:val="00C22535"/>
    <w:rsid w:val="00C22C4F"/>
    <w:rsid w:val="00C22CD2"/>
    <w:rsid w:val="00C23224"/>
    <w:rsid w:val="00C23459"/>
    <w:rsid w:val="00C23924"/>
    <w:rsid w:val="00C23F98"/>
    <w:rsid w:val="00C240AB"/>
    <w:rsid w:val="00C24191"/>
    <w:rsid w:val="00C241C8"/>
    <w:rsid w:val="00C24622"/>
    <w:rsid w:val="00C24D08"/>
    <w:rsid w:val="00C24F0D"/>
    <w:rsid w:val="00C254D9"/>
    <w:rsid w:val="00C25528"/>
    <w:rsid w:val="00C255BC"/>
    <w:rsid w:val="00C25E04"/>
    <w:rsid w:val="00C26C5C"/>
    <w:rsid w:val="00C27086"/>
    <w:rsid w:val="00C270C9"/>
    <w:rsid w:val="00C27AEE"/>
    <w:rsid w:val="00C27C0B"/>
    <w:rsid w:val="00C27DD2"/>
    <w:rsid w:val="00C30061"/>
    <w:rsid w:val="00C305F7"/>
    <w:rsid w:val="00C307CE"/>
    <w:rsid w:val="00C30C4C"/>
    <w:rsid w:val="00C312F0"/>
    <w:rsid w:val="00C316A8"/>
    <w:rsid w:val="00C31F8D"/>
    <w:rsid w:val="00C320CB"/>
    <w:rsid w:val="00C32186"/>
    <w:rsid w:val="00C32797"/>
    <w:rsid w:val="00C32800"/>
    <w:rsid w:val="00C32810"/>
    <w:rsid w:val="00C32C23"/>
    <w:rsid w:val="00C32F55"/>
    <w:rsid w:val="00C3304B"/>
    <w:rsid w:val="00C332BF"/>
    <w:rsid w:val="00C3466C"/>
    <w:rsid w:val="00C3471A"/>
    <w:rsid w:val="00C34934"/>
    <w:rsid w:val="00C34E33"/>
    <w:rsid w:val="00C352F8"/>
    <w:rsid w:val="00C3534A"/>
    <w:rsid w:val="00C35884"/>
    <w:rsid w:val="00C35979"/>
    <w:rsid w:val="00C35A18"/>
    <w:rsid w:val="00C35A27"/>
    <w:rsid w:val="00C360E9"/>
    <w:rsid w:val="00C36281"/>
    <w:rsid w:val="00C362DD"/>
    <w:rsid w:val="00C3634F"/>
    <w:rsid w:val="00C363CD"/>
    <w:rsid w:val="00C36771"/>
    <w:rsid w:val="00C36999"/>
    <w:rsid w:val="00C369D7"/>
    <w:rsid w:val="00C36BC1"/>
    <w:rsid w:val="00C36DD9"/>
    <w:rsid w:val="00C36F4D"/>
    <w:rsid w:val="00C37C7C"/>
    <w:rsid w:val="00C37D7A"/>
    <w:rsid w:val="00C40616"/>
    <w:rsid w:val="00C40683"/>
    <w:rsid w:val="00C40859"/>
    <w:rsid w:val="00C409CA"/>
    <w:rsid w:val="00C41084"/>
    <w:rsid w:val="00C411EE"/>
    <w:rsid w:val="00C41456"/>
    <w:rsid w:val="00C41865"/>
    <w:rsid w:val="00C420B3"/>
    <w:rsid w:val="00C42121"/>
    <w:rsid w:val="00C42248"/>
    <w:rsid w:val="00C42749"/>
    <w:rsid w:val="00C42AB4"/>
    <w:rsid w:val="00C42E0C"/>
    <w:rsid w:val="00C42EA2"/>
    <w:rsid w:val="00C42FA2"/>
    <w:rsid w:val="00C43011"/>
    <w:rsid w:val="00C431C3"/>
    <w:rsid w:val="00C43536"/>
    <w:rsid w:val="00C43CF0"/>
    <w:rsid w:val="00C4402C"/>
    <w:rsid w:val="00C4446D"/>
    <w:rsid w:val="00C4450D"/>
    <w:rsid w:val="00C44522"/>
    <w:rsid w:val="00C449F2"/>
    <w:rsid w:val="00C44E79"/>
    <w:rsid w:val="00C44FBE"/>
    <w:rsid w:val="00C450F8"/>
    <w:rsid w:val="00C45345"/>
    <w:rsid w:val="00C45EAC"/>
    <w:rsid w:val="00C45EC2"/>
    <w:rsid w:val="00C46CCD"/>
    <w:rsid w:val="00C46E91"/>
    <w:rsid w:val="00C46EC3"/>
    <w:rsid w:val="00C46F91"/>
    <w:rsid w:val="00C471C7"/>
    <w:rsid w:val="00C472D9"/>
    <w:rsid w:val="00C47332"/>
    <w:rsid w:val="00C473BD"/>
    <w:rsid w:val="00C4748E"/>
    <w:rsid w:val="00C47705"/>
    <w:rsid w:val="00C47B0A"/>
    <w:rsid w:val="00C47B13"/>
    <w:rsid w:val="00C50658"/>
    <w:rsid w:val="00C5079A"/>
    <w:rsid w:val="00C50CDC"/>
    <w:rsid w:val="00C50DE7"/>
    <w:rsid w:val="00C518FE"/>
    <w:rsid w:val="00C51BFD"/>
    <w:rsid w:val="00C527EE"/>
    <w:rsid w:val="00C52DB4"/>
    <w:rsid w:val="00C530E4"/>
    <w:rsid w:val="00C53505"/>
    <w:rsid w:val="00C5357E"/>
    <w:rsid w:val="00C5377B"/>
    <w:rsid w:val="00C53798"/>
    <w:rsid w:val="00C53CB6"/>
    <w:rsid w:val="00C53E01"/>
    <w:rsid w:val="00C53FF3"/>
    <w:rsid w:val="00C547C7"/>
    <w:rsid w:val="00C550AF"/>
    <w:rsid w:val="00C55197"/>
    <w:rsid w:val="00C55205"/>
    <w:rsid w:val="00C55254"/>
    <w:rsid w:val="00C554B5"/>
    <w:rsid w:val="00C555EB"/>
    <w:rsid w:val="00C556E8"/>
    <w:rsid w:val="00C55F85"/>
    <w:rsid w:val="00C563E0"/>
    <w:rsid w:val="00C56B0B"/>
    <w:rsid w:val="00C56BAB"/>
    <w:rsid w:val="00C56C5A"/>
    <w:rsid w:val="00C572D1"/>
    <w:rsid w:val="00C5760C"/>
    <w:rsid w:val="00C5764D"/>
    <w:rsid w:val="00C577CE"/>
    <w:rsid w:val="00C57A99"/>
    <w:rsid w:val="00C57B32"/>
    <w:rsid w:val="00C60076"/>
    <w:rsid w:val="00C6062A"/>
    <w:rsid w:val="00C6135F"/>
    <w:rsid w:val="00C614B7"/>
    <w:rsid w:val="00C61751"/>
    <w:rsid w:val="00C61813"/>
    <w:rsid w:val="00C61822"/>
    <w:rsid w:val="00C62350"/>
    <w:rsid w:val="00C624F2"/>
    <w:rsid w:val="00C629DB"/>
    <w:rsid w:val="00C62C89"/>
    <w:rsid w:val="00C62CD3"/>
    <w:rsid w:val="00C62D9E"/>
    <w:rsid w:val="00C62F66"/>
    <w:rsid w:val="00C62FFB"/>
    <w:rsid w:val="00C63201"/>
    <w:rsid w:val="00C63232"/>
    <w:rsid w:val="00C637E5"/>
    <w:rsid w:val="00C63A29"/>
    <w:rsid w:val="00C642AE"/>
    <w:rsid w:val="00C644A9"/>
    <w:rsid w:val="00C648C1"/>
    <w:rsid w:val="00C64E5C"/>
    <w:rsid w:val="00C651C3"/>
    <w:rsid w:val="00C65492"/>
    <w:rsid w:val="00C655DE"/>
    <w:rsid w:val="00C6571D"/>
    <w:rsid w:val="00C65C37"/>
    <w:rsid w:val="00C65F3B"/>
    <w:rsid w:val="00C66002"/>
    <w:rsid w:val="00C66163"/>
    <w:rsid w:val="00C668AC"/>
    <w:rsid w:val="00C66944"/>
    <w:rsid w:val="00C66AB0"/>
    <w:rsid w:val="00C66CFD"/>
    <w:rsid w:val="00C66EBD"/>
    <w:rsid w:val="00C671D1"/>
    <w:rsid w:val="00C6739D"/>
    <w:rsid w:val="00C675CE"/>
    <w:rsid w:val="00C675CF"/>
    <w:rsid w:val="00C677FE"/>
    <w:rsid w:val="00C67A7B"/>
    <w:rsid w:val="00C67D4D"/>
    <w:rsid w:val="00C67E90"/>
    <w:rsid w:val="00C67F7C"/>
    <w:rsid w:val="00C70038"/>
    <w:rsid w:val="00C701D4"/>
    <w:rsid w:val="00C70611"/>
    <w:rsid w:val="00C7089D"/>
    <w:rsid w:val="00C70B98"/>
    <w:rsid w:val="00C713DC"/>
    <w:rsid w:val="00C71A27"/>
    <w:rsid w:val="00C727E7"/>
    <w:rsid w:val="00C72AD2"/>
    <w:rsid w:val="00C73029"/>
    <w:rsid w:val="00C734A5"/>
    <w:rsid w:val="00C73D6F"/>
    <w:rsid w:val="00C73E88"/>
    <w:rsid w:val="00C740D4"/>
    <w:rsid w:val="00C74363"/>
    <w:rsid w:val="00C74FF4"/>
    <w:rsid w:val="00C75474"/>
    <w:rsid w:val="00C75C83"/>
    <w:rsid w:val="00C7631C"/>
    <w:rsid w:val="00C76986"/>
    <w:rsid w:val="00C769DA"/>
    <w:rsid w:val="00C76DE1"/>
    <w:rsid w:val="00C770F4"/>
    <w:rsid w:val="00C77598"/>
    <w:rsid w:val="00C778F9"/>
    <w:rsid w:val="00C77A45"/>
    <w:rsid w:val="00C77A53"/>
    <w:rsid w:val="00C77CAA"/>
    <w:rsid w:val="00C80131"/>
    <w:rsid w:val="00C80516"/>
    <w:rsid w:val="00C80667"/>
    <w:rsid w:val="00C808CB"/>
    <w:rsid w:val="00C808FC"/>
    <w:rsid w:val="00C809E5"/>
    <w:rsid w:val="00C80D55"/>
    <w:rsid w:val="00C81465"/>
    <w:rsid w:val="00C8146D"/>
    <w:rsid w:val="00C817C7"/>
    <w:rsid w:val="00C81A93"/>
    <w:rsid w:val="00C81D70"/>
    <w:rsid w:val="00C823CF"/>
    <w:rsid w:val="00C82776"/>
    <w:rsid w:val="00C827E7"/>
    <w:rsid w:val="00C82898"/>
    <w:rsid w:val="00C830BF"/>
    <w:rsid w:val="00C83C4C"/>
    <w:rsid w:val="00C83D05"/>
    <w:rsid w:val="00C83ECB"/>
    <w:rsid w:val="00C84089"/>
    <w:rsid w:val="00C8428A"/>
    <w:rsid w:val="00C8441B"/>
    <w:rsid w:val="00C846B0"/>
    <w:rsid w:val="00C8497F"/>
    <w:rsid w:val="00C84BD0"/>
    <w:rsid w:val="00C853BC"/>
    <w:rsid w:val="00C853D7"/>
    <w:rsid w:val="00C855A6"/>
    <w:rsid w:val="00C85A22"/>
    <w:rsid w:val="00C85A7A"/>
    <w:rsid w:val="00C85AE4"/>
    <w:rsid w:val="00C85D42"/>
    <w:rsid w:val="00C85F3D"/>
    <w:rsid w:val="00C85F8F"/>
    <w:rsid w:val="00C860C2"/>
    <w:rsid w:val="00C864DB"/>
    <w:rsid w:val="00C866B2"/>
    <w:rsid w:val="00C86777"/>
    <w:rsid w:val="00C868FC"/>
    <w:rsid w:val="00C86EC1"/>
    <w:rsid w:val="00C874C2"/>
    <w:rsid w:val="00C8767B"/>
    <w:rsid w:val="00C87789"/>
    <w:rsid w:val="00C877C0"/>
    <w:rsid w:val="00C87829"/>
    <w:rsid w:val="00C87B2A"/>
    <w:rsid w:val="00C87ECA"/>
    <w:rsid w:val="00C9001C"/>
    <w:rsid w:val="00C90135"/>
    <w:rsid w:val="00C90691"/>
    <w:rsid w:val="00C9071B"/>
    <w:rsid w:val="00C909D1"/>
    <w:rsid w:val="00C90DB1"/>
    <w:rsid w:val="00C90F44"/>
    <w:rsid w:val="00C9179C"/>
    <w:rsid w:val="00C91846"/>
    <w:rsid w:val="00C9184B"/>
    <w:rsid w:val="00C92277"/>
    <w:rsid w:val="00C92582"/>
    <w:rsid w:val="00C93058"/>
    <w:rsid w:val="00C932B7"/>
    <w:rsid w:val="00C932DD"/>
    <w:rsid w:val="00C9346D"/>
    <w:rsid w:val="00C9389C"/>
    <w:rsid w:val="00C93ADC"/>
    <w:rsid w:val="00C93E02"/>
    <w:rsid w:val="00C93EB8"/>
    <w:rsid w:val="00C94291"/>
    <w:rsid w:val="00C942E9"/>
    <w:rsid w:val="00C945FE"/>
    <w:rsid w:val="00C947BA"/>
    <w:rsid w:val="00C94A86"/>
    <w:rsid w:val="00C94A93"/>
    <w:rsid w:val="00C94DFC"/>
    <w:rsid w:val="00C94EF6"/>
    <w:rsid w:val="00C9505F"/>
    <w:rsid w:val="00C95100"/>
    <w:rsid w:val="00C95152"/>
    <w:rsid w:val="00C95179"/>
    <w:rsid w:val="00C95983"/>
    <w:rsid w:val="00C95FB0"/>
    <w:rsid w:val="00C961D4"/>
    <w:rsid w:val="00C96688"/>
    <w:rsid w:val="00C96EE2"/>
    <w:rsid w:val="00C9707C"/>
    <w:rsid w:val="00C9745F"/>
    <w:rsid w:val="00C977A7"/>
    <w:rsid w:val="00C97B07"/>
    <w:rsid w:val="00C97B37"/>
    <w:rsid w:val="00CA07C7"/>
    <w:rsid w:val="00CA0D82"/>
    <w:rsid w:val="00CA0E4C"/>
    <w:rsid w:val="00CA11BD"/>
    <w:rsid w:val="00CA1291"/>
    <w:rsid w:val="00CA12C0"/>
    <w:rsid w:val="00CA143B"/>
    <w:rsid w:val="00CA1727"/>
    <w:rsid w:val="00CA19CE"/>
    <w:rsid w:val="00CA205F"/>
    <w:rsid w:val="00CA214F"/>
    <w:rsid w:val="00CA253B"/>
    <w:rsid w:val="00CA2751"/>
    <w:rsid w:val="00CA2760"/>
    <w:rsid w:val="00CA29D3"/>
    <w:rsid w:val="00CA2CC3"/>
    <w:rsid w:val="00CA2FED"/>
    <w:rsid w:val="00CA31A5"/>
    <w:rsid w:val="00CA36C3"/>
    <w:rsid w:val="00CA36D7"/>
    <w:rsid w:val="00CA3C02"/>
    <w:rsid w:val="00CA3C39"/>
    <w:rsid w:val="00CA495F"/>
    <w:rsid w:val="00CA4C5F"/>
    <w:rsid w:val="00CA4E22"/>
    <w:rsid w:val="00CA52FA"/>
    <w:rsid w:val="00CA5950"/>
    <w:rsid w:val="00CA5B56"/>
    <w:rsid w:val="00CA5B83"/>
    <w:rsid w:val="00CA5B96"/>
    <w:rsid w:val="00CA5D37"/>
    <w:rsid w:val="00CA5DBC"/>
    <w:rsid w:val="00CA68DC"/>
    <w:rsid w:val="00CA7353"/>
    <w:rsid w:val="00CA7474"/>
    <w:rsid w:val="00CA751D"/>
    <w:rsid w:val="00CA75C2"/>
    <w:rsid w:val="00CA7908"/>
    <w:rsid w:val="00CA79E5"/>
    <w:rsid w:val="00CA7CBE"/>
    <w:rsid w:val="00CA7E1C"/>
    <w:rsid w:val="00CA7E29"/>
    <w:rsid w:val="00CA7E46"/>
    <w:rsid w:val="00CB0058"/>
    <w:rsid w:val="00CB035A"/>
    <w:rsid w:val="00CB05E0"/>
    <w:rsid w:val="00CB09CC"/>
    <w:rsid w:val="00CB0A67"/>
    <w:rsid w:val="00CB0D8B"/>
    <w:rsid w:val="00CB0E8E"/>
    <w:rsid w:val="00CB0F72"/>
    <w:rsid w:val="00CB13EB"/>
    <w:rsid w:val="00CB15D0"/>
    <w:rsid w:val="00CB1B11"/>
    <w:rsid w:val="00CB1EC2"/>
    <w:rsid w:val="00CB2261"/>
    <w:rsid w:val="00CB27B9"/>
    <w:rsid w:val="00CB2EC7"/>
    <w:rsid w:val="00CB2F4E"/>
    <w:rsid w:val="00CB32C6"/>
    <w:rsid w:val="00CB3560"/>
    <w:rsid w:val="00CB3789"/>
    <w:rsid w:val="00CB3A51"/>
    <w:rsid w:val="00CB3CF8"/>
    <w:rsid w:val="00CB3D25"/>
    <w:rsid w:val="00CB3ECA"/>
    <w:rsid w:val="00CB4089"/>
    <w:rsid w:val="00CB49D5"/>
    <w:rsid w:val="00CB4B9A"/>
    <w:rsid w:val="00CB5052"/>
    <w:rsid w:val="00CB5BAD"/>
    <w:rsid w:val="00CB5CA8"/>
    <w:rsid w:val="00CB5E8C"/>
    <w:rsid w:val="00CB605C"/>
    <w:rsid w:val="00CB635A"/>
    <w:rsid w:val="00CB63CE"/>
    <w:rsid w:val="00CB6535"/>
    <w:rsid w:val="00CB6766"/>
    <w:rsid w:val="00CB6A2F"/>
    <w:rsid w:val="00CB6A87"/>
    <w:rsid w:val="00CB6FEE"/>
    <w:rsid w:val="00CB7560"/>
    <w:rsid w:val="00CB79D6"/>
    <w:rsid w:val="00CB7A6B"/>
    <w:rsid w:val="00CB7FEB"/>
    <w:rsid w:val="00CC04FE"/>
    <w:rsid w:val="00CC06F6"/>
    <w:rsid w:val="00CC077B"/>
    <w:rsid w:val="00CC0854"/>
    <w:rsid w:val="00CC08B6"/>
    <w:rsid w:val="00CC0E28"/>
    <w:rsid w:val="00CC177F"/>
    <w:rsid w:val="00CC1CB7"/>
    <w:rsid w:val="00CC20A8"/>
    <w:rsid w:val="00CC2610"/>
    <w:rsid w:val="00CC2702"/>
    <w:rsid w:val="00CC278F"/>
    <w:rsid w:val="00CC293E"/>
    <w:rsid w:val="00CC2C46"/>
    <w:rsid w:val="00CC2E24"/>
    <w:rsid w:val="00CC3310"/>
    <w:rsid w:val="00CC3941"/>
    <w:rsid w:val="00CC3C44"/>
    <w:rsid w:val="00CC3FC0"/>
    <w:rsid w:val="00CC4005"/>
    <w:rsid w:val="00CC435A"/>
    <w:rsid w:val="00CC4372"/>
    <w:rsid w:val="00CC472E"/>
    <w:rsid w:val="00CC48D3"/>
    <w:rsid w:val="00CC4D7E"/>
    <w:rsid w:val="00CC4EC2"/>
    <w:rsid w:val="00CC5360"/>
    <w:rsid w:val="00CC5690"/>
    <w:rsid w:val="00CC573B"/>
    <w:rsid w:val="00CC5747"/>
    <w:rsid w:val="00CC5A3A"/>
    <w:rsid w:val="00CC5CC7"/>
    <w:rsid w:val="00CC5D26"/>
    <w:rsid w:val="00CC61B3"/>
    <w:rsid w:val="00CC66A1"/>
    <w:rsid w:val="00CC6BAB"/>
    <w:rsid w:val="00CC6BE6"/>
    <w:rsid w:val="00CC7D7C"/>
    <w:rsid w:val="00CC7DB1"/>
    <w:rsid w:val="00CD007A"/>
    <w:rsid w:val="00CD0095"/>
    <w:rsid w:val="00CD0A02"/>
    <w:rsid w:val="00CD0C80"/>
    <w:rsid w:val="00CD0CBD"/>
    <w:rsid w:val="00CD1044"/>
    <w:rsid w:val="00CD158B"/>
    <w:rsid w:val="00CD1953"/>
    <w:rsid w:val="00CD1C17"/>
    <w:rsid w:val="00CD1DC1"/>
    <w:rsid w:val="00CD1F0A"/>
    <w:rsid w:val="00CD1F1E"/>
    <w:rsid w:val="00CD1F45"/>
    <w:rsid w:val="00CD1FB1"/>
    <w:rsid w:val="00CD2532"/>
    <w:rsid w:val="00CD25F7"/>
    <w:rsid w:val="00CD293A"/>
    <w:rsid w:val="00CD2CBB"/>
    <w:rsid w:val="00CD2D02"/>
    <w:rsid w:val="00CD30F6"/>
    <w:rsid w:val="00CD37F1"/>
    <w:rsid w:val="00CD3A39"/>
    <w:rsid w:val="00CD3BF1"/>
    <w:rsid w:val="00CD3F14"/>
    <w:rsid w:val="00CD3F19"/>
    <w:rsid w:val="00CD406A"/>
    <w:rsid w:val="00CD460F"/>
    <w:rsid w:val="00CD48A5"/>
    <w:rsid w:val="00CD4C29"/>
    <w:rsid w:val="00CD4F4A"/>
    <w:rsid w:val="00CD542D"/>
    <w:rsid w:val="00CD56F1"/>
    <w:rsid w:val="00CD5C1E"/>
    <w:rsid w:val="00CD5D10"/>
    <w:rsid w:val="00CD6014"/>
    <w:rsid w:val="00CD6DA1"/>
    <w:rsid w:val="00CD6E2F"/>
    <w:rsid w:val="00CD7EC4"/>
    <w:rsid w:val="00CE00C2"/>
    <w:rsid w:val="00CE0664"/>
    <w:rsid w:val="00CE0B8B"/>
    <w:rsid w:val="00CE0F3D"/>
    <w:rsid w:val="00CE118C"/>
    <w:rsid w:val="00CE153D"/>
    <w:rsid w:val="00CE15A7"/>
    <w:rsid w:val="00CE18CB"/>
    <w:rsid w:val="00CE1CC7"/>
    <w:rsid w:val="00CE24A9"/>
    <w:rsid w:val="00CE292B"/>
    <w:rsid w:val="00CE2BC6"/>
    <w:rsid w:val="00CE2CD0"/>
    <w:rsid w:val="00CE3096"/>
    <w:rsid w:val="00CE35CB"/>
    <w:rsid w:val="00CE3975"/>
    <w:rsid w:val="00CE3B05"/>
    <w:rsid w:val="00CE3C6E"/>
    <w:rsid w:val="00CE3F46"/>
    <w:rsid w:val="00CE3FDD"/>
    <w:rsid w:val="00CE4339"/>
    <w:rsid w:val="00CE47C8"/>
    <w:rsid w:val="00CE4931"/>
    <w:rsid w:val="00CE4DB4"/>
    <w:rsid w:val="00CE5AB8"/>
    <w:rsid w:val="00CE5B0D"/>
    <w:rsid w:val="00CE5C72"/>
    <w:rsid w:val="00CE603D"/>
    <w:rsid w:val="00CE6168"/>
    <w:rsid w:val="00CE6613"/>
    <w:rsid w:val="00CE6649"/>
    <w:rsid w:val="00CE6C7A"/>
    <w:rsid w:val="00CE6EDE"/>
    <w:rsid w:val="00CE7230"/>
    <w:rsid w:val="00CF000D"/>
    <w:rsid w:val="00CF0135"/>
    <w:rsid w:val="00CF0150"/>
    <w:rsid w:val="00CF082D"/>
    <w:rsid w:val="00CF08DF"/>
    <w:rsid w:val="00CF10AC"/>
    <w:rsid w:val="00CF10D3"/>
    <w:rsid w:val="00CF1456"/>
    <w:rsid w:val="00CF1ACF"/>
    <w:rsid w:val="00CF2492"/>
    <w:rsid w:val="00CF24FB"/>
    <w:rsid w:val="00CF273D"/>
    <w:rsid w:val="00CF283B"/>
    <w:rsid w:val="00CF29CE"/>
    <w:rsid w:val="00CF2A83"/>
    <w:rsid w:val="00CF2AFE"/>
    <w:rsid w:val="00CF2E06"/>
    <w:rsid w:val="00CF2E46"/>
    <w:rsid w:val="00CF2F88"/>
    <w:rsid w:val="00CF326A"/>
    <w:rsid w:val="00CF350F"/>
    <w:rsid w:val="00CF395E"/>
    <w:rsid w:val="00CF4628"/>
    <w:rsid w:val="00CF4BB4"/>
    <w:rsid w:val="00CF51F0"/>
    <w:rsid w:val="00CF54BA"/>
    <w:rsid w:val="00CF58BD"/>
    <w:rsid w:val="00CF58FA"/>
    <w:rsid w:val="00CF5CB0"/>
    <w:rsid w:val="00CF5D92"/>
    <w:rsid w:val="00CF5F7B"/>
    <w:rsid w:val="00CF623C"/>
    <w:rsid w:val="00CF6722"/>
    <w:rsid w:val="00CF67B2"/>
    <w:rsid w:val="00CF6D37"/>
    <w:rsid w:val="00CF72F8"/>
    <w:rsid w:val="00CF7C6F"/>
    <w:rsid w:val="00CF7D20"/>
    <w:rsid w:val="00CF7EE2"/>
    <w:rsid w:val="00CF7F73"/>
    <w:rsid w:val="00D00034"/>
    <w:rsid w:val="00D000AD"/>
    <w:rsid w:val="00D00783"/>
    <w:rsid w:val="00D00A89"/>
    <w:rsid w:val="00D01119"/>
    <w:rsid w:val="00D0129F"/>
    <w:rsid w:val="00D0165F"/>
    <w:rsid w:val="00D01EBD"/>
    <w:rsid w:val="00D01F94"/>
    <w:rsid w:val="00D020D2"/>
    <w:rsid w:val="00D022D3"/>
    <w:rsid w:val="00D02334"/>
    <w:rsid w:val="00D02747"/>
    <w:rsid w:val="00D02AAB"/>
    <w:rsid w:val="00D02F3E"/>
    <w:rsid w:val="00D032BB"/>
    <w:rsid w:val="00D0359B"/>
    <w:rsid w:val="00D03746"/>
    <w:rsid w:val="00D03895"/>
    <w:rsid w:val="00D039D2"/>
    <w:rsid w:val="00D03A1E"/>
    <w:rsid w:val="00D03BFF"/>
    <w:rsid w:val="00D03D76"/>
    <w:rsid w:val="00D0432F"/>
    <w:rsid w:val="00D04705"/>
    <w:rsid w:val="00D04A0E"/>
    <w:rsid w:val="00D04AA3"/>
    <w:rsid w:val="00D05630"/>
    <w:rsid w:val="00D0599D"/>
    <w:rsid w:val="00D05A38"/>
    <w:rsid w:val="00D05E1E"/>
    <w:rsid w:val="00D05E94"/>
    <w:rsid w:val="00D060A7"/>
    <w:rsid w:val="00D06102"/>
    <w:rsid w:val="00D0637D"/>
    <w:rsid w:val="00D06811"/>
    <w:rsid w:val="00D0690A"/>
    <w:rsid w:val="00D0691A"/>
    <w:rsid w:val="00D06996"/>
    <w:rsid w:val="00D06BA7"/>
    <w:rsid w:val="00D06C36"/>
    <w:rsid w:val="00D070D3"/>
    <w:rsid w:val="00D07982"/>
    <w:rsid w:val="00D1019A"/>
    <w:rsid w:val="00D10338"/>
    <w:rsid w:val="00D10A63"/>
    <w:rsid w:val="00D10E6B"/>
    <w:rsid w:val="00D11141"/>
    <w:rsid w:val="00D11A25"/>
    <w:rsid w:val="00D11AC8"/>
    <w:rsid w:val="00D11AE1"/>
    <w:rsid w:val="00D11D67"/>
    <w:rsid w:val="00D11F39"/>
    <w:rsid w:val="00D12275"/>
    <w:rsid w:val="00D12355"/>
    <w:rsid w:val="00D127D8"/>
    <w:rsid w:val="00D12AD0"/>
    <w:rsid w:val="00D12B5F"/>
    <w:rsid w:val="00D12CEC"/>
    <w:rsid w:val="00D12D97"/>
    <w:rsid w:val="00D13A64"/>
    <w:rsid w:val="00D13EBE"/>
    <w:rsid w:val="00D145EF"/>
    <w:rsid w:val="00D1486A"/>
    <w:rsid w:val="00D14E66"/>
    <w:rsid w:val="00D156B0"/>
    <w:rsid w:val="00D15AF6"/>
    <w:rsid w:val="00D15DD8"/>
    <w:rsid w:val="00D15EAA"/>
    <w:rsid w:val="00D16524"/>
    <w:rsid w:val="00D16665"/>
    <w:rsid w:val="00D1688B"/>
    <w:rsid w:val="00D1688C"/>
    <w:rsid w:val="00D16C6D"/>
    <w:rsid w:val="00D16ECD"/>
    <w:rsid w:val="00D1709B"/>
    <w:rsid w:val="00D1722A"/>
    <w:rsid w:val="00D17B77"/>
    <w:rsid w:val="00D17C7B"/>
    <w:rsid w:val="00D20199"/>
    <w:rsid w:val="00D20847"/>
    <w:rsid w:val="00D20A0F"/>
    <w:rsid w:val="00D20B76"/>
    <w:rsid w:val="00D20F32"/>
    <w:rsid w:val="00D211D8"/>
    <w:rsid w:val="00D21AF9"/>
    <w:rsid w:val="00D21D83"/>
    <w:rsid w:val="00D21E03"/>
    <w:rsid w:val="00D22114"/>
    <w:rsid w:val="00D223AD"/>
    <w:rsid w:val="00D2297B"/>
    <w:rsid w:val="00D22A5C"/>
    <w:rsid w:val="00D22C4D"/>
    <w:rsid w:val="00D23145"/>
    <w:rsid w:val="00D2314A"/>
    <w:rsid w:val="00D23375"/>
    <w:rsid w:val="00D235A7"/>
    <w:rsid w:val="00D23753"/>
    <w:rsid w:val="00D238AD"/>
    <w:rsid w:val="00D238AE"/>
    <w:rsid w:val="00D23B7A"/>
    <w:rsid w:val="00D2404A"/>
    <w:rsid w:val="00D241A3"/>
    <w:rsid w:val="00D246DE"/>
    <w:rsid w:val="00D249E7"/>
    <w:rsid w:val="00D25037"/>
    <w:rsid w:val="00D251E9"/>
    <w:rsid w:val="00D251F7"/>
    <w:rsid w:val="00D25227"/>
    <w:rsid w:val="00D252E7"/>
    <w:rsid w:val="00D25AEC"/>
    <w:rsid w:val="00D25AED"/>
    <w:rsid w:val="00D2609B"/>
    <w:rsid w:val="00D26674"/>
    <w:rsid w:val="00D2695C"/>
    <w:rsid w:val="00D26D9B"/>
    <w:rsid w:val="00D26E0D"/>
    <w:rsid w:val="00D26F4D"/>
    <w:rsid w:val="00D26FCC"/>
    <w:rsid w:val="00D27034"/>
    <w:rsid w:val="00D27075"/>
    <w:rsid w:val="00D270BC"/>
    <w:rsid w:val="00D27129"/>
    <w:rsid w:val="00D27369"/>
    <w:rsid w:val="00D273D2"/>
    <w:rsid w:val="00D30320"/>
    <w:rsid w:val="00D3046D"/>
    <w:rsid w:val="00D307EF"/>
    <w:rsid w:val="00D30941"/>
    <w:rsid w:val="00D30B9C"/>
    <w:rsid w:val="00D30C77"/>
    <w:rsid w:val="00D30FBB"/>
    <w:rsid w:val="00D314A9"/>
    <w:rsid w:val="00D3185E"/>
    <w:rsid w:val="00D318A2"/>
    <w:rsid w:val="00D31CDF"/>
    <w:rsid w:val="00D32277"/>
    <w:rsid w:val="00D32F37"/>
    <w:rsid w:val="00D3317A"/>
    <w:rsid w:val="00D33186"/>
    <w:rsid w:val="00D331DC"/>
    <w:rsid w:val="00D332A6"/>
    <w:rsid w:val="00D33F09"/>
    <w:rsid w:val="00D34E61"/>
    <w:rsid w:val="00D3518F"/>
    <w:rsid w:val="00D35920"/>
    <w:rsid w:val="00D3595D"/>
    <w:rsid w:val="00D359BA"/>
    <w:rsid w:val="00D35A77"/>
    <w:rsid w:val="00D35BFF"/>
    <w:rsid w:val="00D35FE0"/>
    <w:rsid w:val="00D371D2"/>
    <w:rsid w:val="00D37470"/>
    <w:rsid w:val="00D3749F"/>
    <w:rsid w:val="00D374A3"/>
    <w:rsid w:val="00D377FC"/>
    <w:rsid w:val="00D379DF"/>
    <w:rsid w:val="00D37F4D"/>
    <w:rsid w:val="00D40909"/>
    <w:rsid w:val="00D4097A"/>
    <w:rsid w:val="00D40D86"/>
    <w:rsid w:val="00D40F21"/>
    <w:rsid w:val="00D4135D"/>
    <w:rsid w:val="00D41620"/>
    <w:rsid w:val="00D41660"/>
    <w:rsid w:val="00D4192A"/>
    <w:rsid w:val="00D419D0"/>
    <w:rsid w:val="00D41CFD"/>
    <w:rsid w:val="00D41E10"/>
    <w:rsid w:val="00D42234"/>
    <w:rsid w:val="00D422FB"/>
    <w:rsid w:val="00D4239C"/>
    <w:rsid w:val="00D42E03"/>
    <w:rsid w:val="00D4313C"/>
    <w:rsid w:val="00D43205"/>
    <w:rsid w:val="00D43290"/>
    <w:rsid w:val="00D43391"/>
    <w:rsid w:val="00D43A79"/>
    <w:rsid w:val="00D440F3"/>
    <w:rsid w:val="00D44144"/>
    <w:rsid w:val="00D443C7"/>
    <w:rsid w:val="00D4491D"/>
    <w:rsid w:val="00D44B08"/>
    <w:rsid w:val="00D44CDA"/>
    <w:rsid w:val="00D44E75"/>
    <w:rsid w:val="00D451FB"/>
    <w:rsid w:val="00D453D7"/>
    <w:rsid w:val="00D454FE"/>
    <w:rsid w:val="00D459DE"/>
    <w:rsid w:val="00D45B2D"/>
    <w:rsid w:val="00D45E0C"/>
    <w:rsid w:val="00D46450"/>
    <w:rsid w:val="00D465CE"/>
    <w:rsid w:val="00D4684C"/>
    <w:rsid w:val="00D46D99"/>
    <w:rsid w:val="00D46F6B"/>
    <w:rsid w:val="00D472C0"/>
    <w:rsid w:val="00D473CC"/>
    <w:rsid w:val="00D47520"/>
    <w:rsid w:val="00D4773A"/>
    <w:rsid w:val="00D47C6E"/>
    <w:rsid w:val="00D5062E"/>
    <w:rsid w:val="00D50AC7"/>
    <w:rsid w:val="00D50B37"/>
    <w:rsid w:val="00D517EE"/>
    <w:rsid w:val="00D51CF5"/>
    <w:rsid w:val="00D521AE"/>
    <w:rsid w:val="00D522E7"/>
    <w:rsid w:val="00D52391"/>
    <w:rsid w:val="00D529DF"/>
    <w:rsid w:val="00D52B85"/>
    <w:rsid w:val="00D53414"/>
    <w:rsid w:val="00D53447"/>
    <w:rsid w:val="00D535EB"/>
    <w:rsid w:val="00D53926"/>
    <w:rsid w:val="00D53B0C"/>
    <w:rsid w:val="00D54014"/>
    <w:rsid w:val="00D540E3"/>
    <w:rsid w:val="00D54566"/>
    <w:rsid w:val="00D54773"/>
    <w:rsid w:val="00D54AB3"/>
    <w:rsid w:val="00D54ACD"/>
    <w:rsid w:val="00D54FFD"/>
    <w:rsid w:val="00D5549E"/>
    <w:rsid w:val="00D555D4"/>
    <w:rsid w:val="00D55769"/>
    <w:rsid w:val="00D55B04"/>
    <w:rsid w:val="00D55C85"/>
    <w:rsid w:val="00D56011"/>
    <w:rsid w:val="00D5639E"/>
    <w:rsid w:val="00D56488"/>
    <w:rsid w:val="00D56736"/>
    <w:rsid w:val="00D567CC"/>
    <w:rsid w:val="00D56963"/>
    <w:rsid w:val="00D56D67"/>
    <w:rsid w:val="00D56D9F"/>
    <w:rsid w:val="00D57095"/>
    <w:rsid w:val="00D57292"/>
    <w:rsid w:val="00D600F5"/>
    <w:rsid w:val="00D60105"/>
    <w:rsid w:val="00D6026A"/>
    <w:rsid w:val="00D6042E"/>
    <w:rsid w:val="00D60608"/>
    <w:rsid w:val="00D606CE"/>
    <w:rsid w:val="00D60C7D"/>
    <w:rsid w:val="00D60E25"/>
    <w:rsid w:val="00D60F2E"/>
    <w:rsid w:val="00D611FB"/>
    <w:rsid w:val="00D61489"/>
    <w:rsid w:val="00D619DA"/>
    <w:rsid w:val="00D61BAF"/>
    <w:rsid w:val="00D61C2A"/>
    <w:rsid w:val="00D61F2A"/>
    <w:rsid w:val="00D6206D"/>
    <w:rsid w:val="00D622B8"/>
    <w:rsid w:val="00D628D9"/>
    <w:rsid w:val="00D62CB7"/>
    <w:rsid w:val="00D62E98"/>
    <w:rsid w:val="00D62EDF"/>
    <w:rsid w:val="00D6337D"/>
    <w:rsid w:val="00D6346C"/>
    <w:rsid w:val="00D637DD"/>
    <w:rsid w:val="00D63B2B"/>
    <w:rsid w:val="00D63CCE"/>
    <w:rsid w:val="00D63F9B"/>
    <w:rsid w:val="00D6442F"/>
    <w:rsid w:val="00D6451F"/>
    <w:rsid w:val="00D646FB"/>
    <w:rsid w:val="00D6475E"/>
    <w:rsid w:val="00D64F8F"/>
    <w:rsid w:val="00D6520A"/>
    <w:rsid w:val="00D6585F"/>
    <w:rsid w:val="00D65B85"/>
    <w:rsid w:val="00D66121"/>
    <w:rsid w:val="00D663D5"/>
    <w:rsid w:val="00D66B0D"/>
    <w:rsid w:val="00D66B39"/>
    <w:rsid w:val="00D66BC8"/>
    <w:rsid w:val="00D67270"/>
    <w:rsid w:val="00D672B4"/>
    <w:rsid w:val="00D678D7"/>
    <w:rsid w:val="00D67E6D"/>
    <w:rsid w:val="00D7015D"/>
    <w:rsid w:val="00D70178"/>
    <w:rsid w:val="00D706AE"/>
    <w:rsid w:val="00D70F36"/>
    <w:rsid w:val="00D712CD"/>
    <w:rsid w:val="00D712F5"/>
    <w:rsid w:val="00D716E0"/>
    <w:rsid w:val="00D7188C"/>
    <w:rsid w:val="00D719CF"/>
    <w:rsid w:val="00D71C1B"/>
    <w:rsid w:val="00D724E3"/>
    <w:rsid w:val="00D72991"/>
    <w:rsid w:val="00D729F2"/>
    <w:rsid w:val="00D72B7A"/>
    <w:rsid w:val="00D72E37"/>
    <w:rsid w:val="00D72F21"/>
    <w:rsid w:val="00D73216"/>
    <w:rsid w:val="00D73291"/>
    <w:rsid w:val="00D73694"/>
    <w:rsid w:val="00D7370F"/>
    <w:rsid w:val="00D73755"/>
    <w:rsid w:val="00D73929"/>
    <w:rsid w:val="00D73AC4"/>
    <w:rsid w:val="00D73E6B"/>
    <w:rsid w:val="00D73F97"/>
    <w:rsid w:val="00D73FF9"/>
    <w:rsid w:val="00D74FBD"/>
    <w:rsid w:val="00D75054"/>
    <w:rsid w:val="00D75197"/>
    <w:rsid w:val="00D7521E"/>
    <w:rsid w:val="00D7525A"/>
    <w:rsid w:val="00D757DA"/>
    <w:rsid w:val="00D75B0E"/>
    <w:rsid w:val="00D762C7"/>
    <w:rsid w:val="00D765B8"/>
    <w:rsid w:val="00D76697"/>
    <w:rsid w:val="00D766CB"/>
    <w:rsid w:val="00D766FC"/>
    <w:rsid w:val="00D7678E"/>
    <w:rsid w:val="00D76C8B"/>
    <w:rsid w:val="00D772F8"/>
    <w:rsid w:val="00D778EA"/>
    <w:rsid w:val="00D77967"/>
    <w:rsid w:val="00D77A98"/>
    <w:rsid w:val="00D77E5A"/>
    <w:rsid w:val="00D80303"/>
    <w:rsid w:val="00D80502"/>
    <w:rsid w:val="00D809A0"/>
    <w:rsid w:val="00D8105B"/>
    <w:rsid w:val="00D810D9"/>
    <w:rsid w:val="00D81389"/>
    <w:rsid w:val="00D8178B"/>
    <w:rsid w:val="00D82732"/>
    <w:rsid w:val="00D82842"/>
    <w:rsid w:val="00D8361B"/>
    <w:rsid w:val="00D83A41"/>
    <w:rsid w:val="00D83AB2"/>
    <w:rsid w:val="00D83BF9"/>
    <w:rsid w:val="00D83E4A"/>
    <w:rsid w:val="00D83F0E"/>
    <w:rsid w:val="00D84232"/>
    <w:rsid w:val="00D845F9"/>
    <w:rsid w:val="00D849A7"/>
    <w:rsid w:val="00D84BF2"/>
    <w:rsid w:val="00D84FF2"/>
    <w:rsid w:val="00D854D4"/>
    <w:rsid w:val="00D85630"/>
    <w:rsid w:val="00D86347"/>
    <w:rsid w:val="00D8664D"/>
    <w:rsid w:val="00D8671B"/>
    <w:rsid w:val="00D86759"/>
    <w:rsid w:val="00D8690A"/>
    <w:rsid w:val="00D86B64"/>
    <w:rsid w:val="00D86C6E"/>
    <w:rsid w:val="00D875BE"/>
    <w:rsid w:val="00D8762A"/>
    <w:rsid w:val="00D87723"/>
    <w:rsid w:val="00D87A0E"/>
    <w:rsid w:val="00D87B1C"/>
    <w:rsid w:val="00D87BB6"/>
    <w:rsid w:val="00D87C8C"/>
    <w:rsid w:val="00D87E8B"/>
    <w:rsid w:val="00D90671"/>
    <w:rsid w:val="00D9070E"/>
    <w:rsid w:val="00D90787"/>
    <w:rsid w:val="00D90BC9"/>
    <w:rsid w:val="00D90C0C"/>
    <w:rsid w:val="00D90CF3"/>
    <w:rsid w:val="00D90DEE"/>
    <w:rsid w:val="00D9115E"/>
    <w:rsid w:val="00D9168A"/>
    <w:rsid w:val="00D91D03"/>
    <w:rsid w:val="00D9205E"/>
    <w:rsid w:val="00D920B4"/>
    <w:rsid w:val="00D920C9"/>
    <w:rsid w:val="00D92203"/>
    <w:rsid w:val="00D9238E"/>
    <w:rsid w:val="00D926E3"/>
    <w:rsid w:val="00D93524"/>
    <w:rsid w:val="00D93835"/>
    <w:rsid w:val="00D93A5D"/>
    <w:rsid w:val="00D93F6F"/>
    <w:rsid w:val="00D946C8"/>
    <w:rsid w:val="00D94A7F"/>
    <w:rsid w:val="00D94E74"/>
    <w:rsid w:val="00D94F7E"/>
    <w:rsid w:val="00D95825"/>
    <w:rsid w:val="00D958A6"/>
    <w:rsid w:val="00D95A8C"/>
    <w:rsid w:val="00D95A9B"/>
    <w:rsid w:val="00D9629C"/>
    <w:rsid w:val="00D972BC"/>
    <w:rsid w:val="00D9767C"/>
    <w:rsid w:val="00D97C3A"/>
    <w:rsid w:val="00D97C7D"/>
    <w:rsid w:val="00DA00C6"/>
    <w:rsid w:val="00DA071C"/>
    <w:rsid w:val="00DA09CA"/>
    <w:rsid w:val="00DA0AD4"/>
    <w:rsid w:val="00DA0B28"/>
    <w:rsid w:val="00DA0EC1"/>
    <w:rsid w:val="00DA10A5"/>
    <w:rsid w:val="00DA11B8"/>
    <w:rsid w:val="00DA1BBD"/>
    <w:rsid w:val="00DA1ECE"/>
    <w:rsid w:val="00DA1EFE"/>
    <w:rsid w:val="00DA1FCD"/>
    <w:rsid w:val="00DA2274"/>
    <w:rsid w:val="00DA257F"/>
    <w:rsid w:val="00DA2F59"/>
    <w:rsid w:val="00DA3FC4"/>
    <w:rsid w:val="00DA4378"/>
    <w:rsid w:val="00DA452C"/>
    <w:rsid w:val="00DA45AD"/>
    <w:rsid w:val="00DA485D"/>
    <w:rsid w:val="00DA528A"/>
    <w:rsid w:val="00DA56D2"/>
    <w:rsid w:val="00DA59E7"/>
    <w:rsid w:val="00DA5CF9"/>
    <w:rsid w:val="00DA6A4C"/>
    <w:rsid w:val="00DA709F"/>
    <w:rsid w:val="00DA74A4"/>
    <w:rsid w:val="00DA76B6"/>
    <w:rsid w:val="00DA7BD1"/>
    <w:rsid w:val="00DA7F48"/>
    <w:rsid w:val="00DB057F"/>
    <w:rsid w:val="00DB0732"/>
    <w:rsid w:val="00DB077C"/>
    <w:rsid w:val="00DB0D1F"/>
    <w:rsid w:val="00DB0E86"/>
    <w:rsid w:val="00DB10C7"/>
    <w:rsid w:val="00DB17B3"/>
    <w:rsid w:val="00DB1976"/>
    <w:rsid w:val="00DB1982"/>
    <w:rsid w:val="00DB1A28"/>
    <w:rsid w:val="00DB203A"/>
    <w:rsid w:val="00DB2137"/>
    <w:rsid w:val="00DB23AE"/>
    <w:rsid w:val="00DB279F"/>
    <w:rsid w:val="00DB27BF"/>
    <w:rsid w:val="00DB29DE"/>
    <w:rsid w:val="00DB2A1B"/>
    <w:rsid w:val="00DB2A3F"/>
    <w:rsid w:val="00DB2A52"/>
    <w:rsid w:val="00DB3006"/>
    <w:rsid w:val="00DB3D68"/>
    <w:rsid w:val="00DB3E5C"/>
    <w:rsid w:val="00DB462F"/>
    <w:rsid w:val="00DB485A"/>
    <w:rsid w:val="00DB48A3"/>
    <w:rsid w:val="00DB4F4F"/>
    <w:rsid w:val="00DB51E7"/>
    <w:rsid w:val="00DB528B"/>
    <w:rsid w:val="00DB550D"/>
    <w:rsid w:val="00DB5C2B"/>
    <w:rsid w:val="00DB615F"/>
    <w:rsid w:val="00DB6A50"/>
    <w:rsid w:val="00DB6DF0"/>
    <w:rsid w:val="00DB7053"/>
    <w:rsid w:val="00DB72C1"/>
    <w:rsid w:val="00DB798E"/>
    <w:rsid w:val="00DB7A4C"/>
    <w:rsid w:val="00DB7A92"/>
    <w:rsid w:val="00DB7C35"/>
    <w:rsid w:val="00DB7EE2"/>
    <w:rsid w:val="00DB7FD3"/>
    <w:rsid w:val="00DC02C2"/>
    <w:rsid w:val="00DC0361"/>
    <w:rsid w:val="00DC05BC"/>
    <w:rsid w:val="00DC0646"/>
    <w:rsid w:val="00DC06BA"/>
    <w:rsid w:val="00DC08F8"/>
    <w:rsid w:val="00DC0E38"/>
    <w:rsid w:val="00DC148E"/>
    <w:rsid w:val="00DC1762"/>
    <w:rsid w:val="00DC1A77"/>
    <w:rsid w:val="00DC1BF9"/>
    <w:rsid w:val="00DC1CC8"/>
    <w:rsid w:val="00DC1FAA"/>
    <w:rsid w:val="00DC2236"/>
    <w:rsid w:val="00DC2429"/>
    <w:rsid w:val="00DC254C"/>
    <w:rsid w:val="00DC29B8"/>
    <w:rsid w:val="00DC2E65"/>
    <w:rsid w:val="00DC2E83"/>
    <w:rsid w:val="00DC2EF1"/>
    <w:rsid w:val="00DC2FEC"/>
    <w:rsid w:val="00DC36AD"/>
    <w:rsid w:val="00DC3997"/>
    <w:rsid w:val="00DC3A40"/>
    <w:rsid w:val="00DC3B64"/>
    <w:rsid w:val="00DC3CBD"/>
    <w:rsid w:val="00DC3DC5"/>
    <w:rsid w:val="00DC3E2E"/>
    <w:rsid w:val="00DC3FE0"/>
    <w:rsid w:val="00DC447F"/>
    <w:rsid w:val="00DC4490"/>
    <w:rsid w:val="00DC4B3C"/>
    <w:rsid w:val="00DC4E2F"/>
    <w:rsid w:val="00DC4F59"/>
    <w:rsid w:val="00DC51C8"/>
    <w:rsid w:val="00DC51E2"/>
    <w:rsid w:val="00DC5359"/>
    <w:rsid w:val="00DC54C7"/>
    <w:rsid w:val="00DC6212"/>
    <w:rsid w:val="00DC6286"/>
    <w:rsid w:val="00DC63DD"/>
    <w:rsid w:val="00DC6499"/>
    <w:rsid w:val="00DC65CD"/>
    <w:rsid w:val="00DC6C51"/>
    <w:rsid w:val="00DC6FB1"/>
    <w:rsid w:val="00DC7278"/>
    <w:rsid w:val="00DC7349"/>
    <w:rsid w:val="00DC745A"/>
    <w:rsid w:val="00DC7513"/>
    <w:rsid w:val="00DC7575"/>
    <w:rsid w:val="00DC7814"/>
    <w:rsid w:val="00DC79AF"/>
    <w:rsid w:val="00DCA73B"/>
    <w:rsid w:val="00DD0091"/>
    <w:rsid w:val="00DD0265"/>
    <w:rsid w:val="00DD038C"/>
    <w:rsid w:val="00DD08A9"/>
    <w:rsid w:val="00DD0928"/>
    <w:rsid w:val="00DD0A57"/>
    <w:rsid w:val="00DD13AE"/>
    <w:rsid w:val="00DD1950"/>
    <w:rsid w:val="00DD1E9D"/>
    <w:rsid w:val="00DD1F87"/>
    <w:rsid w:val="00DD2026"/>
    <w:rsid w:val="00DD21FF"/>
    <w:rsid w:val="00DD22BB"/>
    <w:rsid w:val="00DD2354"/>
    <w:rsid w:val="00DD24BE"/>
    <w:rsid w:val="00DD2608"/>
    <w:rsid w:val="00DD2704"/>
    <w:rsid w:val="00DD2F2F"/>
    <w:rsid w:val="00DD2F7B"/>
    <w:rsid w:val="00DD337D"/>
    <w:rsid w:val="00DD3ABE"/>
    <w:rsid w:val="00DD3F36"/>
    <w:rsid w:val="00DD3F50"/>
    <w:rsid w:val="00DD4166"/>
    <w:rsid w:val="00DD4685"/>
    <w:rsid w:val="00DD46F0"/>
    <w:rsid w:val="00DD4815"/>
    <w:rsid w:val="00DD4849"/>
    <w:rsid w:val="00DD4A7A"/>
    <w:rsid w:val="00DD4BDE"/>
    <w:rsid w:val="00DD4DC3"/>
    <w:rsid w:val="00DD5128"/>
    <w:rsid w:val="00DD543F"/>
    <w:rsid w:val="00DD5E49"/>
    <w:rsid w:val="00DD60BB"/>
    <w:rsid w:val="00DD6302"/>
    <w:rsid w:val="00DD6688"/>
    <w:rsid w:val="00DD6AF6"/>
    <w:rsid w:val="00DD6D33"/>
    <w:rsid w:val="00DD6FAC"/>
    <w:rsid w:val="00DD7024"/>
    <w:rsid w:val="00DD7077"/>
    <w:rsid w:val="00DD738D"/>
    <w:rsid w:val="00DD78D7"/>
    <w:rsid w:val="00DD7ACE"/>
    <w:rsid w:val="00DD7DA8"/>
    <w:rsid w:val="00DE05FB"/>
    <w:rsid w:val="00DE0890"/>
    <w:rsid w:val="00DE0BCB"/>
    <w:rsid w:val="00DE0CB0"/>
    <w:rsid w:val="00DE1345"/>
    <w:rsid w:val="00DE1485"/>
    <w:rsid w:val="00DE15DC"/>
    <w:rsid w:val="00DE16C2"/>
    <w:rsid w:val="00DE1B89"/>
    <w:rsid w:val="00DE22A4"/>
    <w:rsid w:val="00DE2536"/>
    <w:rsid w:val="00DE2614"/>
    <w:rsid w:val="00DE2F60"/>
    <w:rsid w:val="00DE349A"/>
    <w:rsid w:val="00DE3C40"/>
    <w:rsid w:val="00DE4002"/>
    <w:rsid w:val="00DE427F"/>
    <w:rsid w:val="00DE443B"/>
    <w:rsid w:val="00DE44BF"/>
    <w:rsid w:val="00DE4569"/>
    <w:rsid w:val="00DE48DB"/>
    <w:rsid w:val="00DE4A4B"/>
    <w:rsid w:val="00DE4BB5"/>
    <w:rsid w:val="00DE5199"/>
    <w:rsid w:val="00DE545A"/>
    <w:rsid w:val="00DE5671"/>
    <w:rsid w:val="00DE57A1"/>
    <w:rsid w:val="00DE5C39"/>
    <w:rsid w:val="00DE5C6C"/>
    <w:rsid w:val="00DE6928"/>
    <w:rsid w:val="00DE6B23"/>
    <w:rsid w:val="00DE6D4A"/>
    <w:rsid w:val="00DE70B6"/>
    <w:rsid w:val="00DE79D5"/>
    <w:rsid w:val="00DE7EDB"/>
    <w:rsid w:val="00DE7F1D"/>
    <w:rsid w:val="00DF06C3"/>
    <w:rsid w:val="00DF0767"/>
    <w:rsid w:val="00DF0C5D"/>
    <w:rsid w:val="00DF0E32"/>
    <w:rsid w:val="00DF16E3"/>
    <w:rsid w:val="00DF1C44"/>
    <w:rsid w:val="00DF1F27"/>
    <w:rsid w:val="00DF1FA5"/>
    <w:rsid w:val="00DF22AA"/>
    <w:rsid w:val="00DF283C"/>
    <w:rsid w:val="00DF2929"/>
    <w:rsid w:val="00DF2A34"/>
    <w:rsid w:val="00DF2CA6"/>
    <w:rsid w:val="00DF2CFA"/>
    <w:rsid w:val="00DF3DDA"/>
    <w:rsid w:val="00DF443D"/>
    <w:rsid w:val="00DF508E"/>
    <w:rsid w:val="00DF56CC"/>
    <w:rsid w:val="00DF5867"/>
    <w:rsid w:val="00DF5F09"/>
    <w:rsid w:val="00DF5F72"/>
    <w:rsid w:val="00DF6121"/>
    <w:rsid w:val="00DF6251"/>
    <w:rsid w:val="00DF68FC"/>
    <w:rsid w:val="00DF6969"/>
    <w:rsid w:val="00DF6B42"/>
    <w:rsid w:val="00DF6BA7"/>
    <w:rsid w:val="00DF6EEF"/>
    <w:rsid w:val="00DF6F67"/>
    <w:rsid w:val="00DF6FD4"/>
    <w:rsid w:val="00DF7051"/>
    <w:rsid w:val="00DF7266"/>
    <w:rsid w:val="00DF7764"/>
    <w:rsid w:val="00DF787F"/>
    <w:rsid w:val="00DF7B40"/>
    <w:rsid w:val="00DF7F8A"/>
    <w:rsid w:val="00E00A63"/>
    <w:rsid w:val="00E01248"/>
    <w:rsid w:val="00E018DD"/>
    <w:rsid w:val="00E01DDB"/>
    <w:rsid w:val="00E01E0C"/>
    <w:rsid w:val="00E01E6A"/>
    <w:rsid w:val="00E02007"/>
    <w:rsid w:val="00E02287"/>
    <w:rsid w:val="00E02373"/>
    <w:rsid w:val="00E02598"/>
    <w:rsid w:val="00E02738"/>
    <w:rsid w:val="00E0298C"/>
    <w:rsid w:val="00E030FA"/>
    <w:rsid w:val="00E03133"/>
    <w:rsid w:val="00E0321D"/>
    <w:rsid w:val="00E03252"/>
    <w:rsid w:val="00E03393"/>
    <w:rsid w:val="00E03A8D"/>
    <w:rsid w:val="00E03BBD"/>
    <w:rsid w:val="00E04266"/>
    <w:rsid w:val="00E042FD"/>
    <w:rsid w:val="00E0565C"/>
    <w:rsid w:val="00E05B98"/>
    <w:rsid w:val="00E05C89"/>
    <w:rsid w:val="00E05CCD"/>
    <w:rsid w:val="00E05F1D"/>
    <w:rsid w:val="00E06132"/>
    <w:rsid w:val="00E06620"/>
    <w:rsid w:val="00E06775"/>
    <w:rsid w:val="00E067A5"/>
    <w:rsid w:val="00E0691F"/>
    <w:rsid w:val="00E06FD2"/>
    <w:rsid w:val="00E0755C"/>
    <w:rsid w:val="00E077BE"/>
    <w:rsid w:val="00E07D2A"/>
    <w:rsid w:val="00E07DE7"/>
    <w:rsid w:val="00E103EE"/>
    <w:rsid w:val="00E10A21"/>
    <w:rsid w:val="00E10A28"/>
    <w:rsid w:val="00E10E06"/>
    <w:rsid w:val="00E10F31"/>
    <w:rsid w:val="00E110E7"/>
    <w:rsid w:val="00E110F9"/>
    <w:rsid w:val="00E1150E"/>
    <w:rsid w:val="00E1175E"/>
    <w:rsid w:val="00E117D9"/>
    <w:rsid w:val="00E11B4F"/>
    <w:rsid w:val="00E12692"/>
    <w:rsid w:val="00E126DA"/>
    <w:rsid w:val="00E12C60"/>
    <w:rsid w:val="00E12D22"/>
    <w:rsid w:val="00E147DA"/>
    <w:rsid w:val="00E14D58"/>
    <w:rsid w:val="00E1501A"/>
    <w:rsid w:val="00E150D7"/>
    <w:rsid w:val="00E15477"/>
    <w:rsid w:val="00E1560F"/>
    <w:rsid w:val="00E1572C"/>
    <w:rsid w:val="00E15A7F"/>
    <w:rsid w:val="00E15B9D"/>
    <w:rsid w:val="00E15CA8"/>
    <w:rsid w:val="00E16140"/>
    <w:rsid w:val="00E163A3"/>
    <w:rsid w:val="00E168BA"/>
    <w:rsid w:val="00E169F4"/>
    <w:rsid w:val="00E16AAD"/>
    <w:rsid w:val="00E16B20"/>
    <w:rsid w:val="00E16D3C"/>
    <w:rsid w:val="00E1709E"/>
    <w:rsid w:val="00E172B5"/>
    <w:rsid w:val="00E17C34"/>
    <w:rsid w:val="00E17E87"/>
    <w:rsid w:val="00E203AF"/>
    <w:rsid w:val="00E20891"/>
    <w:rsid w:val="00E2098F"/>
    <w:rsid w:val="00E20BCB"/>
    <w:rsid w:val="00E20D5D"/>
    <w:rsid w:val="00E20F51"/>
    <w:rsid w:val="00E21426"/>
    <w:rsid w:val="00E215BF"/>
    <w:rsid w:val="00E217C9"/>
    <w:rsid w:val="00E21C71"/>
    <w:rsid w:val="00E21D80"/>
    <w:rsid w:val="00E21E78"/>
    <w:rsid w:val="00E220A9"/>
    <w:rsid w:val="00E226EC"/>
    <w:rsid w:val="00E22989"/>
    <w:rsid w:val="00E22E3E"/>
    <w:rsid w:val="00E232D6"/>
    <w:rsid w:val="00E233E5"/>
    <w:rsid w:val="00E23436"/>
    <w:rsid w:val="00E23760"/>
    <w:rsid w:val="00E23C9C"/>
    <w:rsid w:val="00E23CBF"/>
    <w:rsid w:val="00E23DE1"/>
    <w:rsid w:val="00E24279"/>
    <w:rsid w:val="00E24354"/>
    <w:rsid w:val="00E2438E"/>
    <w:rsid w:val="00E24584"/>
    <w:rsid w:val="00E245D6"/>
    <w:rsid w:val="00E249E0"/>
    <w:rsid w:val="00E256BC"/>
    <w:rsid w:val="00E25752"/>
    <w:rsid w:val="00E25B00"/>
    <w:rsid w:val="00E2646B"/>
    <w:rsid w:val="00E26482"/>
    <w:rsid w:val="00E26784"/>
    <w:rsid w:val="00E26923"/>
    <w:rsid w:val="00E26D6B"/>
    <w:rsid w:val="00E27271"/>
    <w:rsid w:val="00E2795F"/>
    <w:rsid w:val="00E27A38"/>
    <w:rsid w:val="00E27B1E"/>
    <w:rsid w:val="00E27CCF"/>
    <w:rsid w:val="00E27EA1"/>
    <w:rsid w:val="00E27FCA"/>
    <w:rsid w:val="00E3015B"/>
    <w:rsid w:val="00E3048A"/>
    <w:rsid w:val="00E30776"/>
    <w:rsid w:val="00E30782"/>
    <w:rsid w:val="00E30A56"/>
    <w:rsid w:val="00E30ED6"/>
    <w:rsid w:val="00E311B6"/>
    <w:rsid w:val="00E31258"/>
    <w:rsid w:val="00E3190C"/>
    <w:rsid w:val="00E31C0A"/>
    <w:rsid w:val="00E31D96"/>
    <w:rsid w:val="00E31EFD"/>
    <w:rsid w:val="00E32432"/>
    <w:rsid w:val="00E32AD3"/>
    <w:rsid w:val="00E32D66"/>
    <w:rsid w:val="00E3323F"/>
    <w:rsid w:val="00E338A2"/>
    <w:rsid w:val="00E3396A"/>
    <w:rsid w:val="00E33B73"/>
    <w:rsid w:val="00E33CC1"/>
    <w:rsid w:val="00E33CCA"/>
    <w:rsid w:val="00E341FB"/>
    <w:rsid w:val="00E3455A"/>
    <w:rsid w:val="00E34C02"/>
    <w:rsid w:val="00E35283"/>
    <w:rsid w:val="00E3542D"/>
    <w:rsid w:val="00E35457"/>
    <w:rsid w:val="00E35D15"/>
    <w:rsid w:val="00E36810"/>
    <w:rsid w:val="00E3695A"/>
    <w:rsid w:val="00E36E45"/>
    <w:rsid w:val="00E37554"/>
    <w:rsid w:val="00E37745"/>
    <w:rsid w:val="00E37763"/>
    <w:rsid w:val="00E37933"/>
    <w:rsid w:val="00E379CF"/>
    <w:rsid w:val="00E37C49"/>
    <w:rsid w:val="00E4006F"/>
    <w:rsid w:val="00E4015A"/>
    <w:rsid w:val="00E405EA"/>
    <w:rsid w:val="00E407CC"/>
    <w:rsid w:val="00E40909"/>
    <w:rsid w:val="00E40A29"/>
    <w:rsid w:val="00E40C30"/>
    <w:rsid w:val="00E41166"/>
    <w:rsid w:val="00E415FF"/>
    <w:rsid w:val="00E41B53"/>
    <w:rsid w:val="00E41CE5"/>
    <w:rsid w:val="00E41FE5"/>
    <w:rsid w:val="00E428A4"/>
    <w:rsid w:val="00E429F4"/>
    <w:rsid w:val="00E42A24"/>
    <w:rsid w:val="00E42D73"/>
    <w:rsid w:val="00E43158"/>
    <w:rsid w:val="00E4357C"/>
    <w:rsid w:val="00E43A5D"/>
    <w:rsid w:val="00E43B71"/>
    <w:rsid w:val="00E43CA1"/>
    <w:rsid w:val="00E4430E"/>
    <w:rsid w:val="00E44375"/>
    <w:rsid w:val="00E44565"/>
    <w:rsid w:val="00E4481C"/>
    <w:rsid w:val="00E449F0"/>
    <w:rsid w:val="00E44B5D"/>
    <w:rsid w:val="00E44BDB"/>
    <w:rsid w:val="00E4505E"/>
    <w:rsid w:val="00E454D2"/>
    <w:rsid w:val="00E45505"/>
    <w:rsid w:val="00E4554E"/>
    <w:rsid w:val="00E4556F"/>
    <w:rsid w:val="00E457B9"/>
    <w:rsid w:val="00E4582A"/>
    <w:rsid w:val="00E4582B"/>
    <w:rsid w:val="00E461B2"/>
    <w:rsid w:val="00E46473"/>
    <w:rsid w:val="00E464AC"/>
    <w:rsid w:val="00E4684B"/>
    <w:rsid w:val="00E46882"/>
    <w:rsid w:val="00E47515"/>
    <w:rsid w:val="00E479B5"/>
    <w:rsid w:val="00E47FC9"/>
    <w:rsid w:val="00E50A00"/>
    <w:rsid w:val="00E50A5C"/>
    <w:rsid w:val="00E50FCF"/>
    <w:rsid w:val="00E51007"/>
    <w:rsid w:val="00E51082"/>
    <w:rsid w:val="00E512D2"/>
    <w:rsid w:val="00E51CB1"/>
    <w:rsid w:val="00E520B0"/>
    <w:rsid w:val="00E521FE"/>
    <w:rsid w:val="00E523F0"/>
    <w:rsid w:val="00E5282C"/>
    <w:rsid w:val="00E5288C"/>
    <w:rsid w:val="00E52A40"/>
    <w:rsid w:val="00E52D1B"/>
    <w:rsid w:val="00E52EF0"/>
    <w:rsid w:val="00E531D8"/>
    <w:rsid w:val="00E533E5"/>
    <w:rsid w:val="00E53663"/>
    <w:rsid w:val="00E53721"/>
    <w:rsid w:val="00E538C0"/>
    <w:rsid w:val="00E5398E"/>
    <w:rsid w:val="00E53F59"/>
    <w:rsid w:val="00E5432E"/>
    <w:rsid w:val="00E54ABC"/>
    <w:rsid w:val="00E54E26"/>
    <w:rsid w:val="00E55047"/>
    <w:rsid w:val="00E55461"/>
    <w:rsid w:val="00E555B9"/>
    <w:rsid w:val="00E556E5"/>
    <w:rsid w:val="00E55962"/>
    <w:rsid w:val="00E55CFE"/>
    <w:rsid w:val="00E55F91"/>
    <w:rsid w:val="00E56282"/>
    <w:rsid w:val="00E56D2F"/>
    <w:rsid w:val="00E56E5E"/>
    <w:rsid w:val="00E56E94"/>
    <w:rsid w:val="00E56F73"/>
    <w:rsid w:val="00E56F80"/>
    <w:rsid w:val="00E5724D"/>
    <w:rsid w:val="00E577E3"/>
    <w:rsid w:val="00E57BDF"/>
    <w:rsid w:val="00E602E5"/>
    <w:rsid w:val="00E602F9"/>
    <w:rsid w:val="00E60361"/>
    <w:rsid w:val="00E60396"/>
    <w:rsid w:val="00E6066C"/>
    <w:rsid w:val="00E60E00"/>
    <w:rsid w:val="00E60E45"/>
    <w:rsid w:val="00E610A2"/>
    <w:rsid w:val="00E61D8F"/>
    <w:rsid w:val="00E622C0"/>
    <w:rsid w:val="00E622C2"/>
    <w:rsid w:val="00E6278C"/>
    <w:rsid w:val="00E62894"/>
    <w:rsid w:val="00E630CF"/>
    <w:rsid w:val="00E631DC"/>
    <w:rsid w:val="00E633AA"/>
    <w:rsid w:val="00E6396D"/>
    <w:rsid w:val="00E63D33"/>
    <w:rsid w:val="00E64294"/>
    <w:rsid w:val="00E64594"/>
    <w:rsid w:val="00E65DC7"/>
    <w:rsid w:val="00E65E60"/>
    <w:rsid w:val="00E66932"/>
    <w:rsid w:val="00E66BC6"/>
    <w:rsid w:val="00E66FE6"/>
    <w:rsid w:val="00E675D5"/>
    <w:rsid w:val="00E678D4"/>
    <w:rsid w:val="00E67DCF"/>
    <w:rsid w:val="00E71070"/>
    <w:rsid w:val="00E71257"/>
    <w:rsid w:val="00E7136B"/>
    <w:rsid w:val="00E71995"/>
    <w:rsid w:val="00E71D80"/>
    <w:rsid w:val="00E71F6E"/>
    <w:rsid w:val="00E71F8F"/>
    <w:rsid w:val="00E72323"/>
    <w:rsid w:val="00E723A2"/>
    <w:rsid w:val="00E728DC"/>
    <w:rsid w:val="00E72B82"/>
    <w:rsid w:val="00E72BD7"/>
    <w:rsid w:val="00E72EA2"/>
    <w:rsid w:val="00E7325A"/>
    <w:rsid w:val="00E732BB"/>
    <w:rsid w:val="00E7342E"/>
    <w:rsid w:val="00E73691"/>
    <w:rsid w:val="00E73C48"/>
    <w:rsid w:val="00E740CF"/>
    <w:rsid w:val="00E7416D"/>
    <w:rsid w:val="00E74465"/>
    <w:rsid w:val="00E7485B"/>
    <w:rsid w:val="00E74AD2"/>
    <w:rsid w:val="00E74B12"/>
    <w:rsid w:val="00E7535F"/>
    <w:rsid w:val="00E753D8"/>
    <w:rsid w:val="00E75451"/>
    <w:rsid w:val="00E75464"/>
    <w:rsid w:val="00E75471"/>
    <w:rsid w:val="00E756EE"/>
    <w:rsid w:val="00E75C67"/>
    <w:rsid w:val="00E762BA"/>
    <w:rsid w:val="00E767BA"/>
    <w:rsid w:val="00E76A7B"/>
    <w:rsid w:val="00E773E3"/>
    <w:rsid w:val="00E774EB"/>
    <w:rsid w:val="00E7774E"/>
    <w:rsid w:val="00E7780F"/>
    <w:rsid w:val="00E80259"/>
    <w:rsid w:val="00E80C3E"/>
    <w:rsid w:val="00E80E79"/>
    <w:rsid w:val="00E810E3"/>
    <w:rsid w:val="00E81420"/>
    <w:rsid w:val="00E81AE6"/>
    <w:rsid w:val="00E81B51"/>
    <w:rsid w:val="00E81E4F"/>
    <w:rsid w:val="00E82565"/>
    <w:rsid w:val="00E825D2"/>
    <w:rsid w:val="00E82B26"/>
    <w:rsid w:val="00E82D4F"/>
    <w:rsid w:val="00E82DE9"/>
    <w:rsid w:val="00E83059"/>
    <w:rsid w:val="00E83225"/>
    <w:rsid w:val="00E8324B"/>
    <w:rsid w:val="00E83444"/>
    <w:rsid w:val="00E83954"/>
    <w:rsid w:val="00E83C85"/>
    <w:rsid w:val="00E83DE3"/>
    <w:rsid w:val="00E83FC4"/>
    <w:rsid w:val="00E84047"/>
    <w:rsid w:val="00E844C7"/>
    <w:rsid w:val="00E84749"/>
    <w:rsid w:val="00E84D9A"/>
    <w:rsid w:val="00E850F9"/>
    <w:rsid w:val="00E85480"/>
    <w:rsid w:val="00E85876"/>
    <w:rsid w:val="00E85920"/>
    <w:rsid w:val="00E85A30"/>
    <w:rsid w:val="00E85C9B"/>
    <w:rsid w:val="00E85F45"/>
    <w:rsid w:val="00E85F55"/>
    <w:rsid w:val="00E85FDE"/>
    <w:rsid w:val="00E86009"/>
    <w:rsid w:val="00E8602F"/>
    <w:rsid w:val="00E860C4"/>
    <w:rsid w:val="00E8627E"/>
    <w:rsid w:val="00E862D6"/>
    <w:rsid w:val="00E8672E"/>
    <w:rsid w:val="00E8739C"/>
    <w:rsid w:val="00E87405"/>
    <w:rsid w:val="00E87536"/>
    <w:rsid w:val="00E876CB"/>
    <w:rsid w:val="00E879B4"/>
    <w:rsid w:val="00E87B30"/>
    <w:rsid w:val="00E87B56"/>
    <w:rsid w:val="00E902C3"/>
    <w:rsid w:val="00E90637"/>
    <w:rsid w:val="00E9081B"/>
    <w:rsid w:val="00E9087E"/>
    <w:rsid w:val="00E909FA"/>
    <w:rsid w:val="00E9132F"/>
    <w:rsid w:val="00E91978"/>
    <w:rsid w:val="00E91F07"/>
    <w:rsid w:val="00E9247C"/>
    <w:rsid w:val="00E92522"/>
    <w:rsid w:val="00E9260B"/>
    <w:rsid w:val="00E926A7"/>
    <w:rsid w:val="00E92741"/>
    <w:rsid w:val="00E927D9"/>
    <w:rsid w:val="00E92996"/>
    <w:rsid w:val="00E92D43"/>
    <w:rsid w:val="00E9324D"/>
    <w:rsid w:val="00E9364D"/>
    <w:rsid w:val="00E93A48"/>
    <w:rsid w:val="00E93CEA"/>
    <w:rsid w:val="00E940E9"/>
    <w:rsid w:val="00E9437D"/>
    <w:rsid w:val="00E95015"/>
    <w:rsid w:val="00E95525"/>
    <w:rsid w:val="00E95787"/>
    <w:rsid w:val="00E95862"/>
    <w:rsid w:val="00E95AC0"/>
    <w:rsid w:val="00E9602F"/>
    <w:rsid w:val="00E96256"/>
    <w:rsid w:val="00E962FD"/>
    <w:rsid w:val="00E96304"/>
    <w:rsid w:val="00E964FE"/>
    <w:rsid w:val="00E968ED"/>
    <w:rsid w:val="00E96FF8"/>
    <w:rsid w:val="00E970BC"/>
    <w:rsid w:val="00E97204"/>
    <w:rsid w:val="00E97258"/>
    <w:rsid w:val="00E974A3"/>
    <w:rsid w:val="00EA0268"/>
    <w:rsid w:val="00EA0ACD"/>
    <w:rsid w:val="00EA0C93"/>
    <w:rsid w:val="00EA0CCF"/>
    <w:rsid w:val="00EA0F8C"/>
    <w:rsid w:val="00EA1168"/>
    <w:rsid w:val="00EA126E"/>
    <w:rsid w:val="00EA1301"/>
    <w:rsid w:val="00EA1C0C"/>
    <w:rsid w:val="00EA25FD"/>
    <w:rsid w:val="00EA289F"/>
    <w:rsid w:val="00EA2972"/>
    <w:rsid w:val="00EA2A5B"/>
    <w:rsid w:val="00EA2AC3"/>
    <w:rsid w:val="00EA2AE7"/>
    <w:rsid w:val="00EA2F50"/>
    <w:rsid w:val="00EA2FDE"/>
    <w:rsid w:val="00EA32FF"/>
    <w:rsid w:val="00EA3385"/>
    <w:rsid w:val="00EA39A7"/>
    <w:rsid w:val="00EA4129"/>
    <w:rsid w:val="00EA41B2"/>
    <w:rsid w:val="00EA41B3"/>
    <w:rsid w:val="00EA4438"/>
    <w:rsid w:val="00EA455D"/>
    <w:rsid w:val="00EA4BD2"/>
    <w:rsid w:val="00EA51C6"/>
    <w:rsid w:val="00EA5570"/>
    <w:rsid w:val="00EA5844"/>
    <w:rsid w:val="00EA5E90"/>
    <w:rsid w:val="00EA674C"/>
    <w:rsid w:val="00EA6830"/>
    <w:rsid w:val="00EA6C1B"/>
    <w:rsid w:val="00EA6EBD"/>
    <w:rsid w:val="00EA7110"/>
    <w:rsid w:val="00EA746B"/>
    <w:rsid w:val="00EA7593"/>
    <w:rsid w:val="00EA79E3"/>
    <w:rsid w:val="00EA7B5F"/>
    <w:rsid w:val="00EB01BC"/>
    <w:rsid w:val="00EB0349"/>
    <w:rsid w:val="00EB035B"/>
    <w:rsid w:val="00EB0658"/>
    <w:rsid w:val="00EB0B5E"/>
    <w:rsid w:val="00EB0C5B"/>
    <w:rsid w:val="00EB0FCB"/>
    <w:rsid w:val="00EB1427"/>
    <w:rsid w:val="00EB166E"/>
    <w:rsid w:val="00EB170A"/>
    <w:rsid w:val="00EB1E7F"/>
    <w:rsid w:val="00EB20A1"/>
    <w:rsid w:val="00EB24CA"/>
    <w:rsid w:val="00EB2911"/>
    <w:rsid w:val="00EB2A32"/>
    <w:rsid w:val="00EB345D"/>
    <w:rsid w:val="00EB3784"/>
    <w:rsid w:val="00EB3815"/>
    <w:rsid w:val="00EB3974"/>
    <w:rsid w:val="00EB3DAD"/>
    <w:rsid w:val="00EB3E05"/>
    <w:rsid w:val="00EB3E8E"/>
    <w:rsid w:val="00EB45E5"/>
    <w:rsid w:val="00EB4769"/>
    <w:rsid w:val="00EB47AA"/>
    <w:rsid w:val="00EB4AEC"/>
    <w:rsid w:val="00EB4ED3"/>
    <w:rsid w:val="00EB5460"/>
    <w:rsid w:val="00EB55EE"/>
    <w:rsid w:val="00EB57E9"/>
    <w:rsid w:val="00EB5F0B"/>
    <w:rsid w:val="00EB635D"/>
    <w:rsid w:val="00EB6606"/>
    <w:rsid w:val="00EB6991"/>
    <w:rsid w:val="00EB6A2D"/>
    <w:rsid w:val="00EB6B43"/>
    <w:rsid w:val="00EB6E06"/>
    <w:rsid w:val="00EB75C4"/>
    <w:rsid w:val="00EB76AF"/>
    <w:rsid w:val="00EB7908"/>
    <w:rsid w:val="00EB7D24"/>
    <w:rsid w:val="00EB7F1F"/>
    <w:rsid w:val="00EC017A"/>
    <w:rsid w:val="00EC02CE"/>
    <w:rsid w:val="00EC035A"/>
    <w:rsid w:val="00EC0483"/>
    <w:rsid w:val="00EC060F"/>
    <w:rsid w:val="00EC0BAF"/>
    <w:rsid w:val="00EC0F09"/>
    <w:rsid w:val="00EC15D5"/>
    <w:rsid w:val="00EC165A"/>
    <w:rsid w:val="00EC226E"/>
    <w:rsid w:val="00EC26C2"/>
    <w:rsid w:val="00EC2BA5"/>
    <w:rsid w:val="00EC2C12"/>
    <w:rsid w:val="00EC31C2"/>
    <w:rsid w:val="00EC364A"/>
    <w:rsid w:val="00EC3D28"/>
    <w:rsid w:val="00EC3D4A"/>
    <w:rsid w:val="00EC3DD8"/>
    <w:rsid w:val="00EC434B"/>
    <w:rsid w:val="00EC43DA"/>
    <w:rsid w:val="00EC4B96"/>
    <w:rsid w:val="00EC501D"/>
    <w:rsid w:val="00EC5EBA"/>
    <w:rsid w:val="00EC6409"/>
    <w:rsid w:val="00EC6806"/>
    <w:rsid w:val="00EC68DC"/>
    <w:rsid w:val="00EC69B5"/>
    <w:rsid w:val="00EC6F0F"/>
    <w:rsid w:val="00EC71B2"/>
    <w:rsid w:val="00EC73CD"/>
    <w:rsid w:val="00EC741C"/>
    <w:rsid w:val="00EC7509"/>
    <w:rsid w:val="00EC7EAA"/>
    <w:rsid w:val="00EC7EED"/>
    <w:rsid w:val="00ED048A"/>
    <w:rsid w:val="00ED05C2"/>
    <w:rsid w:val="00ED0828"/>
    <w:rsid w:val="00ED0D67"/>
    <w:rsid w:val="00ED0FC2"/>
    <w:rsid w:val="00ED1676"/>
    <w:rsid w:val="00ED1691"/>
    <w:rsid w:val="00ED1789"/>
    <w:rsid w:val="00ED1B3E"/>
    <w:rsid w:val="00ED1F30"/>
    <w:rsid w:val="00ED215A"/>
    <w:rsid w:val="00ED2264"/>
    <w:rsid w:val="00ED260A"/>
    <w:rsid w:val="00ED2E32"/>
    <w:rsid w:val="00ED2ED5"/>
    <w:rsid w:val="00ED3163"/>
    <w:rsid w:val="00ED31AA"/>
    <w:rsid w:val="00ED3421"/>
    <w:rsid w:val="00ED3992"/>
    <w:rsid w:val="00ED3CC6"/>
    <w:rsid w:val="00ED3D9F"/>
    <w:rsid w:val="00ED44F0"/>
    <w:rsid w:val="00ED454B"/>
    <w:rsid w:val="00ED4804"/>
    <w:rsid w:val="00ED4D98"/>
    <w:rsid w:val="00ED516A"/>
    <w:rsid w:val="00ED518C"/>
    <w:rsid w:val="00ED54F7"/>
    <w:rsid w:val="00ED55FF"/>
    <w:rsid w:val="00ED59EF"/>
    <w:rsid w:val="00ED5B4A"/>
    <w:rsid w:val="00ED6117"/>
    <w:rsid w:val="00ED6134"/>
    <w:rsid w:val="00ED69FD"/>
    <w:rsid w:val="00ED6D4C"/>
    <w:rsid w:val="00ED6DAD"/>
    <w:rsid w:val="00ED7112"/>
    <w:rsid w:val="00ED734F"/>
    <w:rsid w:val="00ED74DB"/>
    <w:rsid w:val="00ED79E0"/>
    <w:rsid w:val="00ED7A35"/>
    <w:rsid w:val="00ED7B5E"/>
    <w:rsid w:val="00EE01C3"/>
    <w:rsid w:val="00EE03E8"/>
    <w:rsid w:val="00EE065B"/>
    <w:rsid w:val="00EE0733"/>
    <w:rsid w:val="00EE131D"/>
    <w:rsid w:val="00EE13EB"/>
    <w:rsid w:val="00EE186F"/>
    <w:rsid w:val="00EE1A9F"/>
    <w:rsid w:val="00EE1AF9"/>
    <w:rsid w:val="00EE2343"/>
    <w:rsid w:val="00EE251A"/>
    <w:rsid w:val="00EE274F"/>
    <w:rsid w:val="00EE2992"/>
    <w:rsid w:val="00EE2ADE"/>
    <w:rsid w:val="00EE2FDF"/>
    <w:rsid w:val="00EE33E8"/>
    <w:rsid w:val="00EE3574"/>
    <w:rsid w:val="00EE3856"/>
    <w:rsid w:val="00EE38FB"/>
    <w:rsid w:val="00EE3C38"/>
    <w:rsid w:val="00EE3F64"/>
    <w:rsid w:val="00EE45F3"/>
    <w:rsid w:val="00EE4ABE"/>
    <w:rsid w:val="00EE4B76"/>
    <w:rsid w:val="00EE4BF0"/>
    <w:rsid w:val="00EE57C2"/>
    <w:rsid w:val="00EE5A1E"/>
    <w:rsid w:val="00EE5B91"/>
    <w:rsid w:val="00EE5BFD"/>
    <w:rsid w:val="00EE5D7A"/>
    <w:rsid w:val="00EE62C1"/>
    <w:rsid w:val="00EE69A8"/>
    <w:rsid w:val="00EE70C9"/>
    <w:rsid w:val="00EE73E5"/>
    <w:rsid w:val="00EE75F6"/>
    <w:rsid w:val="00EF0297"/>
    <w:rsid w:val="00EF0948"/>
    <w:rsid w:val="00EF0AE2"/>
    <w:rsid w:val="00EF0DFF"/>
    <w:rsid w:val="00EF13AC"/>
    <w:rsid w:val="00EF1636"/>
    <w:rsid w:val="00EF1829"/>
    <w:rsid w:val="00EF2129"/>
    <w:rsid w:val="00EF21FE"/>
    <w:rsid w:val="00EF21FF"/>
    <w:rsid w:val="00EF2813"/>
    <w:rsid w:val="00EF30E7"/>
    <w:rsid w:val="00EF315F"/>
    <w:rsid w:val="00EF32BA"/>
    <w:rsid w:val="00EF3A8D"/>
    <w:rsid w:val="00EF3CED"/>
    <w:rsid w:val="00EF3DC6"/>
    <w:rsid w:val="00EF3F90"/>
    <w:rsid w:val="00EF443E"/>
    <w:rsid w:val="00EF46D0"/>
    <w:rsid w:val="00EF493E"/>
    <w:rsid w:val="00EF4FA1"/>
    <w:rsid w:val="00EF5195"/>
    <w:rsid w:val="00EF51CC"/>
    <w:rsid w:val="00EF5289"/>
    <w:rsid w:val="00EF569B"/>
    <w:rsid w:val="00EF5BB9"/>
    <w:rsid w:val="00EF5E90"/>
    <w:rsid w:val="00EF62F8"/>
    <w:rsid w:val="00EF6BA2"/>
    <w:rsid w:val="00EF6C9D"/>
    <w:rsid w:val="00EF70AF"/>
    <w:rsid w:val="00EF7DF7"/>
    <w:rsid w:val="00EF7F2D"/>
    <w:rsid w:val="00EF7F67"/>
    <w:rsid w:val="00EF7FD4"/>
    <w:rsid w:val="00F00038"/>
    <w:rsid w:val="00F00045"/>
    <w:rsid w:val="00F0007B"/>
    <w:rsid w:val="00F0018E"/>
    <w:rsid w:val="00F00352"/>
    <w:rsid w:val="00F00A0C"/>
    <w:rsid w:val="00F00B7B"/>
    <w:rsid w:val="00F00D81"/>
    <w:rsid w:val="00F00DD5"/>
    <w:rsid w:val="00F00FED"/>
    <w:rsid w:val="00F01363"/>
    <w:rsid w:val="00F01510"/>
    <w:rsid w:val="00F01925"/>
    <w:rsid w:val="00F021D5"/>
    <w:rsid w:val="00F025B6"/>
    <w:rsid w:val="00F025B7"/>
    <w:rsid w:val="00F028AB"/>
    <w:rsid w:val="00F029E8"/>
    <w:rsid w:val="00F0353C"/>
    <w:rsid w:val="00F036B5"/>
    <w:rsid w:val="00F03E67"/>
    <w:rsid w:val="00F03F8B"/>
    <w:rsid w:val="00F040F6"/>
    <w:rsid w:val="00F04533"/>
    <w:rsid w:val="00F0480C"/>
    <w:rsid w:val="00F04BD9"/>
    <w:rsid w:val="00F04F28"/>
    <w:rsid w:val="00F0530F"/>
    <w:rsid w:val="00F05595"/>
    <w:rsid w:val="00F05917"/>
    <w:rsid w:val="00F059C1"/>
    <w:rsid w:val="00F05D5F"/>
    <w:rsid w:val="00F05DFF"/>
    <w:rsid w:val="00F063B2"/>
    <w:rsid w:val="00F06497"/>
    <w:rsid w:val="00F067C0"/>
    <w:rsid w:val="00F069E8"/>
    <w:rsid w:val="00F06A92"/>
    <w:rsid w:val="00F06BBC"/>
    <w:rsid w:val="00F06D63"/>
    <w:rsid w:val="00F06EB7"/>
    <w:rsid w:val="00F07721"/>
    <w:rsid w:val="00F07A26"/>
    <w:rsid w:val="00F07A40"/>
    <w:rsid w:val="00F07CDB"/>
    <w:rsid w:val="00F10260"/>
    <w:rsid w:val="00F10403"/>
    <w:rsid w:val="00F10464"/>
    <w:rsid w:val="00F1054B"/>
    <w:rsid w:val="00F105A7"/>
    <w:rsid w:val="00F1072D"/>
    <w:rsid w:val="00F11092"/>
    <w:rsid w:val="00F1149F"/>
    <w:rsid w:val="00F114E3"/>
    <w:rsid w:val="00F11542"/>
    <w:rsid w:val="00F115F4"/>
    <w:rsid w:val="00F11647"/>
    <w:rsid w:val="00F11A18"/>
    <w:rsid w:val="00F124F8"/>
    <w:rsid w:val="00F1252F"/>
    <w:rsid w:val="00F12D84"/>
    <w:rsid w:val="00F12F3D"/>
    <w:rsid w:val="00F13350"/>
    <w:rsid w:val="00F13372"/>
    <w:rsid w:val="00F134B3"/>
    <w:rsid w:val="00F137B1"/>
    <w:rsid w:val="00F139C0"/>
    <w:rsid w:val="00F13BD8"/>
    <w:rsid w:val="00F13BE5"/>
    <w:rsid w:val="00F13CB7"/>
    <w:rsid w:val="00F140F2"/>
    <w:rsid w:val="00F14252"/>
    <w:rsid w:val="00F1444B"/>
    <w:rsid w:val="00F145EE"/>
    <w:rsid w:val="00F14743"/>
    <w:rsid w:val="00F14888"/>
    <w:rsid w:val="00F14992"/>
    <w:rsid w:val="00F14998"/>
    <w:rsid w:val="00F14F8D"/>
    <w:rsid w:val="00F151C3"/>
    <w:rsid w:val="00F15417"/>
    <w:rsid w:val="00F158F8"/>
    <w:rsid w:val="00F15C3C"/>
    <w:rsid w:val="00F16015"/>
    <w:rsid w:val="00F160F3"/>
    <w:rsid w:val="00F163C7"/>
    <w:rsid w:val="00F16443"/>
    <w:rsid w:val="00F1650E"/>
    <w:rsid w:val="00F165A8"/>
    <w:rsid w:val="00F168D7"/>
    <w:rsid w:val="00F16C91"/>
    <w:rsid w:val="00F16D15"/>
    <w:rsid w:val="00F16FA9"/>
    <w:rsid w:val="00F17114"/>
    <w:rsid w:val="00F17997"/>
    <w:rsid w:val="00F179CC"/>
    <w:rsid w:val="00F17FCA"/>
    <w:rsid w:val="00F205C6"/>
    <w:rsid w:val="00F209DE"/>
    <w:rsid w:val="00F20F94"/>
    <w:rsid w:val="00F21434"/>
    <w:rsid w:val="00F21908"/>
    <w:rsid w:val="00F21DF4"/>
    <w:rsid w:val="00F223C6"/>
    <w:rsid w:val="00F22424"/>
    <w:rsid w:val="00F224BF"/>
    <w:rsid w:val="00F229B1"/>
    <w:rsid w:val="00F22A14"/>
    <w:rsid w:val="00F23041"/>
    <w:rsid w:val="00F235E3"/>
    <w:rsid w:val="00F2379A"/>
    <w:rsid w:val="00F2391D"/>
    <w:rsid w:val="00F23AEE"/>
    <w:rsid w:val="00F23D28"/>
    <w:rsid w:val="00F23D70"/>
    <w:rsid w:val="00F23F7B"/>
    <w:rsid w:val="00F2401D"/>
    <w:rsid w:val="00F244F1"/>
    <w:rsid w:val="00F24523"/>
    <w:rsid w:val="00F24B7F"/>
    <w:rsid w:val="00F24F2A"/>
    <w:rsid w:val="00F24F5A"/>
    <w:rsid w:val="00F255C8"/>
    <w:rsid w:val="00F25A38"/>
    <w:rsid w:val="00F26001"/>
    <w:rsid w:val="00F2632D"/>
    <w:rsid w:val="00F2636D"/>
    <w:rsid w:val="00F2645E"/>
    <w:rsid w:val="00F2653F"/>
    <w:rsid w:val="00F2682A"/>
    <w:rsid w:val="00F269BD"/>
    <w:rsid w:val="00F26A4F"/>
    <w:rsid w:val="00F26AE1"/>
    <w:rsid w:val="00F2733A"/>
    <w:rsid w:val="00F27846"/>
    <w:rsid w:val="00F279E7"/>
    <w:rsid w:val="00F27A1C"/>
    <w:rsid w:val="00F27EE5"/>
    <w:rsid w:val="00F27FA7"/>
    <w:rsid w:val="00F30022"/>
    <w:rsid w:val="00F300CC"/>
    <w:rsid w:val="00F300E8"/>
    <w:rsid w:val="00F300EC"/>
    <w:rsid w:val="00F3043F"/>
    <w:rsid w:val="00F309F0"/>
    <w:rsid w:val="00F30CD3"/>
    <w:rsid w:val="00F30D99"/>
    <w:rsid w:val="00F30E6F"/>
    <w:rsid w:val="00F315A6"/>
    <w:rsid w:val="00F319FA"/>
    <w:rsid w:val="00F31A04"/>
    <w:rsid w:val="00F3204F"/>
    <w:rsid w:val="00F3220C"/>
    <w:rsid w:val="00F3233A"/>
    <w:rsid w:val="00F32391"/>
    <w:rsid w:val="00F32487"/>
    <w:rsid w:val="00F32870"/>
    <w:rsid w:val="00F32992"/>
    <w:rsid w:val="00F337BC"/>
    <w:rsid w:val="00F33D36"/>
    <w:rsid w:val="00F34443"/>
    <w:rsid w:val="00F3470D"/>
    <w:rsid w:val="00F34B68"/>
    <w:rsid w:val="00F35421"/>
    <w:rsid w:val="00F3549E"/>
    <w:rsid w:val="00F35590"/>
    <w:rsid w:val="00F359D5"/>
    <w:rsid w:val="00F35D65"/>
    <w:rsid w:val="00F3633F"/>
    <w:rsid w:val="00F3637A"/>
    <w:rsid w:val="00F367E2"/>
    <w:rsid w:val="00F36A38"/>
    <w:rsid w:val="00F37564"/>
    <w:rsid w:val="00F37A04"/>
    <w:rsid w:val="00F403E4"/>
    <w:rsid w:val="00F40470"/>
    <w:rsid w:val="00F40E3C"/>
    <w:rsid w:val="00F41049"/>
    <w:rsid w:val="00F410AA"/>
    <w:rsid w:val="00F41189"/>
    <w:rsid w:val="00F41483"/>
    <w:rsid w:val="00F416E0"/>
    <w:rsid w:val="00F41B58"/>
    <w:rsid w:val="00F41FBF"/>
    <w:rsid w:val="00F42134"/>
    <w:rsid w:val="00F422F0"/>
    <w:rsid w:val="00F423C8"/>
    <w:rsid w:val="00F428B6"/>
    <w:rsid w:val="00F42ADB"/>
    <w:rsid w:val="00F42B1D"/>
    <w:rsid w:val="00F42CA2"/>
    <w:rsid w:val="00F42D54"/>
    <w:rsid w:val="00F42DDC"/>
    <w:rsid w:val="00F42F01"/>
    <w:rsid w:val="00F43067"/>
    <w:rsid w:val="00F43C07"/>
    <w:rsid w:val="00F43C80"/>
    <w:rsid w:val="00F44DA6"/>
    <w:rsid w:val="00F44ED4"/>
    <w:rsid w:val="00F44FAF"/>
    <w:rsid w:val="00F44FB4"/>
    <w:rsid w:val="00F4500D"/>
    <w:rsid w:val="00F45182"/>
    <w:rsid w:val="00F4559A"/>
    <w:rsid w:val="00F4561E"/>
    <w:rsid w:val="00F4580B"/>
    <w:rsid w:val="00F46C80"/>
    <w:rsid w:val="00F46F06"/>
    <w:rsid w:val="00F4710F"/>
    <w:rsid w:val="00F475B6"/>
    <w:rsid w:val="00F47D96"/>
    <w:rsid w:val="00F47E36"/>
    <w:rsid w:val="00F47F05"/>
    <w:rsid w:val="00F500C3"/>
    <w:rsid w:val="00F5027D"/>
    <w:rsid w:val="00F50387"/>
    <w:rsid w:val="00F50842"/>
    <w:rsid w:val="00F50F23"/>
    <w:rsid w:val="00F51082"/>
    <w:rsid w:val="00F519A1"/>
    <w:rsid w:val="00F519BB"/>
    <w:rsid w:val="00F51BCE"/>
    <w:rsid w:val="00F51CFB"/>
    <w:rsid w:val="00F51D1D"/>
    <w:rsid w:val="00F52D11"/>
    <w:rsid w:val="00F52F64"/>
    <w:rsid w:val="00F52FDA"/>
    <w:rsid w:val="00F5304C"/>
    <w:rsid w:val="00F53389"/>
    <w:rsid w:val="00F5458F"/>
    <w:rsid w:val="00F54A1D"/>
    <w:rsid w:val="00F553A0"/>
    <w:rsid w:val="00F55425"/>
    <w:rsid w:val="00F55CE7"/>
    <w:rsid w:val="00F55E3B"/>
    <w:rsid w:val="00F55EC4"/>
    <w:rsid w:val="00F56098"/>
    <w:rsid w:val="00F56514"/>
    <w:rsid w:val="00F568E2"/>
    <w:rsid w:val="00F56C71"/>
    <w:rsid w:val="00F56F03"/>
    <w:rsid w:val="00F57508"/>
    <w:rsid w:val="00F57C7D"/>
    <w:rsid w:val="00F57DE0"/>
    <w:rsid w:val="00F60089"/>
    <w:rsid w:val="00F60488"/>
    <w:rsid w:val="00F604A3"/>
    <w:rsid w:val="00F60A87"/>
    <w:rsid w:val="00F60B88"/>
    <w:rsid w:val="00F6113F"/>
    <w:rsid w:val="00F611F3"/>
    <w:rsid w:val="00F615B2"/>
    <w:rsid w:val="00F615D5"/>
    <w:rsid w:val="00F61970"/>
    <w:rsid w:val="00F61AFF"/>
    <w:rsid w:val="00F61F75"/>
    <w:rsid w:val="00F623E6"/>
    <w:rsid w:val="00F6242C"/>
    <w:rsid w:val="00F62917"/>
    <w:rsid w:val="00F62D69"/>
    <w:rsid w:val="00F62DF8"/>
    <w:rsid w:val="00F630C9"/>
    <w:rsid w:val="00F633E3"/>
    <w:rsid w:val="00F63672"/>
    <w:rsid w:val="00F636E3"/>
    <w:rsid w:val="00F6378C"/>
    <w:rsid w:val="00F639D5"/>
    <w:rsid w:val="00F63E26"/>
    <w:rsid w:val="00F63E60"/>
    <w:rsid w:val="00F6419D"/>
    <w:rsid w:val="00F644C1"/>
    <w:rsid w:val="00F647D4"/>
    <w:rsid w:val="00F648B6"/>
    <w:rsid w:val="00F64ABF"/>
    <w:rsid w:val="00F65159"/>
    <w:rsid w:val="00F6547C"/>
    <w:rsid w:val="00F65917"/>
    <w:rsid w:val="00F65DE2"/>
    <w:rsid w:val="00F661DD"/>
    <w:rsid w:val="00F66733"/>
    <w:rsid w:val="00F66C30"/>
    <w:rsid w:val="00F66E6A"/>
    <w:rsid w:val="00F672F7"/>
    <w:rsid w:val="00F674DD"/>
    <w:rsid w:val="00F67651"/>
    <w:rsid w:val="00F67824"/>
    <w:rsid w:val="00F679B1"/>
    <w:rsid w:val="00F70A9C"/>
    <w:rsid w:val="00F70DAF"/>
    <w:rsid w:val="00F70FA3"/>
    <w:rsid w:val="00F71109"/>
    <w:rsid w:val="00F714A9"/>
    <w:rsid w:val="00F717A8"/>
    <w:rsid w:val="00F71C70"/>
    <w:rsid w:val="00F71EC3"/>
    <w:rsid w:val="00F72137"/>
    <w:rsid w:val="00F72BB3"/>
    <w:rsid w:val="00F72CA4"/>
    <w:rsid w:val="00F72D04"/>
    <w:rsid w:val="00F72FBC"/>
    <w:rsid w:val="00F73738"/>
    <w:rsid w:val="00F743D3"/>
    <w:rsid w:val="00F745E9"/>
    <w:rsid w:val="00F7482A"/>
    <w:rsid w:val="00F749E7"/>
    <w:rsid w:val="00F74F66"/>
    <w:rsid w:val="00F7537E"/>
    <w:rsid w:val="00F7550A"/>
    <w:rsid w:val="00F755FC"/>
    <w:rsid w:val="00F758F8"/>
    <w:rsid w:val="00F75D5C"/>
    <w:rsid w:val="00F75F80"/>
    <w:rsid w:val="00F7670F"/>
    <w:rsid w:val="00F76ADE"/>
    <w:rsid w:val="00F77324"/>
    <w:rsid w:val="00F77719"/>
    <w:rsid w:val="00F77871"/>
    <w:rsid w:val="00F77872"/>
    <w:rsid w:val="00F778D9"/>
    <w:rsid w:val="00F77DA5"/>
    <w:rsid w:val="00F80289"/>
    <w:rsid w:val="00F804E7"/>
    <w:rsid w:val="00F80BC9"/>
    <w:rsid w:val="00F81904"/>
    <w:rsid w:val="00F81B0F"/>
    <w:rsid w:val="00F81F41"/>
    <w:rsid w:val="00F82270"/>
    <w:rsid w:val="00F82573"/>
    <w:rsid w:val="00F825F7"/>
    <w:rsid w:val="00F8266A"/>
    <w:rsid w:val="00F82A14"/>
    <w:rsid w:val="00F82A19"/>
    <w:rsid w:val="00F82BF4"/>
    <w:rsid w:val="00F82E5F"/>
    <w:rsid w:val="00F83CBA"/>
    <w:rsid w:val="00F83D29"/>
    <w:rsid w:val="00F83E80"/>
    <w:rsid w:val="00F84300"/>
    <w:rsid w:val="00F84A51"/>
    <w:rsid w:val="00F850A6"/>
    <w:rsid w:val="00F8519D"/>
    <w:rsid w:val="00F85742"/>
    <w:rsid w:val="00F85777"/>
    <w:rsid w:val="00F8585C"/>
    <w:rsid w:val="00F85DA9"/>
    <w:rsid w:val="00F86169"/>
    <w:rsid w:val="00F86804"/>
    <w:rsid w:val="00F86842"/>
    <w:rsid w:val="00F86927"/>
    <w:rsid w:val="00F86BA3"/>
    <w:rsid w:val="00F86FCE"/>
    <w:rsid w:val="00F8714D"/>
    <w:rsid w:val="00F87958"/>
    <w:rsid w:val="00F87AC1"/>
    <w:rsid w:val="00F87FC2"/>
    <w:rsid w:val="00F9069E"/>
    <w:rsid w:val="00F9078A"/>
    <w:rsid w:val="00F9078C"/>
    <w:rsid w:val="00F907A6"/>
    <w:rsid w:val="00F909B2"/>
    <w:rsid w:val="00F90A50"/>
    <w:rsid w:val="00F90C4C"/>
    <w:rsid w:val="00F90D52"/>
    <w:rsid w:val="00F911F2"/>
    <w:rsid w:val="00F91E88"/>
    <w:rsid w:val="00F9254C"/>
    <w:rsid w:val="00F92E59"/>
    <w:rsid w:val="00F9358C"/>
    <w:rsid w:val="00F9390D"/>
    <w:rsid w:val="00F94567"/>
    <w:rsid w:val="00F94577"/>
    <w:rsid w:val="00F94A90"/>
    <w:rsid w:val="00F94A94"/>
    <w:rsid w:val="00F9505B"/>
    <w:rsid w:val="00F95117"/>
    <w:rsid w:val="00F95289"/>
    <w:rsid w:val="00F9548E"/>
    <w:rsid w:val="00F9585E"/>
    <w:rsid w:val="00F95884"/>
    <w:rsid w:val="00F95C65"/>
    <w:rsid w:val="00F95E26"/>
    <w:rsid w:val="00F96063"/>
    <w:rsid w:val="00F9666A"/>
    <w:rsid w:val="00F96782"/>
    <w:rsid w:val="00F9680A"/>
    <w:rsid w:val="00F9697F"/>
    <w:rsid w:val="00F96C55"/>
    <w:rsid w:val="00F96E17"/>
    <w:rsid w:val="00F970DE"/>
    <w:rsid w:val="00F9717D"/>
    <w:rsid w:val="00F9737D"/>
    <w:rsid w:val="00F973F1"/>
    <w:rsid w:val="00F97474"/>
    <w:rsid w:val="00F9764D"/>
    <w:rsid w:val="00F979C8"/>
    <w:rsid w:val="00F97B4A"/>
    <w:rsid w:val="00F97FD4"/>
    <w:rsid w:val="00FA0597"/>
    <w:rsid w:val="00FA070E"/>
    <w:rsid w:val="00FA083B"/>
    <w:rsid w:val="00FA0884"/>
    <w:rsid w:val="00FA0CCD"/>
    <w:rsid w:val="00FA0F76"/>
    <w:rsid w:val="00FA101A"/>
    <w:rsid w:val="00FA11FB"/>
    <w:rsid w:val="00FA14DC"/>
    <w:rsid w:val="00FA1586"/>
    <w:rsid w:val="00FA16B0"/>
    <w:rsid w:val="00FA16CC"/>
    <w:rsid w:val="00FA1BB6"/>
    <w:rsid w:val="00FA263B"/>
    <w:rsid w:val="00FA2A41"/>
    <w:rsid w:val="00FA2E14"/>
    <w:rsid w:val="00FA2E4A"/>
    <w:rsid w:val="00FA2EB3"/>
    <w:rsid w:val="00FA2ED8"/>
    <w:rsid w:val="00FA3015"/>
    <w:rsid w:val="00FA317F"/>
    <w:rsid w:val="00FA35DB"/>
    <w:rsid w:val="00FA38C9"/>
    <w:rsid w:val="00FA392E"/>
    <w:rsid w:val="00FA396C"/>
    <w:rsid w:val="00FA3AD7"/>
    <w:rsid w:val="00FA433E"/>
    <w:rsid w:val="00FA466B"/>
    <w:rsid w:val="00FA4925"/>
    <w:rsid w:val="00FA4A0F"/>
    <w:rsid w:val="00FA4B11"/>
    <w:rsid w:val="00FA4E9F"/>
    <w:rsid w:val="00FA5569"/>
    <w:rsid w:val="00FA583F"/>
    <w:rsid w:val="00FA5AC8"/>
    <w:rsid w:val="00FA5DA6"/>
    <w:rsid w:val="00FA5F1E"/>
    <w:rsid w:val="00FA5F8D"/>
    <w:rsid w:val="00FA65F6"/>
    <w:rsid w:val="00FA6A1C"/>
    <w:rsid w:val="00FA7348"/>
    <w:rsid w:val="00FA73BB"/>
    <w:rsid w:val="00FA74BF"/>
    <w:rsid w:val="00FA7752"/>
    <w:rsid w:val="00FA794B"/>
    <w:rsid w:val="00FB0354"/>
    <w:rsid w:val="00FB0CDE"/>
    <w:rsid w:val="00FB0D7F"/>
    <w:rsid w:val="00FB1038"/>
    <w:rsid w:val="00FB1120"/>
    <w:rsid w:val="00FB1209"/>
    <w:rsid w:val="00FB12B5"/>
    <w:rsid w:val="00FB13C3"/>
    <w:rsid w:val="00FB13ED"/>
    <w:rsid w:val="00FB164A"/>
    <w:rsid w:val="00FB175B"/>
    <w:rsid w:val="00FB1924"/>
    <w:rsid w:val="00FB1B7E"/>
    <w:rsid w:val="00FB1CD4"/>
    <w:rsid w:val="00FB1F69"/>
    <w:rsid w:val="00FB26EB"/>
    <w:rsid w:val="00FB27CC"/>
    <w:rsid w:val="00FB2946"/>
    <w:rsid w:val="00FB2A8F"/>
    <w:rsid w:val="00FB2CE0"/>
    <w:rsid w:val="00FB2E51"/>
    <w:rsid w:val="00FB2EEC"/>
    <w:rsid w:val="00FB2F35"/>
    <w:rsid w:val="00FB3325"/>
    <w:rsid w:val="00FB3349"/>
    <w:rsid w:val="00FB35C6"/>
    <w:rsid w:val="00FB3836"/>
    <w:rsid w:val="00FB3BF7"/>
    <w:rsid w:val="00FB3D67"/>
    <w:rsid w:val="00FB4128"/>
    <w:rsid w:val="00FB429C"/>
    <w:rsid w:val="00FB42A5"/>
    <w:rsid w:val="00FB4385"/>
    <w:rsid w:val="00FB45CF"/>
    <w:rsid w:val="00FB4B59"/>
    <w:rsid w:val="00FB4BA1"/>
    <w:rsid w:val="00FB4F57"/>
    <w:rsid w:val="00FB5096"/>
    <w:rsid w:val="00FB52CE"/>
    <w:rsid w:val="00FB591E"/>
    <w:rsid w:val="00FB5F08"/>
    <w:rsid w:val="00FB631F"/>
    <w:rsid w:val="00FB6439"/>
    <w:rsid w:val="00FB686A"/>
    <w:rsid w:val="00FB6CD0"/>
    <w:rsid w:val="00FB7081"/>
    <w:rsid w:val="00FB728A"/>
    <w:rsid w:val="00FB7401"/>
    <w:rsid w:val="00FB78C2"/>
    <w:rsid w:val="00FB7A71"/>
    <w:rsid w:val="00FB7CB4"/>
    <w:rsid w:val="00FC03FB"/>
    <w:rsid w:val="00FC15A2"/>
    <w:rsid w:val="00FC186F"/>
    <w:rsid w:val="00FC18CA"/>
    <w:rsid w:val="00FC1B8D"/>
    <w:rsid w:val="00FC1D67"/>
    <w:rsid w:val="00FC1F0C"/>
    <w:rsid w:val="00FC21C1"/>
    <w:rsid w:val="00FC26D9"/>
    <w:rsid w:val="00FC2ABA"/>
    <w:rsid w:val="00FC2D5B"/>
    <w:rsid w:val="00FC2EC3"/>
    <w:rsid w:val="00FC31E7"/>
    <w:rsid w:val="00FC3911"/>
    <w:rsid w:val="00FC3E70"/>
    <w:rsid w:val="00FC44E9"/>
    <w:rsid w:val="00FC487E"/>
    <w:rsid w:val="00FC4A48"/>
    <w:rsid w:val="00FC4B05"/>
    <w:rsid w:val="00FC4C02"/>
    <w:rsid w:val="00FC4CB8"/>
    <w:rsid w:val="00FC5272"/>
    <w:rsid w:val="00FC55AD"/>
    <w:rsid w:val="00FC564B"/>
    <w:rsid w:val="00FC57FA"/>
    <w:rsid w:val="00FC5816"/>
    <w:rsid w:val="00FC586B"/>
    <w:rsid w:val="00FC58D5"/>
    <w:rsid w:val="00FC59E3"/>
    <w:rsid w:val="00FC5CDB"/>
    <w:rsid w:val="00FC5D84"/>
    <w:rsid w:val="00FC6565"/>
    <w:rsid w:val="00FC6693"/>
    <w:rsid w:val="00FC698B"/>
    <w:rsid w:val="00FC6A53"/>
    <w:rsid w:val="00FC6D87"/>
    <w:rsid w:val="00FD0171"/>
    <w:rsid w:val="00FD02EB"/>
    <w:rsid w:val="00FD0393"/>
    <w:rsid w:val="00FD0469"/>
    <w:rsid w:val="00FD0EB3"/>
    <w:rsid w:val="00FD146A"/>
    <w:rsid w:val="00FD1489"/>
    <w:rsid w:val="00FD1620"/>
    <w:rsid w:val="00FD1982"/>
    <w:rsid w:val="00FD1F13"/>
    <w:rsid w:val="00FD21D7"/>
    <w:rsid w:val="00FD22F0"/>
    <w:rsid w:val="00FD2451"/>
    <w:rsid w:val="00FD2AAF"/>
    <w:rsid w:val="00FD32D2"/>
    <w:rsid w:val="00FD341A"/>
    <w:rsid w:val="00FD38A6"/>
    <w:rsid w:val="00FD3E31"/>
    <w:rsid w:val="00FD428C"/>
    <w:rsid w:val="00FD472B"/>
    <w:rsid w:val="00FD4C5D"/>
    <w:rsid w:val="00FD4D70"/>
    <w:rsid w:val="00FD4E31"/>
    <w:rsid w:val="00FD4E61"/>
    <w:rsid w:val="00FD4E6E"/>
    <w:rsid w:val="00FD4E9D"/>
    <w:rsid w:val="00FD5C2E"/>
    <w:rsid w:val="00FD646A"/>
    <w:rsid w:val="00FD6848"/>
    <w:rsid w:val="00FD6AF3"/>
    <w:rsid w:val="00FD6D55"/>
    <w:rsid w:val="00FD754E"/>
    <w:rsid w:val="00FD7776"/>
    <w:rsid w:val="00FD7B14"/>
    <w:rsid w:val="00FD7CD7"/>
    <w:rsid w:val="00FD7E22"/>
    <w:rsid w:val="00FD7FB0"/>
    <w:rsid w:val="00FE0129"/>
    <w:rsid w:val="00FE070A"/>
    <w:rsid w:val="00FE0A39"/>
    <w:rsid w:val="00FE0ADF"/>
    <w:rsid w:val="00FE0B1D"/>
    <w:rsid w:val="00FE0B66"/>
    <w:rsid w:val="00FE0BC0"/>
    <w:rsid w:val="00FE102A"/>
    <w:rsid w:val="00FE10AA"/>
    <w:rsid w:val="00FE1350"/>
    <w:rsid w:val="00FE1C78"/>
    <w:rsid w:val="00FE1EB8"/>
    <w:rsid w:val="00FE2374"/>
    <w:rsid w:val="00FE24DA"/>
    <w:rsid w:val="00FE25D7"/>
    <w:rsid w:val="00FE2965"/>
    <w:rsid w:val="00FE29B8"/>
    <w:rsid w:val="00FE29DB"/>
    <w:rsid w:val="00FE2FF8"/>
    <w:rsid w:val="00FE37CB"/>
    <w:rsid w:val="00FE3D19"/>
    <w:rsid w:val="00FE4680"/>
    <w:rsid w:val="00FE4D5D"/>
    <w:rsid w:val="00FE4FE6"/>
    <w:rsid w:val="00FE515C"/>
    <w:rsid w:val="00FE55C8"/>
    <w:rsid w:val="00FE5731"/>
    <w:rsid w:val="00FE653A"/>
    <w:rsid w:val="00FE6642"/>
    <w:rsid w:val="00FE6793"/>
    <w:rsid w:val="00FE67D0"/>
    <w:rsid w:val="00FE67F6"/>
    <w:rsid w:val="00FE700D"/>
    <w:rsid w:val="00FE713B"/>
    <w:rsid w:val="00FE7225"/>
    <w:rsid w:val="00FE737B"/>
    <w:rsid w:val="00FE7B56"/>
    <w:rsid w:val="00FE7B84"/>
    <w:rsid w:val="00FE7EB2"/>
    <w:rsid w:val="00FF0CE9"/>
    <w:rsid w:val="00FF0F0F"/>
    <w:rsid w:val="00FF155E"/>
    <w:rsid w:val="00FF17F5"/>
    <w:rsid w:val="00FF1854"/>
    <w:rsid w:val="00FF1E95"/>
    <w:rsid w:val="00FF203F"/>
    <w:rsid w:val="00FF21D6"/>
    <w:rsid w:val="00FF2702"/>
    <w:rsid w:val="00FF285E"/>
    <w:rsid w:val="00FF295E"/>
    <w:rsid w:val="00FF2A47"/>
    <w:rsid w:val="00FF2C89"/>
    <w:rsid w:val="00FF2E3A"/>
    <w:rsid w:val="00FF2F1E"/>
    <w:rsid w:val="00FF30C1"/>
    <w:rsid w:val="00FF3101"/>
    <w:rsid w:val="00FF3450"/>
    <w:rsid w:val="00FF37AB"/>
    <w:rsid w:val="00FF3C0B"/>
    <w:rsid w:val="00FF4348"/>
    <w:rsid w:val="00FF43CC"/>
    <w:rsid w:val="00FF44F3"/>
    <w:rsid w:val="00FF4C10"/>
    <w:rsid w:val="00FF4C28"/>
    <w:rsid w:val="00FF4E0E"/>
    <w:rsid w:val="00FF54D8"/>
    <w:rsid w:val="00FF5721"/>
    <w:rsid w:val="00FF5753"/>
    <w:rsid w:val="00FF592C"/>
    <w:rsid w:val="00FF5C7B"/>
    <w:rsid w:val="00FF67A6"/>
    <w:rsid w:val="00FF6B7C"/>
    <w:rsid w:val="00FF6B87"/>
    <w:rsid w:val="00FF7835"/>
    <w:rsid w:val="00FF795F"/>
    <w:rsid w:val="00FF79EF"/>
    <w:rsid w:val="00FF7A38"/>
    <w:rsid w:val="00FF7E42"/>
    <w:rsid w:val="013D913C"/>
    <w:rsid w:val="0149AD0A"/>
    <w:rsid w:val="0155AEB3"/>
    <w:rsid w:val="01670E6A"/>
    <w:rsid w:val="017774A5"/>
    <w:rsid w:val="018036C7"/>
    <w:rsid w:val="01830360"/>
    <w:rsid w:val="01A697E1"/>
    <w:rsid w:val="01E71D2E"/>
    <w:rsid w:val="0206D041"/>
    <w:rsid w:val="02216D93"/>
    <w:rsid w:val="02329E1C"/>
    <w:rsid w:val="0283CA49"/>
    <w:rsid w:val="028D7842"/>
    <w:rsid w:val="029E0D1B"/>
    <w:rsid w:val="02BB1A37"/>
    <w:rsid w:val="039A4EBB"/>
    <w:rsid w:val="03DF1F4B"/>
    <w:rsid w:val="04200F7B"/>
    <w:rsid w:val="0421CEC6"/>
    <w:rsid w:val="046E5D8C"/>
    <w:rsid w:val="04713A18"/>
    <w:rsid w:val="049EAF2C"/>
    <w:rsid w:val="049EFEA3"/>
    <w:rsid w:val="04DBB038"/>
    <w:rsid w:val="04FC8DB4"/>
    <w:rsid w:val="0501FB91"/>
    <w:rsid w:val="0514A04B"/>
    <w:rsid w:val="05154CF3"/>
    <w:rsid w:val="051ED120"/>
    <w:rsid w:val="0548EBB2"/>
    <w:rsid w:val="054FE9F0"/>
    <w:rsid w:val="055D9065"/>
    <w:rsid w:val="055F5740"/>
    <w:rsid w:val="057232B7"/>
    <w:rsid w:val="05B11A18"/>
    <w:rsid w:val="05C644D2"/>
    <w:rsid w:val="063A7F8D"/>
    <w:rsid w:val="065C9BCB"/>
    <w:rsid w:val="06797454"/>
    <w:rsid w:val="06D4EA2B"/>
    <w:rsid w:val="06E4BC13"/>
    <w:rsid w:val="0704DF27"/>
    <w:rsid w:val="07314C55"/>
    <w:rsid w:val="079C3C74"/>
    <w:rsid w:val="07A7B3B7"/>
    <w:rsid w:val="07AAD560"/>
    <w:rsid w:val="07D91C87"/>
    <w:rsid w:val="087C08CA"/>
    <w:rsid w:val="08A4389C"/>
    <w:rsid w:val="08FEEA03"/>
    <w:rsid w:val="091E6E62"/>
    <w:rsid w:val="095BDA5F"/>
    <w:rsid w:val="095FC479"/>
    <w:rsid w:val="0985B2F8"/>
    <w:rsid w:val="099EE712"/>
    <w:rsid w:val="09A0C793"/>
    <w:rsid w:val="09E1BCC1"/>
    <w:rsid w:val="09F46A13"/>
    <w:rsid w:val="0A3355C7"/>
    <w:rsid w:val="0A3ABE69"/>
    <w:rsid w:val="0A4BBF65"/>
    <w:rsid w:val="0A55BB25"/>
    <w:rsid w:val="0A84FE50"/>
    <w:rsid w:val="0A8CA97A"/>
    <w:rsid w:val="0A98FDD0"/>
    <w:rsid w:val="0A9C7749"/>
    <w:rsid w:val="0A9F8EBE"/>
    <w:rsid w:val="0AE72583"/>
    <w:rsid w:val="0AED2AFA"/>
    <w:rsid w:val="0B10DB9C"/>
    <w:rsid w:val="0B1850EA"/>
    <w:rsid w:val="0B1EA18F"/>
    <w:rsid w:val="0B3578EA"/>
    <w:rsid w:val="0B4E4699"/>
    <w:rsid w:val="0B716F49"/>
    <w:rsid w:val="0C403568"/>
    <w:rsid w:val="0C7E45B7"/>
    <w:rsid w:val="0D0D9986"/>
    <w:rsid w:val="0D2CC111"/>
    <w:rsid w:val="0D449B4A"/>
    <w:rsid w:val="0D55BF70"/>
    <w:rsid w:val="0D9D8404"/>
    <w:rsid w:val="0DCCD35E"/>
    <w:rsid w:val="0DD5A74D"/>
    <w:rsid w:val="0DD72F80"/>
    <w:rsid w:val="0DFA83DE"/>
    <w:rsid w:val="0DFDCEF6"/>
    <w:rsid w:val="0E17C24F"/>
    <w:rsid w:val="0E28F543"/>
    <w:rsid w:val="0E5EB9CF"/>
    <w:rsid w:val="0EB0B9E2"/>
    <w:rsid w:val="0EBA2612"/>
    <w:rsid w:val="0ED8F037"/>
    <w:rsid w:val="0F023F49"/>
    <w:rsid w:val="0F067214"/>
    <w:rsid w:val="0F093AEC"/>
    <w:rsid w:val="0F0B6030"/>
    <w:rsid w:val="0F2AAD4D"/>
    <w:rsid w:val="0F77D62A"/>
    <w:rsid w:val="0F96C6AC"/>
    <w:rsid w:val="0FAAD816"/>
    <w:rsid w:val="0FB2E1FD"/>
    <w:rsid w:val="0FE161D3"/>
    <w:rsid w:val="0FF5EFD2"/>
    <w:rsid w:val="0FFA8A30"/>
    <w:rsid w:val="0FFDF476"/>
    <w:rsid w:val="10007F03"/>
    <w:rsid w:val="1009E6ED"/>
    <w:rsid w:val="1048F169"/>
    <w:rsid w:val="10A50B4D"/>
    <w:rsid w:val="10CA1087"/>
    <w:rsid w:val="10D04F8C"/>
    <w:rsid w:val="10D2D034"/>
    <w:rsid w:val="10F33FDE"/>
    <w:rsid w:val="114F6311"/>
    <w:rsid w:val="1161B545"/>
    <w:rsid w:val="119A6396"/>
    <w:rsid w:val="11AA4FDF"/>
    <w:rsid w:val="11C6CDBD"/>
    <w:rsid w:val="11F5AA33"/>
    <w:rsid w:val="1239E00B"/>
    <w:rsid w:val="123A6B6A"/>
    <w:rsid w:val="1287F175"/>
    <w:rsid w:val="1289960D"/>
    <w:rsid w:val="12B16AC7"/>
    <w:rsid w:val="12E71488"/>
    <w:rsid w:val="12EC31D6"/>
    <w:rsid w:val="12FABC7E"/>
    <w:rsid w:val="12FD85A6"/>
    <w:rsid w:val="133EDDD5"/>
    <w:rsid w:val="135014A6"/>
    <w:rsid w:val="1374EAB9"/>
    <w:rsid w:val="13B3DCCE"/>
    <w:rsid w:val="13B9D799"/>
    <w:rsid w:val="13DFF1D0"/>
    <w:rsid w:val="13E843B6"/>
    <w:rsid w:val="13EE4E47"/>
    <w:rsid w:val="13F3ECA2"/>
    <w:rsid w:val="140C1E33"/>
    <w:rsid w:val="141F6E83"/>
    <w:rsid w:val="14218233"/>
    <w:rsid w:val="1425EDE5"/>
    <w:rsid w:val="14276FDE"/>
    <w:rsid w:val="1474DF6C"/>
    <w:rsid w:val="147ABF7C"/>
    <w:rsid w:val="14CE343F"/>
    <w:rsid w:val="14D91D43"/>
    <w:rsid w:val="14EAC6CB"/>
    <w:rsid w:val="14FE6E7F"/>
    <w:rsid w:val="1560D155"/>
    <w:rsid w:val="16144D18"/>
    <w:rsid w:val="16281045"/>
    <w:rsid w:val="16301719"/>
    <w:rsid w:val="1638191C"/>
    <w:rsid w:val="164669CA"/>
    <w:rsid w:val="1654C905"/>
    <w:rsid w:val="16957566"/>
    <w:rsid w:val="16ED17A2"/>
    <w:rsid w:val="16F65C33"/>
    <w:rsid w:val="17036AE4"/>
    <w:rsid w:val="1763B1A4"/>
    <w:rsid w:val="1766BC5A"/>
    <w:rsid w:val="1778C6D0"/>
    <w:rsid w:val="178F0642"/>
    <w:rsid w:val="17EC73B8"/>
    <w:rsid w:val="17EE8A7C"/>
    <w:rsid w:val="17F09966"/>
    <w:rsid w:val="1858AC5C"/>
    <w:rsid w:val="185B9380"/>
    <w:rsid w:val="18987217"/>
    <w:rsid w:val="189F3B45"/>
    <w:rsid w:val="18A9218F"/>
    <w:rsid w:val="18F20BBC"/>
    <w:rsid w:val="18F714C8"/>
    <w:rsid w:val="1948508F"/>
    <w:rsid w:val="1974BD70"/>
    <w:rsid w:val="197758B9"/>
    <w:rsid w:val="197E0201"/>
    <w:rsid w:val="19837E36"/>
    <w:rsid w:val="19F35A2C"/>
    <w:rsid w:val="1A1B30CC"/>
    <w:rsid w:val="1A28CB35"/>
    <w:rsid w:val="1A78F679"/>
    <w:rsid w:val="1A7C5683"/>
    <w:rsid w:val="1AA9D96F"/>
    <w:rsid w:val="1AB9CAE1"/>
    <w:rsid w:val="1ADAAD5D"/>
    <w:rsid w:val="1AE7D9E4"/>
    <w:rsid w:val="1AEA98B3"/>
    <w:rsid w:val="1AEF4958"/>
    <w:rsid w:val="1B0AAA51"/>
    <w:rsid w:val="1B5DE203"/>
    <w:rsid w:val="1B72E352"/>
    <w:rsid w:val="1B859E97"/>
    <w:rsid w:val="1B8DF780"/>
    <w:rsid w:val="1BA29FC7"/>
    <w:rsid w:val="1BC9CD56"/>
    <w:rsid w:val="1BD6DC8D"/>
    <w:rsid w:val="1BE14DB0"/>
    <w:rsid w:val="1BFEFE87"/>
    <w:rsid w:val="1C07BDBA"/>
    <w:rsid w:val="1C820086"/>
    <w:rsid w:val="1C8BA263"/>
    <w:rsid w:val="1C9919AE"/>
    <w:rsid w:val="1CD91277"/>
    <w:rsid w:val="1D2644B6"/>
    <w:rsid w:val="1D37BB40"/>
    <w:rsid w:val="1D52D18E"/>
    <w:rsid w:val="1D7C92B2"/>
    <w:rsid w:val="1D8CDCA1"/>
    <w:rsid w:val="1D9CC314"/>
    <w:rsid w:val="1DB7CD7C"/>
    <w:rsid w:val="1DC25D87"/>
    <w:rsid w:val="1E0722A0"/>
    <w:rsid w:val="1E1DD0E7"/>
    <w:rsid w:val="1E8099C9"/>
    <w:rsid w:val="1E869DDA"/>
    <w:rsid w:val="1EAAC557"/>
    <w:rsid w:val="1EB9EC16"/>
    <w:rsid w:val="1EC7EDE0"/>
    <w:rsid w:val="1ED25303"/>
    <w:rsid w:val="1EF10AF3"/>
    <w:rsid w:val="1EFC3C58"/>
    <w:rsid w:val="1F0161D5"/>
    <w:rsid w:val="1F016E18"/>
    <w:rsid w:val="1F1C593E"/>
    <w:rsid w:val="1F33F89C"/>
    <w:rsid w:val="1F3BE45A"/>
    <w:rsid w:val="1F4C5DF7"/>
    <w:rsid w:val="1F841A3E"/>
    <w:rsid w:val="1FAB3B2D"/>
    <w:rsid w:val="1FABC136"/>
    <w:rsid w:val="1FB79213"/>
    <w:rsid w:val="1FD12A0B"/>
    <w:rsid w:val="1FD4C507"/>
    <w:rsid w:val="1FE2D6F4"/>
    <w:rsid w:val="2038C654"/>
    <w:rsid w:val="2068948A"/>
    <w:rsid w:val="206E2364"/>
    <w:rsid w:val="2072B56F"/>
    <w:rsid w:val="20EF6E3E"/>
    <w:rsid w:val="20F24C9C"/>
    <w:rsid w:val="21027D39"/>
    <w:rsid w:val="2145A7DC"/>
    <w:rsid w:val="2162A7C5"/>
    <w:rsid w:val="216CFA6C"/>
    <w:rsid w:val="217EEC61"/>
    <w:rsid w:val="21E26401"/>
    <w:rsid w:val="21E2C78A"/>
    <w:rsid w:val="21FF8EA2"/>
    <w:rsid w:val="22056C9D"/>
    <w:rsid w:val="2211E14B"/>
    <w:rsid w:val="222E3037"/>
    <w:rsid w:val="22515465"/>
    <w:rsid w:val="2262E1C1"/>
    <w:rsid w:val="22FB00A0"/>
    <w:rsid w:val="2339E07E"/>
    <w:rsid w:val="23664BF4"/>
    <w:rsid w:val="23811415"/>
    <w:rsid w:val="239AEC5A"/>
    <w:rsid w:val="23DC4BE1"/>
    <w:rsid w:val="23F7C1B6"/>
    <w:rsid w:val="240A106C"/>
    <w:rsid w:val="2429B8FB"/>
    <w:rsid w:val="242B02A0"/>
    <w:rsid w:val="2436CA0A"/>
    <w:rsid w:val="2471F96D"/>
    <w:rsid w:val="24893778"/>
    <w:rsid w:val="24B76757"/>
    <w:rsid w:val="24ED5BCB"/>
    <w:rsid w:val="24F09D7F"/>
    <w:rsid w:val="251C7FCF"/>
    <w:rsid w:val="2531569B"/>
    <w:rsid w:val="25419487"/>
    <w:rsid w:val="25901D7C"/>
    <w:rsid w:val="25A9B704"/>
    <w:rsid w:val="25C5895C"/>
    <w:rsid w:val="25D14750"/>
    <w:rsid w:val="265CD38A"/>
    <w:rsid w:val="2668068A"/>
    <w:rsid w:val="2687FD6B"/>
    <w:rsid w:val="26B251E2"/>
    <w:rsid w:val="26E5C05E"/>
    <w:rsid w:val="270C7FFD"/>
    <w:rsid w:val="2735D302"/>
    <w:rsid w:val="27494B4D"/>
    <w:rsid w:val="274E149A"/>
    <w:rsid w:val="276ECA60"/>
    <w:rsid w:val="279E2A79"/>
    <w:rsid w:val="27AEE65F"/>
    <w:rsid w:val="27BAF01A"/>
    <w:rsid w:val="27BC9189"/>
    <w:rsid w:val="27C3A2D1"/>
    <w:rsid w:val="27D127DB"/>
    <w:rsid w:val="27DC3BF0"/>
    <w:rsid w:val="27DD6000"/>
    <w:rsid w:val="27EF10D9"/>
    <w:rsid w:val="281A1EB9"/>
    <w:rsid w:val="2823CDCC"/>
    <w:rsid w:val="28793549"/>
    <w:rsid w:val="289D71BB"/>
    <w:rsid w:val="28A96658"/>
    <w:rsid w:val="28AB0C24"/>
    <w:rsid w:val="28AE26F7"/>
    <w:rsid w:val="28AE95E1"/>
    <w:rsid w:val="28CB0CFF"/>
    <w:rsid w:val="2956C07B"/>
    <w:rsid w:val="297C0860"/>
    <w:rsid w:val="29AD7D30"/>
    <w:rsid w:val="29F05599"/>
    <w:rsid w:val="2A13A1BA"/>
    <w:rsid w:val="2A1CF330"/>
    <w:rsid w:val="2A392B6B"/>
    <w:rsid w:val="2A46666F"/>
    <w:rsid w:val="2A638E9F"/>
    <w:rsid w:val="2A8ACD70"/>
    <w:rsid w:val="2A8D824C"/>
    <w:rsid w:val="2AC478F6"/>
    <w:rsid w:val="2ADAC7B8"/>
    <w:rsid w:val="2AE3E2BB"/>
    <w:rsid w:val="2AE767D6"/>
    <w:rsid w:val="2B04A08C"/>
    <w:rsid w:val="2B3797EB"/>
    <w:rsid w:val="2B4604FD"/>
    <w:rsid w:val="2B4B537D"/>
    <w:rsid w:val="2B616BF7"/>
    <w:rsid w:val="2BA120A6"/>
    <w:rsid w:val="2BB2D42A"/>
    <w:rsid w:val="2BCE3569"/>
    <w:rsid w:val="2BD5127D"/>
    <w:rsid w:val="2BF83E8E"/>
    <w:rsid w:val="2C1A748E"/>
    <w:rsid w:val="2C1CC060"/>
    <w:rsid w:val="2C944EE3"/>
    <w:rsid w:val="2CA3E2B1"/>
    <w:rsid w:val="2CCDBE4F"/>
    <w:rsid w:val="2CFED518"/>
    <w:rsid w:val="2D08E544"/>
    <w:rsid w:val="2D1B07A1"/>
    <w:rsid w:val="2D366830"/>
    <w:rsid w:val="2D70E2DE"/>
    <w:rsid w:val="2D940EEF"/>
    <w:rsid w:val="2DB52DF3"/>
    <w:rsid w:val="2DCE40A7"/>
    <w:rsid w:val="2DEC924F"/>
    <w:rsid w:val="2E124851"/>
    <w:rsid w:val="2E520FEE"/>
    <w:rsid w:val="2E636B4E"/>
    <w:rsid w:val="2E7D30D2"/>
    <w:rsid w:val="2EC7718C"/>
    <w:rsid w:val="2EC8D6A7"/>
    <w:rsid w:val="2F25A86F"/>
    <w:rsid w:val="2F29B0A8"/>
    <w:rsid w:val="2F562000"/>
    <w:rsid w:val="2F8A0A5A"/>
    <w:rsid w:val="2FB21B52"/>
    <w:rsid w:val="2FF0966F"/>
    <w:rsid w:val="30021044"/>
    <w:rsid w:val="30196597"/>
    <w:rsid w:val="30693D87"/>
    <w:rsid w:val="309CFF51"/>
    <w:rsid w:val="30B6DE3B"/>
    <w:rsid w:val="30CBAFB1"/>
    <w:rsid w:val="311C9B23"/>
    <w:rsid w:val="316373CF"/>
    <w:rsid w:val="3168D0A4"/>
    <w:rsid w:val="3184B848"/>
    <w:rsid w:val="318DFCD9"/>
    <w:rsid w:val="31C5868A"/>
    <w:rsid w:val="31CDC720"/>
    <w:rsid w:val="31E32008"/>
    <w:rsid w:val="31EBB9C3"/>
    <w:rsid w:val="32003626"/>
    <w:rsid w:val="32280515"/>
    <w:rsid w:val="324A00E4"/>
    <w:rsid w:val="325D4931"/>
    <w:rsid w:val="32678012"/>
    <w:rsid w:val="327A3129"/>
    <w:rsid w:val="3289AAAE"/>
    <w:rsid w:val="32A1BC5C"/>
    <w:rsid w:val="32FF4430"/>
    <w:rsid w:val="332088A9"/>
    <w:rsid w:val="3329CD3A"/>
    <w:rsid w:val="335EFE6B"/>
    <w:rsid w:val="339469C8"/>
    <w:rsid w:val="33B88A30"/>
    <w:rsid w:val="33BB0D5D"/>
    <w:rsid w:val="33D4A013"/>
    <w:rsid w:val="33DB8CC1"/>
    <w:rsid w:val="33DE5362"/>
    <w:rsid w:val="33E644D3"/>
    <w:rsid w:val="33FC9BC2"/>
    <w:rsid w:val="345B7227"/>
    <w:rsid w:val="34BA3BF8"/>
    <w:rsid w:val="34BABEF8"/>
    <w:rsid w:val="34BE4DC9"/>
    <w:rsid w:val="34D58167"/>
    <w:rsid w:val="352BB74A"/>
    <w:rsid w:val="35339FB8"/>
    <w:rsid w:val="35506C5A"/>
    <w:rsid w:val="35B6EF3D"/>
    <w:rsid w:val="3626668C"/>
    <w:rsid w:val="36616DFC"/>
    <w:rsid w:val="36DA672C"/>
    <w:rsid w:val="36F55A4F"/>
    <w:rsid w:val="3703B720"/>
    <w:rsid w:val="37343C84"/>
    <w:rsid w:val="374211A7"/>
    <w:rsid w:val="37534663"/>
    <w:rsid w:val="37623FA0"/>
    <w:rsid w:val="37699B1A"/>
    <w:rsid w:val="37833187"/>
    <w:rsid w:val="37B1B937"/>
    <w:rsid w:val="37DE1F86"/>
    <w:rsid w:val="37E0B548"/>
    <w:rsid w:val="37EDDAFE"/>
    <w:rsid w:val="380D2229"/>
    <w:rsid w:val="38247D47"/>
    <w:rsid w:val="384F6E22"/>
    <w:rsid w:val="3869A3DD"/>
    <w:rsid w:val="38974699"/>
    <w:rsid w:val="389A02CF"/>
    <w:rsid w:val="38C4B9AB"/>
    <w:rsid w:val="393CCD6D"/>
    <w:rsid w:val="3953309F"/>
    <w:rsid w:val="395E6BF5"/>
    <w:rsid w:val="395F8E86"/>
    <w:rsid w:val="39831C06"/>
    <w:rsid w:val="398540C4"/>
    <w:rsid w:val="39A8F28A"/>
    <w:rsid w:val="39B08F18"/>
    <w:rsid w:val="39C55B41"/>
    <w:rsid w:val="39D1064D"/>
    <w:rsid w:val="39E68C94"/>
    <w:rsid w:val="3A2729A4"/>
    <w:rsid w:val="3A4F4F35"/>
    <w:rsid w:val="3A7BC7D3"/>
    <w:rsid w:val="3A95526E"/>
    <w:rsid w:val="3AD62D89"/>
    <w:rsid w:val="3AEB3AFD"/>
    <w:rsid w:val="3B04D0B0"/>
    <w:rsid w:val="3B29A67A"/>
    <w:rsid w:val="3B3C4BC5"/>
    <w:rsid w:val="3B4BD41A"/>
    <w:rsid w:val="3B5E2D3E"/>
    <w:rsid w:val="3BDEAC34"/>
    <w:rsid w:val="3BF48398"/>
    <w:rsid w:val="3BF8D0B0"/>
    <w:rsid w:val="3C0E6258"/>
    <w:rsid w:val="3C176497"/>
    <w:rsid w:val="3C32E42A"/>
    <w:rsid w:val="3C86D988"/>
    <w:rsid w:val="3CECF5A2"/>
    <w:rsid w:val="3D1C86B9"/>
    <w:rsid w:val="3D5ECA66"/>
    <w:rsid w:val="3D95575E"/>
    <w:rsid w:val="3DA7246A"/>
    <w:rsid w:val="3DDE224A"/>
    <w:rsid w:val="3DE7FD4F"/>
    <w:rsid w:val="3E455252"/>
    <w:rsid w:val="3E4C2806"/>
    <w:rsid w:val="3E523159"/>
    <w:rsid w:val="3E6C7FE1"/>
    <w:rsid w:val="3E72C564"/>
    <w:rsid w:val="3E8665BB"/>
    <w:rsid w:val="3EF4DC6D"/>
    <w:rsid w:val="3F06881D"/>
    <w:rsid w:val="3F3127BF"/>
    <w:rsid w:val="3F7E65A4"/>
    <w:rsid w:val="3FB127BC"/>
    <w:rsid w:val="3FBE7A4A"/>
    <w:rsid w:val="3FD52E74"/>
    <w:rsid w:val="3FDDDB88"/>
    <w:rsid w:val="3FE0DFC2"/>
    <w:rsid w:val="3FF21071"/>
    <w:rsid w:val="40103DC8"/>
    <w:rsid w:val="4016D513"/>
    <w:rsid w:val="401CBDDA"/>
    <w:rsid w:val="40222714"/>
    <w:rsid w:val="4034F765"/>
    <w:rsid w:val="40357A57"/>
    <w:rsid w:val="40378D29"/>
    <w:rsid w:val="40532AF4"/>
    <w:rsid w:val="406121F4"/>
    <w:rsid w:val="40C497D3"/>
    <w:rsid w:val="40C661C3"/>
    <w:rsid w:val="40D80DCC"/>
    <w:rsid w:val="4106554D"/>
    <w:rsid w:val="410F7DC1"/>
    <w:rsid w:val="41483B39"/>
    <w:rsid w:val="4153FA1E"/>
    <w:rsid w:val="41D951D4"/>
    <w:rsid w:val="41EF2C7D"/>
    <w:rsid w:val="41FA8DFA"/>
    <w:rsid w:val="421A04E0"/>
    <w:rsid w:val="422CB002"/>
    <w:rsid w:val="42361FC7"/>
    <w:rsid w:val="42672401"/>
    <w:rsid w:val="428C4C32"/>
    <w:rsid w:val="4295B034"/>
    <w:rsid w:val="42A64B5C"/>
    <w:rsid w:val="42CF7557"/>
    <w:rsid w:val="42DFD708"/>
    <w:rsid w:val="42FF9B18"/>
    <w:rsid w:val="43188084"/>
    <w:rsid w:val="4322AF18"/>
    <w:rsid w:val="432DF9B1"/>
    <w:rsid w:val="43351261"/>
    <w:rsid w:val="433AB723"/>
    <w:rsid w:val="4342ACCA"/>
    <w:rsid w:val="43463687"/>
    <w:rsid w:val="4347DE8A"/>
    <w:rsid w:val="434F2A69"/>
    <w:rsid w:val="43580BED"/>
    <w:rsid w:val="43752235"/>
    <w:rsid w:val="43886DD6"/>
    <w:rsid w:val="43B092F7"/>
    <w:rsid w:val="43E08899"/>
    <w:rsid w:val="440AB6B7"/>
    <w:rsid w:val="445D8172"/>
    <w:rsid w:val="4499B90D"/>
    <w:rsid w:val="449B6B79"/>
    <w:rsid w:val="4510F296"/>
    <w:rsid w:val="452E3A23"/>
    <w:rsid w:val="4531B902"/>
    <w:rsid w:val="455F8B65"/>
    <w:rsid w:val="45764AD5"/>
    <w:rsid w:val="458BD2F1"/>
    <w:rsid w:val="4599D2E6"/>
    <w:rsid w:val="45A33CB3"/>
    <w:rsid w:val="45D6DC62"/>
    <w:rsid w:val="45EDA728"/>
    <w:rsid w:val="46191ACE"/>
    <w:rsid w:val="461D7A34"/>
    <w:rsid w:val="463E118E"/>
    <w:rsid w:val="464BDAF4"/>
    <w:rsid w:val="4672D701"/>
    <w:rsid w:val="4682A2B1"/>
    <w:rsid w:val="46ACC2F7"/>
    <w:rsid w:val="46B07B22"/>
    <w:rsid w:val="46FB216B"/>
    <w:rsid w:val="470B4D38"/>
    <w:rsid w:val="4714A9E0"/>
    <w:rsid w:val="472A6F62"/>
    <w:rsid w:val="473BFA2E"/>
    <w:rsid w:val="474CBD65"/>
    <w:rsid w:val="475BF15A"/>
    <w:rsid w:val="475D2295"/>
    <w:rsid w:val="47AE135D"/>
    <w:rsid w:val="47C28C83"/>
    <w:rsid w:val="47E1CF75"/>
    <w:rsid w:val="47E59870"/>
    <w:rsid w:val="47F62378"/>
    <w:rsid w:val="48086CD3"/>
    <w:rsid w:val="480C47A2"/>
    <w:rsid w:val="483347C5"/>
    <w:rsid w:val="486E922D"/>
    <w:rsid w:val="48B165C3"/>
    <w:rsid w:val="48BF337D"/>
    <w:rsid w:val="48D80A05"/>
    <w:rsid w:val="490C1F8D"/>
    <w:rsid w:val="49131FBF"/>
    <w:rsid w:val="4960774D"/>
    <w:rsid w:val="49647779"/>
    <w:rsid w:val="4977C70D"/>
    <w:rsid w:val="4978612F"/>
    <w:rsid w:val="49A453E5"/>
    <w:rsid w:val="49ED95E5"/>
    <w:rsid w:val="49F09837"/>
    <w:rsid w:val="4A19D42B"/>
    <w:rsid w:val="4A81E85D"/>
    <w:rsid w:val="4A99B0EA"/>
    <w:rsid w:val="4AAEF020"/>
    <w:rsid w:val="4AD9D815"/>
    <w:rsid w:val="4AE8C4FB"/>
    <w:rsid w:val="4AF868EA"/>
    <w:rsid w:val="4AFA3317"/>
    <w:rsid w:val="4AFC47AE"/>
    <w:rsid w:val="4B0047DA"/>
    <w:rsid w:val="4B3D28FF"/>
    <w:rsid w:val="4B4640A1"/>
    <w:rsid w:val="4B4DBEAF"/>
    <w:rsid w:val="4B610131"/>
    <w:rsid w:val="4B6870BE"/>
    <w:rsid w:val="4B9DE9F3"/>
    <w:rsid w:val="4C014360"/>
    <w:rsid w:val="4C09146A"/>
    <w:rsid w:val="4C1A061B"/>
    <w:rsid w:val="4C22AC62"/>
    <w:rsid w:val="4C33E739"/>
    <w:rsid w:val="4C3463DF"/>
    <w:rsid w:val="4C3C927A"/>
    <w:rsid w:val="4C9C183B"/>
    <w:rsid w:val="4CAE641D"/>
    <w:rsid w:val="4CD59873"/>
    <w:rsid w:val="4CDBDDF6"/>
    <w:rsid w:val="4CE2F060"/>
    <w:rsid w:val="4D06412A"/>
    <w:rsid w:val="4D1B3FBA"/>
    <w:rsid w:val="4D395025"/>
    <w:rsid w:val="4D3C7753"/>
    <w:rsid w:val="4D45F89A"/>
    <w:rsid w:val="4DC95B66"/>
    <w:rsid w:val="4E002405"/>
    <w:rsid w:val="4E71E323"/>
    <w:rsid w:val="4E748835"/>
    <w:rsid w:val="4E830130"/>
    <w:rsid w:val="4E9AF119"/>
    <w:rsid w:val="4EA3C0B9"/>
    <w:rsid w:val="4EBF72EB"/>
    <w:rsid w:val="4EBFC262"/>
    <w:rsid w:val="4F2D4011"/>
    <w:rsid w:val="4F345E46"/>
    <w:rsid w:val="4F4C3880"/>
    <w:rsid w:val="4F7D7935"/>
    <w:rsid w:val="4FA94F16"/>
    <w:rsid w:val="501A486C"/>
    <w:rsid w:val="50266192"/>
    <w:rsid w:val="507335D5"/>
    <w:rsid w:val="5077DEF1"/>
    <w:rsid w:val="50820CD8"/>
    <w:rsid w:val="50E7D3CB"/>
    <w:rsid w:val="50E808E1"/>
    <w:rsid w:val="51243A74"/>
    <w:rsid w:val="513404EB"/>
    <w:rsid w:val="515129C4"/>
    <w:rsid w:val="51B57C42"/>
    <w:rsid w:val="51BD0033"/>
    <w:rsid w:val="51D9B24D"/>
    <w:rsid w:val="51DFAA2E"/>
    <w:rsid w:val="51FA4B54"/>
    <w:rsid w:val="5202D55A"/>
    <w:rsid w:val="522A0B5D"/>
    <w:rsid w:val="525BC566"/>
    <w:rsid w:val="5283A42C"/>
    <w:rsid w:val="529CCC89"/>
    <w:rsid w:val="52ABD3FE"/>
    <w:rsid w:val="52B0C326"/>
    <w:rsid w:val="53002D3A"/>
    <w:rsid w:val="53303CCE"/>
    <w:rsid w:val="5358D094"/>
    <w:rsid w:val="536E623C"/>
    <w:rsid w:val="5371EF90"/>
    <w:rsid w:val="53A06947"/>
    <w:rsid w:val="53A80B17"/>
    <w:rsid w:val="53AC2CD2"/>
    <w:rsid w:val="53B99A5E"/>
    <w:rsid w:val="53E6D96C"/>
    <w:rsid w:val="54032329"/>
    <w:rsid w:val="5433929A"/>
    <w:rsid w:val="54389CEA"/>
    <w:rsid w:val="54409330"/>
    <w:rsid w:val="544ED234"/>
    <w:rsid w:val="54552E58"/>
    <w:rsid w:val="546C56F8"/>
    <w:rsid w:val="549B978B"/>
    <w:rsid w:val="54A23FB4"/>
    <w:rsid w:val="54A72A20"/>
    <w:rsid w:val="54BD2AF2"/>
    <w:rsid w:val="54C528C6"/>
    <w:rsid w:val="54D0A859"/>
    <w:rsid w:val="5509BB0E"/>
    <w:rsid w:val="5511530F"/>
    <w:rsid w:val="5535AABC"/>
    <w:rsid w:val="5547FD33"/>
    <w:rsid w:val="55822F41"/>
    <w:rsid w:val="5592521F"/>
    <w:rsid w:val="55959AD6"/>
    <w:rsid w:val="55DC582D"/>
    <w:rsid w:val="55DFBFB7"/>
    <w:rsid w:val="56004CA8"/>
    <w:rsid w:val="5642FA81"/>
    <w:rsid w:val="564980D5"/>
    <w:rsid w:val="56A4C126"/>
    <w:rsid w:val="56ADE8A1"/>
    <w:rsid w:val="56D27256"/>
    <w:rsid w:val="56F214DA"/>
    <w:rsid w:val="56F85733"/>
    <w:rsid w:val="57044ADC"/>
    <w:rsid w:val="5745B4A2"/>
    <w:rsid w:val="5757154F"/>
    <w:rsid w:val="578170ED"/>
    <w:rsid w:val="57BC09C9"/>
    <w:rsid w:val="57C16116"/>
    <w:rsid w:val="57C37FB8"/>
    <w:rsid w:val="581E909D"/>
    <w:rsid w:val="586E42B7"/>
    <w:rsid w:val="588DE53B"/>
    <w:rsid w:val="58AC6C42"/>
    <w:rsid w:val="58F5AB77"/>
    <w:rsid w:val="5922D49D"/>
    <w:rsid w:val="5926BFD7"/>
    <w:rsid w:val="5974C27A"/>
    <w:rsid w:val="59A5D358"/>
    <w:rsid w:val="59C85887"/>
    <w:rsid w:val="5A04F22B"/>
    <w:rsid w:val="5A69F3A3"/>
    <w:rsid w:val="5A6A8F17"/>
    <w:rsid w:val="5A6E03B3"/>
    <w:rsid w:val="5A8147B8"/>
    <w:rsid w:val="5A8367D3"/>
    <w:rsid w:val="5A96AC57"/>
    <w:rsid w:val="5ABBB121"/>
    <w:rsid w:val="5ABED369"/>
    <w:rsid w:val="5AD51907"/>
    <w:rsid w:val="5AFCBA98"/>
    <w:rsid w:val="5B3D1FB3"/>
    <w:rsid w:val="5B8F6ED5"/>
    <w:rsid w:val="5BB1D6AB"/>
    <w:rsid w:val="5BED060E"/>
    <w:rsid w:val="5BFE6C19"/>
    <w:rsid w:val="5C1925C5"/>
    <w:rsid w:val="5C2B5446"/>
    <w:rsid w:val="5C32A4F1"/>
    <w:rsid w:val="5C3A6A3E"/>
    <w:rsid w:val="5C6382A5"/>
    <w:rsid w:val="5C668263"/>
    <w:rsid w:val="5C78E000"/>
    <w:rsid w:val="5CA76681"/>
    <w:rsid w:val="5CBF97BC"/>
    <w:rsid w:val="5CD5C985"/>
    <w:rsid w:val="5CD756CB"/>
    <w:rsid w:val="5CEBBC3D"/>
    <w:rsid w:val="5CEE7803"/>
    <w:rsid w:val="5D3D309A"/>
    <w:rsid w:val="5D539955"/>
    <w:rsid w:val="5D7418C9"/>
    <w:rsid w:val="5DA5FEF8"/>
    <w:rsid w:val="5DA9E58F"/>
    <w:rsid w:val="5DAB3233"/>
    <w:rsid w:val="5DBB7830"/>
    <w:rsid w:val="5DCC9C56"/>
    <w:rsid w:val="5E1A9E33"/>
    <w:rsid w:val="5E3F066D"/>
    <w:rsid w:val="5E42B050"/>
    <w:rsid w:val="5E477B78"/>
    <w:rsid w:val="5E4E0C66"/>
    <w:rsid w:val="5E91B2AF"/>
    <w:rsid w:val="5E923B00"/>
    <w:rsid w:val="5E9CC827"/>
    <w:rsid w:val="5EB433C1"/>
    <w:rsid w:val="5EDD843B"/>
    <w:rsid w:val="5F36AF6C"/>
    <w:rsid w:val="5F403934"/>
    <w:rsid w:val="5F4BC49E"/>
    <w:rsid w:val="5F58C021"/>
    <w:rsid w:val="5F9A1FA8"/>
    <w:rsid w:val="5FE0FB08"/>
    <w:rsid w:val="5FF72C0B"/>
    <w:rsid w:val="5FF98ED1"/>
    <w:rsid w:val="6029A282"/>
    <w:rsid w:val="60400154"/>
    <w:rsid w:val="605A3984"/>
    <w:rsid w:val="60FDF795"/>
    <w:rsid w:val="616E47B5"/>
    <w:rsid w:val="6184952F"/>
    <w:rsid w:val="61921163"/>
    <w:rsid w:val="61A15B2C"/>
    <w:rsid w:val="61BC0364"/>
    <w:rsid w:val="61BF43F8"/>
    <w:rsid w:val="61DEEE5F"/>
    <w:rsid w:val="61E0FB4C"/>
    <w:rsid w:val="61F63E32"/>
    <w:rsid w:val="62087194"/>
    <w:rsid w:val="62522D71"/>
    <w:rsid w:val="626F02FF"/>
    <w:rsid w:val="628EE953"/>
    <w:rsid w:val="62BA5CF9"/>
    <w:rsid w:val="62BC9B79"/>
    <w:rsid w:val="62C26677"/>
    <w:rsid w:val="62D3A7BF"/>
    <w:rsid w:val="631FF556"/>
    <w:rsid w:val="63217D89"/>
    <w:rsid w:val="635DF16E"/>
    <w:rsid w:val="638D8AE9"/>
    <w:rsid w:val="639E0A4A"/>
    <w:rsid w:val="63A907D8"/>
    <w:rsid w:val="6412206F"/>
    <w:rsid w:val="64145F15"/>
    <w:rsid w:val="6423A542"/>
    <w:rsid w:val="642437AA"/>
    <w:rsid w:val="642EB5C3"/>
    <w:rsid w:val="643A238B"/>
    <w:rsid w:val="643D85DD"/>
    <w:rsid w:val="645388F5"/>
    <w:rsid w:val="645EA385"/>
    <w:rsid w:val="64AD7EA3"/>
    <w:rsid w:val="64F88DC9"/>
    <w:rsid w:val="64FDE0B9"/>
    <w:rsid w:val="6505012B"/>
    <w:rsid w:val="6517BF35"/>
    <w:rsid w:val="651DF074"/>
    <w:rsid w:val="65401256"/>
    <w:rsid w:val="65A54C44"/>
    <w:rsid w:val="65D7C4EC"/>
    <w:rsid w:val="65DDD9E8"/>
    <w:rsid w:val="662E54F4"/>
    <w:rsid w:val="66918A34"/>
    <w:rsid w:val="6692B51B"/>
    <w:rsid w:val="66955A49"/>
    <w:rsid w:val="66A6DA00"/>
    <w:rsid w:val="66BBB852"/>
    <w:rsid w:val="66BD5F9D"/>
    <w:rsid w:val="66C4144E"/>
    <w:rsid w:val="66EF1047"/>
    <w:rsid w:val="674A1B5C"/>
    <w:rsid w:val="67625A76"/>
    <w:rsid w:val="6773954D"/>
    <w:rsid w:val="677B82D3"/>
    <w:rsid w:val="67813655"/>
    <w:rsid w:val="67A14C9C"/>
    <w:rsid w:val="67E0B3BB"/>
    <w:rsid w:val="67F4EEAC"/>
    <w:rsid w:val="68436BA1"/>
    <w:rsid w:val="684C5759"/>
    <w:rsid w:val="684D7722"/>
    <w:rsid w:val="684F7927"/>
    <w:rsid w:val="691FFE75"/>
    <w:rsid w:val="69576308"/>
    <w:rsid w:val="695FC6E3"/>
    <w:rsid w:val="697967E2"/>
    <w:rsid w:val="69B70BED"/>
    <w:rsid w:val="6A5973A7"/>
    <w:rsid w:val="6A7A1F92"/>
    <w:rsid w:val="6A99FB38"/>
    <w:rsid w:val="6AB14B0B"/>
    <w:rsid w:val="6AB1E912"/>
    <w:rsid w:val="6AD4F733"/>
    <w:rsid w:val="6AF08CBC"/>
    <w:rsid w:val="6B4FACB4"/>
    <w:rsid w:val="6B5B1A52"/>
    <w:rsid w:val="6B7B3962"/>
    <w:rsid w:val="6B8B5811"/>
    <w:rsid w:val="6BE44EE6"/>
    <w:rsid w:val="6BE603AE"/>
    <w:rsid w:val="6C5C8E5F"/>
    <w:rsid w:val="6C68F0A9"/>
    <w:rsid w:val="6C7B6F1C"/>
    <w:rsid w:val="6CA34851"/>
    <w:rsid w:val="6D0FF694"/>
    <w:rsid w:val="6D77E153"/>
    <w:rsid w:val="6DA1D7D4"/>
    <w:rsid w:val="6DC687E5"/>
    <w:rsid w:val="6E00AEE6"/>
    <w:rsid w:val="6E2EAA62"/>
    <w:rsid w:val="6E32723A"/>
    <w:rsid w:val="6E649FED"/>
    <w:rsid w:val="6E684889"/>
    <w:rsid w:val="6EA1227B"/>
    <w:rsid w:val="6F1B9311"/>
    <w:rsid w:val="6F223DA8"/>
    <w:rsid w:val="6F262B44"/>
    <w:rsid w:val="6F3DA835"/>
    <w:rsid w:val="6F511D6F"/>
    <w:rsid w:val="6F6D6C5B"/>
    <w:rsid w:val="6F8C419B"/>
    <w:rsid w:val="6FFC2C5F"/>
    <w:rsid w:val="70320AF0"/>
    <w:rsid w:val="703A4F59"/>
    <w:rsid w:val="703FC64C"/>
    <w:rsid w:val="70479756"/>
    <w:rsid w:val="7047B3D2"/>
    <w:rsid w:val="7060B529"/>
    <w:rsid w:val="7073F8D3"/>
    <w:rsid w:val="707965DE"/>
    <w:rsid w:val="708F7866"/>
    <w:rsid w:val="70D02FD2"/>
    <w:rsid w:val="711B8805"/>
    <w:rsid w:val="711C08E5"/>
    <w:rsid w:val="711C78D9"/>
    <w:rsid w:val="712B105A"/>
    <w:rsid w:val="7180490F"/>
    <w:rsid w:val="7189A3CB"/>
    <w:rsid w:val="718FF7D9"/>
    <w:rsid w:val="71A327F9"/>
    <w:rsid w:val="71A894C1"/>
    <w:rsid w:val="71B5573C"/>
    <w:rsid w:val="71D61FBA"/>
    <w:rsid w:val="71E38433"/>
    <w:rsid w:val="71EDF14A"/>
    <w:rsid w:val="7201A512"/>
    <w:rsid w:val="7209E5D3"/>
    <w:rsid w:val="7212206A"/>
    <w:rsid w:val="7214ED03"/>
    <w:rsid w:val="7215363F"/>
    <w:rsid w:val="7222A171"/>
    <w:rsid w:val="722B48C7"/>
    <w:rsid w:val="723738AF"/>
    <w:rsid w:val="723E364A"/>
    <w:rsid w:val="7282688E"/>
    <w:rsid w:val="728FBABA"/>
    <w:rsid w:val="7296E4DB"/>
    <w:rsid w:val="72A41B50"/>
    <w:rsid w:val="72E8D51C"/>
    <w:rsid w:val="7360244B"/>
    <w:rsid w:val="7374939E"/>
    <w:rsid w:val="7391549C"/>
    <w:rsid w:val="739A6A22"/>
    <w:rsid w:val="739CDDA4"/>
    <w:rsid w:val="73ABB2D1"/>
    <w:rsid w:val="73CA836E"/>
    <w:rsid w:val="73E69BDF"/>
    <w:rsid w:val="73ED9B02"/>
    <w:rsid w:val="7418BF67"/>
    <w:rsid w:val="742DE3F1"/>
    <w:rsid w:val="7435C969"/>
    <w:rsid w:val="745876CE"/>
    <w:rsid w:val="746B2A01"/>
    <w:rsid w:val="747E4949"/>
    <w:rsid w:val="749939F7"/>
    <w:rsid w:val="74A5B4B3"/>
    <w:rsid w:val="7502628E"/>
    <w:rsid w:val="758603A8"/>
    <w:rsid w:val="75BB5B8E"/>
    <w:rsid w:val="75DCADDF"/>
    <w:rsid w:val="75FBFA1A"/>
    <w:rsid w:val="760430D7"/>
    <w:rsid w:val="7619024D"/>
    <w:rsid w:val="7623A388"/>
    <w:rsid w:val="76350A58"/>
    <w:rsid w:val="76725B41"/>
    <w:rsid w:val="76844484"/>
    <w:rsid w:val="76DD56F6"/>
    <w:rsid w:val="76EBEE7D"/>
    <w:rsid w:val="76EF4612"/>
    <w:rsid w:val="7706917C"/>
    <w:rsid w:val="773986EB"/>
    <w:rsid w:val="773ADA1F"/>
    <w:rsid w:val="7743297E"/>
    <w:rsid w:val="777557B1"/>
    <w:rsid w:val="778FD59D"/>
    <w:rsid w:val="7797CA7B"/>
    <w:rsid w:val="779F4106"/>
    <w:rsid w:val="77AED545"/>
    <w:rsid w:val="77BA3968"/>
    <w:rsid w:val="77C76E37"/>
    <w:rsid w:val="77D5E26A"/>
    <w:rsid w:val="78474E74"/>
    <w:rsid w:val="788DB510"/>
    <w:rsid w:val="78952160"/>
    <w:rsid w:val="78C572E9"/>
    <w:rsid w:val="78F7FFB5"/>
    <w:rsid w:val="7921E90A"/>
    <w:rsid w:val="7948E276"/>
    <w:rsid w:val="79545E75"/>
    <w:rsid w:val="795B2E4D"/>
    <w:rsid w:val="795E5BA8"/>
    <w:rsid w:val="79705F52"/>
    <w:rsid w:val="79A2F744"/>
    <w:rsid w:val="79E31ED5"/>
    <w:rsid w:val="7A12A470"/>
    <w:rsid w:val="7A311307"/>
    <w:rsid w:val="7A7A9865"/>
    <w:rsid w:val="7ABAFDA5"/>
    <w:rsid w:val="7ABD4355"/>
    <w:rsid w:val="7AC713C8"/>
    <w:rsid w:val="7ADA6B85"/>
    <w:rsid w:val="7AED8ACD"/>
    <w:rsid w:val="7B218EFC"/>
    <w:rsid w:val="7B24471E"/>
    <w:rsid w:val="7B3F4231"/>
    <w:rsid w:val="7B516AE2"/>
    <w:rsid w:val="7B7F35A5"/>
    <w:rsid w:val="7B828996"/>
    <w:rsid w:val="7B9AF29E"/>
    <w:rsid w:val="7BA57C07"/>
    <w:rsid w:val="7BC5B593"/>
    <w:rsid w:val="7BD8FC8E"/>
    <w:rsid w:val="7BE36F2D"/>
    <w:rsid w:val="7C253B54"/>
    <w:rsid w:val="7C291CC7"/>
    <w:rsid w:val="7CD01D28"/>
    <w:rsid w:val="7D0EA81F"/>
    <w:rsid w:val="7D1ABF97"/>
    <w:rsid w:val="7D2689F9"/>
    <w:rsid w:val="7D2A391E"/>
    <w:rsid w:val="7D2B9EFA"/>
    <w:rsid w:val="7D3ABDAD"/>
    <w:rsid w:val="7D3C8EC6"/>
    <w:rsid w:val="7D414C68"/>
    <w:rsid w:val="7D5F82A9"/>
    <w:rsid w:val="7D6457F9"/>
    <w:rsid w:val="7D6E32F3"/>
    <w:rsid w:val="7DB5053D"/>
    <w:rsid w:val="7DB7E13D"/>
    <w:rsid w:val="7DB91E2F"/>
    <w:rsid w:val="7DBD0B89"/>
    <w:rsid w:val="7E12DBA0"/>
    <w:rsid w:val="7E6E9E62"/>
    <w:rsid w:val="7EA1C32A"/>
    <w:rsid w:val="7EBBD850"/>
    <w:rsid w:val="7EDB82B7"/>
    <w:rsid w:val="7EDD1CC9"/>
    <w:rsid w:val="7EEBDD8F"/>
    <w:rsid w:val="7F3FB38D"/>
    <w:rsid w:val="7F7BD7B2"/>
    <w:rsid w:val="7F7CF2FD"/>
    <w:rsid w:val="7F7F2CE4"/>
    <w:rsid w:val="7F95815F"/>
    <w:rsid w:val="7FA1E444"/>
    <w:rsid w:val="7FCB8D7F"/>
    <w:rsid w:val="7FD0649B"/>
    <w:rsid w:val="7FD34CC1"/>
    <w:rsid w:val="7FE92BC2"/>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47CCCF"/>
  <w15:docId w15:val="{E68DBAEE-AC84-414F-BEC0-0A5A484B1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65B0D"/>
    <w:pPr>
      <w:spacing w:before="120" w:after="120"/>
      <w:jc w:val="both"/>
    </w:pPr>
    <w:rPr>
      <w:sz w:val="22"/>
      <w:szCs w:val="22"/>
      <w:lang w:eastAsia="en-US"/>
    </w:rPr>
  </w:style>
  <w:style w:type="paragraph" w:styleId="Nadpis1">
    <w:name w:val="heading 1"/>
    <w:basedOn w:val="Normln"/>
    <w:next w:val="Normln"/>
    <w:link w:val="Nadpis1Char"/>
    <w:uiPriority w:val="9"/>
    <w:qFormat/>
    <w:rsid w:val="005515AB"/>
    <w:pPr>
      <w:keepNext/>
      <w:keepLines/>
      <w:pageBreakBefore/>
      <w:numPr>
        <w:numId w:val="1"/>
      </w:numPr>
      <w:spacing w:before="240"/>
      <w:outlineLvl w:val="0"/>
    </w:pPr>
    <w:rPr>
      <w:rFonts w:eastAsia="Times New Roman"/>
      <w:b/>
      <w:bCs/>
      <w:color w:val="365F91"/>
      <w:sz w:val="28"/>
      <w:szCs w:val="28"/>
    </w:rPr>
  </w:style>
  <w:style w:type="paragraph" w:styleId="Nadpis2">
    <w:name w:val="heading 2"/>
    <w:basedOn w:val="Normln"/>
    <w:next w:val="Normln"/>
    <w:link w:val="Nadpis2Char"/>
    <w:uiPriority w:val="9"/>
    <w:unhideWhenUsed/>
    <w:qFormat/>
    <w:rsid w:val="005515AB"/>
    <w:pPr>
      <w:keepNext/>
      <w:keepLines/>
      <w:numPr>
        <w:ilvl w:val="1"/>
        <w:numId w:val="1"/>
      </w:numPr>
      <w:spacing w:before="240"/>
      <w:outlineLvl w:val="1"/>
    </w:pPr>
    <w:rPr>
      <w:rFonts w:eastAsia="Times New Roman"/>
      <w:b/>
      <w:bCs/>
      <w:color w:val="4F81BD"/>
      <w:sz w:val="26"/>
      <w:szCs w:val="26"/>
      <w:lang w:eastAsia="cs-CZ"/>
    </w:rPr>
  </w:style>
  <w:style w:type="paragraph" w:styleId="Nadpis3">
    <w:name w:val="heading 3"/>
    <w:basedOn w:val="Normln"/>
    <w:next w:val="Normln"/>
    <w:link w:val="Nadpis3Char"/>
    <w:uiPriority w:val="9"/>
    <w:unhideWhenUsed/>
    <w:qFormat/>
    <w:rsid w:val="005C25C6"/>
    <w:pPr>
      <w:keepNext/>
      <w:keepLines/>
      <w:numPr>
        <w:ilvl w:val="2"/>
        <w:numId w:val="1"/>
      </w:numPr>
      <w:spacing w:before="240"/>
      <w:outlineLvl w:val="2"/>
    </w:pPr>
    <w:rPr>
      <w:rFonts w:eastAsia="Times New Roman"/>
      <w:b/>
      <w:bCs/>
      <w:color w:val="4F81BD"/>
      <w:sz w:val="24"/>
      <w:lang w:eastAsia="cs-CZ"/>
    </w:rPr>
  </w:style>
  <w:style w:type="paragraph" w:styleId="Nadpis4">
    <w:name w:val="heading 4"/>
    <w:basedOn w:val="Normln"/>
    <w:next w:val="Normln"/>
    <w:link w:val="Nadpis4Char"/>
    <w:uiPriority w:val="9"/>
    <w:unhideWhenUsed/>
    <w:qFormat/>
    <w:rsid w:val="00D92203"/>
    <w:pPr>
      <w:keepNext/>
      <w:keepLines/>
      <w:numPr>
        <w:ilvl w:val="3"/>
        <w:numId w:val="1"/>
      </w:numPr>
      <w:spacing w:line="264" w:lineRule="auto"/>
      <w:outlineLvl w:val="3"/>
    </w:pPr>
    <w:rPr>
      <w:rFonts w:eastAsia="Times New Roman"/>
      <w:b/>
      <w:bCs/>
      <w:iCs/>
      <w:color w:val="4F81BD"/>
      <w:lang w:eastAsia="cs-CZ"/>
    </w:rPr>
  </w:style>
  <w:style w:type="paragraph" w:styleId="Nadpis5">
    <w:name w:val="heading 5"/>
    <w:basedOn w:val="Normln"/>
    <w:next w:val="Normln"/>
    <w:link w:val="Nadpis5Char"/>
    <w:uiPriority w:val="9"/>
    <w:unhideWhenUsed/>
    <w:qFormat/>
    <w:rsid w:val="005A19EC"/>
    <w:pPr>
      <w:keepNext/>
      <w:keepLines/>
      <w:numPr>
        <w:ilvl w:val="4"/>
        <w:numId w:val="1"/>
      </w:numPr>
      <w:spacing w:before="200" w:after="0"/>
      <w:outlineLvl w:val="4"/>
    </w:pPr>
    <w:rPr>
      <w:rFonts w:eastAsia="Times New Roman"/>
      <w:color w:val="2E74B5" w:themeColor="accent1" w:themeShade="BF"/>
    </w:rPr>
  </w:style>
  <w:style w:type="paragraph" w:styleId="Nadpis6">
    <w:name w:val="heading 6"/>
    <w:basedOn w:val="Normln"/>
    <w:next w:val="Normln"/>
    <w:link w:val="Nadpis6Char"/>
    <w:uiPriority w:val="9"/>
    <w:semiHidden/>
    <w:unhideWhenUsed/>
    <w:qFormat/>
    <w:rsid w:val="00D07982"/>
    <w:pPr>
      <w:keepNext/>
      <w:keepLines/>
      <w:numPr>
        <w:ilvl w:val="5"/>
        <w:numId w:val="1"/>
      </w:numPr>
      <w:spacing w:before="200" w:after="0"/>
      <w:outlineLvl w:val="5"/>
    </w:pPr>
    <w:rPr>
      <w:rFonts w:ascii="Cambria" w:eastAsia="Times New Roman" w:hAnsi="Cambria"/>
      <w:i/>
      <w:iCs/>
      <w:color w:val="243F60"/>
    </w:rPr>
  </w:style>
  <w:style w:type="paragraph" w:styleId="Nadpis7">
    <w:name w:val="heading 7"/>
    <w:basedOn w:val="Normln"/>
    <w:next w:val="Normln"/>
    <w:link w:val="Nadpis7Char"/>
    <w:uiPriority w:val="9"/>
    <w:semiHidden/>
    <w:unhideWhenUsed/>
    <w:qFormat/>
    <w:rsid w:val="00D07982"/>
    <w:pPr>
      <w:keepNext/>
      <w:keepLines/>
      <w:numPr>
        <w:ilvl w:val="6"/>
        <w:numId w:val="1"/>
      </w:numPr>
      <w:spacing w:before="200" w:after="0"/>
      <w:outlineLvl w:val="6"/>
    </w:pPr>
    <w:rPr>
      <w:rFonts w:ascii="Cambria" w:eastAsia="Times New Roman" w:hAnsi="Cambria"/>
      <w:i/>
      <w:iCs/>
      <w:color w:val="404040"/>
    </w:rPr>
  </w:style>
  <w:style w:type="paragraph" w:styleId="Nadpis8">
    <w:name w:val="heading 8"/>
    <w:basedOn w:val="Normln"/>
    <w:next w:val="Normln"/>
    <w:link w:val="Nadpis8Char"/>
    <w:uiPriority w:val="9"/>
    <w:semiHidden/>
    <w:unhideWhenUsed/>
    <w:qFormat/>
    <w:rsid w:val="00D07982"/>
    <w:pPr>
      <w:keepNext/>
      <w:keepLines/>
      <w:numPr>
        <w:ilvl w:val="7"/>
        <w:numId w:val="1"/>
      </w:numPr>
      <w:spacing w:before="200" w:after="0"/>
      <w:outlineLvl w:val="7"/>
    </w:pPr>
    <w:rPr>
      <w:rFonts w:ascii="Cambria" w:eastAsia="Times New Roman" w:hAnsi="Cambria"/>
      <w:color w:val="404040"/>
      <w:sz w:val="20"/>
      <w:szCs w:val="20"/>
    </w:rPr>
  </w:style>
  <w:style w:type="paragraph" w:styleId="Nadpis9">
    <w:name w:val="heading 9"/>
    <w:basedOn w:val="Normln"/>
    <w:next w:val="Normln"/>
    <w:link w:val="Nadpis9Char"/>
    <w:uiPriority w:val="9"/>
    <w:semiHidden/>
    <w:unhideWhenUsed/>
    <w:qFormat/>
    <w:rsid w:val="00D07982"/>
    <w:pPr>
      <w:keepNext/>
      <w:keepLines/>
      <w:numPr>
        <w:ilvl w:val="8"/>
        <w:numId w:val="1"/>
      </w:numPr>
      <w:spacing w:before="200" w:after="0"/>
      <w:outlineLvl w:val="8"/>
    </w:pPr>
    <w:rPr>
      <w:rFonts w:ascii="Cambria" w:eastAsia="Times New Roman"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5515AB"/>
    <w:rPr>
      <w:rFonts w:eastAsia="Times New Roman"/>
      <w:b/>
      <w:bCs/>
      <w:color w:val="365F91"/>
      <w:sz w:val="28"/>
      <w:szCs w:val="28"/>
      <w:lang w:eastAsia="en-US"/>
    </w:rPr>
  </w:style>
  <w:style w:type="character" w:customStyle="1" w:styleId="Nadpis2Char">
    <w:name w:val="Nadpis 2 Char"/>
    <w:link w:val="Nadpis2"/>
    <w:uiPriority w:val="9"/>
    <w:rsid w:val="005515AB"/>
    <w:rPr>
      <w:rFonts w:eastAsia="Times New Roman"/>
      <w:b/>
      <w:bCs/>
      <w:color w:val="4F81BD"/>
      <w:sz w:val="26"/>
      <w:szCs w:val="26"/>
    </w:rPr>
  </w:style>
  <w:style w:type="character" w:customStyle="1" w:styleId="Nadpis3Char">
    <w:name w:val="Nadpis 3 Char"/>
    <w:link w:val="Nadpis3"/>
    <w:uiPriority w:val="9"/>
    <w:rsid w:val="005C25C6"/>
    <w:rPr>
      <w:rFonts w:eastAsia="Times New Roman"/>
      <w:b/>
      <w:bCs/>
      <w:color w:val="4F81BD"/>
      <w:sz w:val="24"/>
      <w:szCs w:val="22"/>
    </w:rPr>
  </w:style>
  <w:style w:type="character" w:customStyle="1" w:styleId="Nadpis4Char">
    <w:name w:val="Nadpis 4 Char"/>
    <w:link w:val="Nadpis4"/>
    <w:uiPriority w:val="9"/>
    <w:rsid w:val="00D92203"/>
    <w:rPr>
      <w:rFonts w:eastAsia="Times New Roman"/>
      <w:b/>
      <w:bCs/>
      <w:iCs/>
      <w:color w:val="4F81BD"/>
      <w:sz w:val="22"/>
      <w:szCs w:val="22"/>
    </w:rPr>
  </w:style>
  <w:style w:type="character" w:customStyle="1" w:styleId="Nadpis5Char">
    <w:name w:val="Nadpis 5 Char"/>
    <w:link w:val="Nadpis5"/>
    <w:uiPriority w:val="9"/>
    <w:rsid w:val="005A19EC"/>
    <w:rPr>
      <w:rFonts w:eastAsia="Times New Roman"/>
      <w:color w:val="2E74B5" w:themeColor="accent1" w:themeShade="BF"/>
      <w:sz w:val="22"/>
      <w:szCs w:val="22"/>
      <w:lang w:eastAsia="en-US"/>
    </w:rPr>
  </w:style>
  <w:style w:type="character" w:customStyle="1" w:styleId="Nadpis6Char">
    <w:name w:val="Nadpis 6 Char"/>
    <w:link w:val="Nadpis6"/>
    <w:uiPriority w:val="9"/>
    <w:semiHidden/>
    <w:rsid w:val="00D07982"/>
    <w:rPr>
      <w:rFonts w:ascii="Cambria" w:eastAsia="Times New Roman" w:hAnsi="Cambria"/>
      <w:i/>
      <w:iCs/>
      <w:color w:val="243F60"/>
      <w:sz w:val="22"/>
      <w:szCs w:val="22"/>
      <w:lang w:eastAsia="en-US"/>
    </w:rPr>
  </w:style>
  <w:style w:type="character" w:customStyle="1" w:styleId="Nadpis7Char">
    <w:name w:val="Nadpis 7 Char"/>
    <w:link w:val="Nadpis7"/>
    <w:uiPriority w:val="9"/>
    <w:semiHidden/>
    <w:rsid w:val="00D07982"/>
    <w:rPr>
      <w:rFonts w:ascii="Cambria" w:eastAsia="Times New Roman" w:hAnsi="Cambria"/>
      <w:i/>
      <w:iCs/>
      <w:color w:val="404040"/>
      <w:sz w:val="22"/>
      <w:szCs w:val="22"/>
      <w:lang w:eastAsia="en-US"/>
    </w:rPr>
  </w:style>
  <w:style w:type="character" w:customStyle="1" w:styleId="Nadpis8Char">
    <w:name w:val="Nadpis 8 Char"/>
    <w:link w:val="Nadpis8"/>
    <w:uiPriority w:val="9"/>
    <w:semiHidden/>
    <w:rsid w:val="00D07982"/>
    <w:rPr>
      <w:rFonts w:ascii="Cambria" w:eastAsia="Times New Roman" w:hAnsi="Cambria"/>
      <w:color w:val="404040"/>
      <w:lang w:eastAsia="en-US"/>
    </w:rPr>
  </w:style>
  <w:style w:type="character" w:customStyle="1" w:styleId="Nadpis9Char">
    <w:name w:val="Nadpis 9 Char"/>
    <w:link w:val="Nadpis9"/>
    <w:uiPriority w:val="9"/>
    <w:semiHidden/>
    <w:rsid w:val="00D07982"/>
    <w:rPr>
      <w:rFonts w:ascii="Cambria" w:eastAsia="Times New Roman" w:hAnsi="Cambria"/>
      <w:i/>
      <w:iCs/>
      <w:color w:val="404040"/>
      <w:lang w:eastAsia="en-US"/>
    </w:rPr>
  </w:style>
  <w:style w:type="paragraph" w:styleId="Odstavecseseznamem">
    <w:name w:val="List Paragraph"/>
    <w:aliases w:val="Nad,Conclusion de partie,Odstavec cíl se seznamem,Odstavec se seznamem5,_Odstavec se seznamem,Seznam - odrážky,Fiche List Paragraph,List Paragraph (Czech Tourism),Název grafu,nad 1,Odstavec se seznamem2,Odstavec_muj1"/>
    <w:basedOn w:val="Normln"/>
    <w:link w:val="OdstavecseseznamemChar"/>
    <w:uiPriority w:val="34"/>
    <w:qFormat/>
    <w:rsid w:val="00075028"/>
    <w:pPr>
      <w:ind w:left="113"/>
    </w:pPr>
  </w:style>
  <w:style w:type="character" w:customStyle="1" w:styleId="OdstavecseseznamemChar">
    <w:name w:val="Odstavec se seznamem Char"/>
    <w:aliases w:val="Nad Char,Conclusion de partie Char,Odstavec cíl se seznamem Char,Odstavec se seznamem5 Char,_Odstavec se seznamem Char,Seznam - odrážky Char,Fiche List Paragraph Char,List Paragraph (Czech Tourism) Char,Název grafu Char"/>
    <w:link w:val="Odstavecseseznamem"/>
    <w:uiPriority w:val="34"/>
    <w:rsid w:val="00075028"/>
    <w:rPr>
      <w:sz w:val="22"/>
      <w:szCs w:val="22"/>
      <w:lang w:eastAsia="en-US"/>
    </w:rPr>
  </w:style>
  <w:style w:type="paragraph" w:styleId="Textpoznpodarou">
    <w:name w:val="footnote text"/>
    <w:aliases w:val="Schriftart: 9 pt,Schriftart: 10 pt,Schriftart: 8 pt,Text poznámky pod čiarou 007,Footnote,Fußnotentextf,Geneva 9,Font: Geneva 9,Boston 10,f,pozn. pod čarou,Char,Text pozn. pod čarou1,Char Char Char1,Footnote Text Char1,o,Char Char1"/>
    <w:basedOn w:val="Normln"/>
    <w:link w:val="TextpoznpodarouChar"/>
    <w:uiPriority w:val="99"/>
    <w:qFormat/>
    <w:rsid w:val="009C0220"/>
    <w:pPr>
      <w:spacing w:before="0" w:after="0"/>
    </w:pPr>
    <w:rPr>
      <w:rFonts w:eastAsia="Times New Roman"/>
      <w:sz w:val="18"/>
      <w:szCs w:val="20"/>
      <w:lang w:eastAsia="cs-CZ"/>
    </w:rPr>
  </w:style>
  <w:style w:type="character" w:customStyle="1" w:styleId="TextpoznpodarouChar">
    <w:name w:val="Text pozn. pod čarou Char"/>
    <w:aliases w:val="Schriftart: 9 pt Char,Schriftart: 10 pt Char,Schriftart: 8 pt Char,Text poznámky pod čiarou 007 Char,Footnote Char,Fußnotentextf Char,Geneva 9 Char,Font: Geneva 9 Char,Boston 10 Char,f Char,pozn. pod čarou Char,Char Char,o Char"/>
    <w:link w:val="Textpoznpodarou"/>
    <w:uiPriority w:val="99"/>
    <w:qFormat/>
    <w:rsid w:val="009C0220"/>
    <w:rPr>
      <w:rFonts w:ascii="Calibri" w:eastAsia="Times New Roman" w:hAnsi="Calibri" w:cs="Times New Roman"/>
      <w:sz w:val="18"/>
      <w:szCs w:val="20"/>
      <w:lang w:eastAsia="cs-CZ"/>
    </w:rPr>
  </w:style>
  <w:style w:type="character" w:styleId="Znakapoznpodarou">
    <w:name w:val="footnote reference"/>
    <w:aliases w:val="BVI fnr,Footnote symbol,Footnote Reference Number,PGI Fußnote Ziffer,Footnote Reference Superscript,Appel note de bas de p,Appel note de bas de page,Légende,Char Car Car Car Car,Voetnootverwijzing,Légende;Char Car Car Car Car,fr"/>
    <w:link w:val="stylishCar"/>
    <w:uiPriority w:val="99"/>
    <w:qFormat/>
    <w:rsid w:val="00D07982"/>
    <w:rPr>
      <w:rFonts w:cs="Times New Roman"/>
      <w:vertAlign w:val="superscript"/>
    </w:rPr>
  </w:style>
  <w:style w:type="paragraph" w:styleId="Obsah1">
    <w:name w:val="toc 1"/>
    <w:basedOn w:val="Normln"/>
    <w:next w:val="Normln"/>
    <w:autoRedefine/>
    <w:uiPriority w:val="39"/>
    <w:unhideWhenUsed/>
    <w:rsid w:val="006059AE"/>
    <w:pPr>
      <w:tabs>
        <w:tab w:val="left" w:pos="442"/>
        <w:tab w:val="right" w:leader="dot" w:pos="9060"/>
      </w:tabs>
      <w:spacing w:before="60" w:after="40"/>
      <w:ind w:left="425" w:hanging="425"/>
    </w:pPr>
    <w:rPr>
      <w:b/>
    </w:rPr>
  </w:style>
  <w:style w:type="paragraph" w:styleId="Obsah2">
    <w:name w:val="toc 2"/>
    <w:basedOn w:val="Normln"/>
    <w:next w:val="Normln"/>
    <w:autoRedefine/>
    <w:uiPriority w:val="39"/>
    <w:unhideWhenUsed/>
    <w:rsid w:val="00CA07C7"/>
    <w:pPr>
      <w:spacing w:before="40" w:after="40"/>
      <w:ind w:left="221"/>
    </w:pPr>
  </w:style>
  <w:style w:type="character" w:styleId="Hypertextovodkaz">
    <w:name w:val="Hyperlink"/>
    <w:uiPriority w:val="99"/>
    <w:unhideWhenUsed/>
    <w:rsid w:val="00D07982"/>
    <w:rPr>
      <w:color w:val="0000FF"/>
      <w:u w:val="single"/>
    </w:rPr>
  </w:style>
  <w:style w:type="table" w:styleId="Mkatabulky">
    <w:name w:val="Table Grid"/>
    <w:basedOn w:val="Normlntabulka"/>
    <w:uiPriority w:val="39"/>
    <w:rsid w:val="00AD0C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ulek">
    <w:name w:val="caption"/>
    <w:basedOn w:val="Normln"/>
    <w:next w:val="Normln"/>
    <w:unhideWhenUsed/>
    <w:qFormat/>
    <w:rsid w:val="00610904"/>
    <w:pPr>
      <w:keepNext/>
      <w:spacing w:before="240" w:after="240"/>
      <w:ind w:left="851" w:hanging="851"/>
      <w:jc w:val="left"/>
    </w:pPr>
    <w:rPr>
      <w:bCs/>
      <w:color w:val="4F81BD"/>
      <w:szCs w:val="18"/>
    </w:rPr>
  </w:style>
  <w:style w:type="paragraph" w:styleId="Zhlav">
    <w:name w:val="header"/>
    <w:basedOn w:val="Normln"/>
    <w:link w:val="ZhlavChar"/>
    <w:uiPriority w:val="99"/>
    <w:unhideWhenUsed/>
    <w:rsid w:val="00B91093"/>
    <w:pPr>
      <w:tabs>
        <w:tab w:val="center" w:pos="4536"/>
        <w:tab w:val="right" w:pos="9072"/>
      </w:tabs>
      <w:spacing w:before="0" w:after="0"/>
    </w:pPr>
  </w:style>
  <w:style w:type="character" w:customStyle="1" w:styleId="ZhlavChar">
    <w:name w:val="Záhlaví Char"/>
    <w:basedOn w:val="Standardnpsmoodstavce"/>
    <w:link w:val="Zhlav"/>
    <w:uiPriority w:val="99"/>
    <w:rsid w:val="00B91093"/>
  </w:style>
  <w:style w:type="paragraph" w:styleId="Zpat">
    <w:name w:val="footer"/>
    <w:basedOn w:val="Normln"/>
    <w:link w:val="ZpatChar"/>
    <w:uiPriority w:val="99"/>
    <w:unhideWhenUsed/>
    <w:rsid w:val="00B91093"/>
    <w:pPr>
      <w:tabs>
        <w:tab w:val="center" w:pos="4536"/>
        <w:tab w:val="right" w:pos="9072"/>
      </w:tabs>
      <w:spacing w:before="0" w:after="0"/>
    </w:pPr>
  </w:style>
  <w:style w:type="character" w:customStyle="1" w:styleId="ZpatChar">
    <w:name w:val="Zápatí Char"/>
    <w:basedOn w:val="Standardnpsmoodstavce"/>
    <w:link w:val="Zpat"/>
    <w:uiPriority w:val="99"/>
    <w:rsid w:val="00B91093"/>
  </w:style>
  <w:style w:type="paragraph" w:styleId="Textbubliny">
    <w:name w:val="Balloon Text"/>
    <w:basedOn w:val="Normln"/>
    <w:link w:val="TextbublinyChar"/>
    <w:uiPriority w:val="99"/>
    <w:semiHidden/>
    <w:unhideWhenUsed/>
    <w:rsid w:val="00477AFF"/>
    <w:pPr>
      <w:spacing w:before="0" w:after="0"/>
    </w:pPr>
    <w:rPr>
      <w:rFonts w:ascii="Tahoma" w:hAnsi="Tahoma" w:cs="Tahoma"/>
      <w:sz w:val="16"/>
      <w:szCs w:val="16"/>
    </w:rPr>
  </w:style>
  <w:style w:type="character" w:customStyle="1" w:styleId="TextbublinyChar">
    <w:name w:val="Text bubliny Char"/>
    <w:link w:val="Textbubliny"/>
    <w:uiPriority w:val="99"/>
    <w:semiHidden/>
    <w:rsid w:val="00477AFF"/>
    <w:rPr>
      <w:rFonts w:ascii="Tahoma" w:hAnsi="Tahoma" w:cs="Tahoma"/>
      <w:sz w:val="16"/>
      <w:szCs w:val="16"/>
    </w:rPr>
  </w:style>
  <w:style w:type="paragraph" w:styleId="Obsah3">
    <w:name w:val="toc 3"/>
    <w:basedOn w:val="Normln"/>
    <w:next w:val="Normln"/>
    <w:autoRedefine/>
    <w:uiPriority w:val="39"/>
    <w:unhideWhenUsed/>
    <w:rsid w:val="00381ED2"/>
    <w:pPr>
      <w:spacing w:before="20" w:after="20"/>
      <w:ind w:left="442"/>
    </w:pPr>
    <w:rPr>
      <w:sz w:val="20"/>
    </w:rPr>
  </w:style>
  <w:style w:type="character" w:styleId="slostrnky">
    <w:name w:val="page number"/>
    <w:basedOn w:val="Standardnpsmoodstavce"/>
    <w:rsid w:val="00B6295A"/>
  </w:style>
  <w:style w:type="table" w:customStyle="1" w:styleId="Mkatabulky1">
    <w:name w:val="Mřížka tabulky1"/>
    <w:basedOn w:val="Normlntabulka"/>
    <w:next w:val="Mkatabulky"/>
    <w:uiPriority w:val="59"/>
    <w:rsid w:val="00925B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uiPriority w:val="99"/>
    <w:semiHidden/>
    <w:unhideWhenUsed/>
    <w:rsid w:val="00691F2B"/>
    <w:rPr>
      <w:color w:val="800080"/>
      <w:u w:val="single"/>
    </w:rPr>
  </w:style>
  <w:style w:type="table" w:customStyle="1" w:styleId="Mkatabulky2">
    <w:name w:val="Mřížka tabulky2"/>
    <w:basedOn w:val="Normlntabulka"/>
    <w:next w:val="Mkatabulky"/>
    <w:uiPriority w:val="59"/>
    <w:rsid w:val="00512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unhideWhenUsed/>
    <w:rsid w:val="00314319"/>
    <w:rPr>
      <w:sz w:val="16"/>
      <w:szCs w:val="16"/>
    </w:rPr>
  </w:style>
  <w:style w:type="paragraph" w:styleId="Textkomente">
    <w:name w:val="annotation text"/>
    <w:basedOn w:val="Normln"/>
    <w:link w:val="TextkomenteChar"/>
    <w:uiPriority w:val="99"/>
    <w:unhideWhenUsed/>
    <w:rsid w:val="00314319"/>
    <w:rPr>
      <w:sz w:val="20"/>
      <w:szCs w:val="20"/>
    </w:rPr>
  </w:style>
  <w:style w:type="character" w:customStyle="1" w:styleId="TextkomenteChar">
    <w:name w:val="Text komentáře Char"/>
    <w:link w:val="Textkomente"/>
    <w:uiPriority w:val="99"/>
    <w:rsid w:val="00314319"/>
    <w:rPr>
      <w:sz w:val="20"/>
      <w:szCs w:val="20"/>
    </w:rPr>
  </w:style>
  <w:style w:type="paragraph" w:styleId="Pedmtkomente">
    <w:name w:val="annotation subject"/>
    <w:basedOn w:val="Textkomente"/>
    <w:next w:val="Textkomente"/>
    <w:link w:val="PedmtkomenteChar"/>
    <w:uiPriority w:val="99"/>
    <w:semiHidden/>
    <w:unhideWhenUsed/>
    <w:rsid w:val="00314319"/>
    <w:rPr>
      <w:b/>
      <w:bCs/>
    </w:rPr>
  </w:style>
  <w:style w:type="character" w:customStyle="1" w:styleId="PedmtkomenteChar">
    <w:name w:val="Předmět komentáře Char"/>
    <w:link w:val="Pedmtkomente"/>
    <w:uiPriority w:val="99"/>
    <w:semiHidden/>
    <w:rsid w:val="00314319"/>
    <w:rPr>
      <w:b/>
      <w:bCs/>
      <w:sz w:val="20"/>
      <w:szCs w:val="20"/>
    </w:rPr>
  </w:style>
  <w:style w:type="character" w:styleId="Zstupntext">
    <w:name w:val="Placeholder Text"/>
    <w:uiPriority w:val="99"/>
    <w:semiHidden/>
    <w:rsid w:val="00A6156A"/>
    <w:rPr>
      <w:color w:val="808080"/>
    </w:rPr>
  </w:style>
  <w:style w:type="table" w:customStyle="1" w:styleId="Mkatabulky3">
    <w:name w:val="Mřížka tabulky3"/>
    <w:basedOn w:val="Normlntabulka"/>
    <w:next w:val="Mkatabulky"/>
    <w:uiPriority w:val="59"/>
    <w:rsid w:val="00C57B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itace1">
    <w:name w:val="Citace_1"/>
    <w:basedOn w:val="Odstavecseseznamem"/>
    <w:link w:val="Citace1Char"/>
    <w:qFormat/>
    <w:rsid w:val="008D5E6A"/>
    <w:pPr>
      <w:numPr>
        <w:numId w:val="2"/>
      </w:numPr>
      <w:jc w:val="left"/>
    </w:pPr>
    <w:rPr>
      <w:lang w:eastAsia="cs-CZ"/>
    </w:rPr>
  </w:style>
  <w:style w:type="character" w:customStyle="1" w:styleId="Citace1Char">
    <w:name w:val="Citace_1 Char"/>
    <w:link w:val="Citace1"/>
    <w:rsid w:val="008D5E6A"/>
    <w:rPr>
      <w:sz w:val="22"/>
      <w:szCs w:val="22"/>
    </w:rPr>
  </w:style>
  <w:style w:type="table" w:customStyle="1" w:styleId="Mkatabulky4">
    <w:name w:val="Mřížka tabulky4"/>
    <w:basedOn w:val="Normlntabulka"/>
    <w:next w:val="Mkatabulky"/>
    <w:uiPriority w:val="59"/>
    <w:rsid w:val="00F7373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59"/>
    <w:rsid w:val="00896D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tnovnzvraznn2">
    <w:name w:val="Light Shading Accent 2"/>
    <w:basedOn w:val="Normlntabulka"/>
    <w:uiPriority w:val="60"/>
    <w:rsid w:val="00186B4E"/>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vtlstnovnzvraznn1">
    <w:name w:val="Light Shading Accent 1"/>
    <w:basedOn w:val="Normlntabulka"/>
    <w:uiPriority w:val="60"/>
    <w:rsid w:val="00186B4E"/>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Obsah4">
    <w:name w:val="toc 4"/>
    <w:basedOn w:val="Normln"/>
    <w:next w:val="Normln"/>
    <w:autoRedefine/>
    <w:uiPriority w:val="39"/>
    <w:unhideWhenUsed/>
    <w:rsid w:val="00E23DE1"/>
    <w:pPr>
      <w:spacing w:before="20" w:after="20" w:line="276" w:lineRule="auto"/>
      <w:ind w:left="658"/>
      <w:jc w:val="left"/>
    </w:pPr>
    <w:rPr>
      <w:rFonts w:eastAsia="Times New Roman"/>
      <w:sz w:val="20"/>
      <w:lang w:eastAsia="cs-CZ"/>
    </w:rPr>
  </w:style>
  <w:style w:type="paragraph" w:styleId="Obsah5">
    <w:name w:val="toc 5"/>
    <w:basedOn w:val="Normln"/>
    <w:next w:val="Normln"/>
    <w:autoRedefine/>
    <w:uiPriority w:val="39"/>
    <w:unhideWhenUsed/>
    <w:rsid w:val="00F611F3"/>
    <w:pPr>
      <w:spacing w:before="0" w:after="100" w:line="276" w:lineRule="auto"/>
      <w:ind w:left="880"/>
      <w:jc w:val="left"/>
    </w:pPr>
    <w:rPr>
      <w:rFonts w:eastAsia="Times New Roman"/>
      <w:lang w:eastAsia="cs-CZ"/>
    </w:rPr>
  </w:style>
  <w:style w:type="paragraph" w:styleId="Obsah6">
    <w:name w:val="toc 6"/>
    <w:basedOn w:val="Normln"/>
    <w:next w:val="Normln"/>
    <w:autoRedefine/>
    <w:uiPriority w:val="39"/>
    <w:unhideWhenUsed/>
    <w:rsid w:val="00F611F3"/>
    <w:pPr>
      <w:spacing w:before="0" w:after="100" w:line="276" w:lineRule="auto"/>
      <w:ind w:left="1100"/>
      <w:jc w:val="left"/>
    </w:pPr>
    <w:rPr>
      <w:rFonts w:eastAsia="Times New Roman"/>
      <w:lang w:eastAsia="cs-CZ"/>
    </w:rPr>
  </w:style>
  <w:style w:type="paragraph" w:styleId="Obsah7">
    <w:name w:val="toc 7"/>
    <w:basedOn w:val="Normln"/>
    <w:next w:val="Normln"/>
    <w:autoRedefine/>
    <w:uiPriority w:val="39"/>
    <w:unhideWhenUsed/>
    <w:rsid w:val="00F611F3"/>
    <w:pPr>
      <w:spacing w:before="0" w:after="100" w:line="276" w:lineRule="auto"/>
      <w:ind w:left="1320"/>
      <w:jc w:val="left"/>
    </w:pPr>
    <w:rPr>
      <w:rFonts w:eastAsia="Times New Roman"/>
      <w:lang w:eastAsia="cs-CZ"/>
    </w:rPr>
  </w:style>
  <w:style w:type="paragraph" w:styleId="Obsah8">
    <w:name w:val="toc 8"/>
    <w:basedOn w:val="Normln"/>
    <w:next w:val="Normln"/>
    <w:autoRedefine/>
    <w:uiPriority w:val="39"/>
    <w:unhideWhenUsed/>
    <w:rsid w:val="00F611F3"/>
    <w:pPr>
      <w:spacing w:before="0" w:after="100" w:line="276" w:lineRule="auto"/>
      <w:ind w:left="1540"/>
      <w:jc w:val="left"/>
    </w:pPr>
    <w:rPr>
      <w:rFonts w:eastAsia="Times New Roman"/>
      <w:lang w:eastAsia="cs-CZ"/>
    </w:rPr>
  </w:style>
  <w:style w:type="paragraph" w:styleId="Obsah9">
    <w:name w:val="toc 9"/>
    <w:basedOn w:val="Normln"/>
    <w:next w:val="Normln"/>
    <w:autoRedefine/>
    <w:uiPriority w:val="39"/>
    <w:unhideWhenUsed/>
    <w:rsid w:val="00F611F3"/>
    <w:pPr>
      <w:spacing w:before="0" w:after="100" w:line="276" w:lineRule="auto"/>
      <w:ind w:left="1760"/>
      <w:jc w:val="left"/>
    </w:pPr>
    <w:rPr>
      <w:rFonts w:eastAsia="Times New Roman"/>
      <w:lang w:eastAsia="cs-CZ"/>
    </w:rPr>
  </w:style>
  <w:style w:type="table" w:customStyle="1" w:styleId="Mkatabulky6">
    <w:name w:val="Mřížka tabulky6"/>
    <w:basedOn w:val="Normlntabulka"/>
    <w:next w:val="Mkatabulky"/>
    <w:uiPriority w:val="59"/>
    <w:rsid w:val="00BF6C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27B5F"/>
    <w:pPr>
      <w:autoSpaceDE w:val="0"/>
      <w:autoSpaceDN w:val="0"/>
      <w:adjustRightInd w:val="0"/>
    </w:pPr>
    <w:rPr>
      <w:rFonts w:cs="Calibri"/>
      <w:color w:val="000000"/>
      <w:sz w:val="24"/>
      <w:szCs w:val="24"/>
      <w:lang w:eastAsia="en-US"/>
    </w:rPr>
  </w:style>
  <w:style w:type="paragraph" w:styleId="Revize">
    <w:name w:val="Revision"/>
    <w:hidden/>
    <w:uiPriority w:val="99"/>
    <w:semiHidden/>
    <w:rsid w:val="00920A0B"/>
    <w:rPr>
      <w:sz w:val="22"/>
      <w:szCs w:val="22"/>
      <w:lang w:eastAsia="en-US"/>
    </w:rPr>
  </w:style>
  <w:style w:type="character" w:customStyle="1" w:styleId="UnresolvedMention1">
    <w:name w:val="Unresolved Mention1"/>
    <w:uiPriority w:val="99"/>
    <w:semiHidden/>
    <w:unhideWhenUsed/>
    <w:rsid w:val="008A7070"/>
    <w:rPr>
      <w:color w:val="808080"/>
      <w:shd w:val="clear" w:color="auto" w:fill="E6E6E6"/>
    </w:rPr>
  </w:style>
  <w:style w:type="paragraph" w:styleId="Nadpisobsahu">
    <w:name w:val="TOC Heading"/>
    <w:basedOn w:val="Nadpis1"/>
    <w:next w:val="Normln"/>
    <w:uiPriority w:val="39"/>
    <w:unhideWhenUsed/>
    <w:qFormat/>
    <w:rsid w:val="006A2DB9"/>
    <w:pPr>
      <w:numPr>
        <w:numId w:val="0"/>
      </w:numPr>
      <w:spacing w:after="0" w:line="259" w:lineRule="auto"/>
      <w:jc w:val="left"/>
      <w:outlineLvl w:val="9"/>
    </w:pPr>
    <w:rPr>
      <w:rFonts w:ascii="Cambria" w:hAnsi="Cambria"/>
      <w:b w:val="0"/>
      <w:bCs w:val="0"/>
      <w:sz w:val="32"/>
      <w:szCs w:val="32"/>
      <w:lang w:eastAsia="cs-CZ"/>
    </w:rPr>
  </w:style>
  <w:style w:type="paragraph" w:styleId="Normlnweb">
    <w:name w:val="Normal (Web)"/>
    <w:basedOn w:val="Normln"/>
    <w:uiPriority w:val="99"/>
    <w:semiHidden/>
    <w:unhideWhenUsed/>
    <w:rsid w:val="00434444"/>
    <w:pPr>
      <w:spacing w:before="100" w:beforeAutospacing="1" w:after="100" w:afterAutospacing="1"/>
      <w:jc w:val="left"/>
    </w:pPr>
    <w:rPr>
      <w:rFonts w:ascii="Times New Roman" w:eastAsia="Times New Roman" w:hAnsi="Times New Roman"/>
      <w:sz w:val="24"/>
      <w:szCs w:val="24"/>
    </w:rPr>
  </w:style>
  <w:style w:type="character" w:styleId="Siln">
    <w:name w:val="Strong"/>
    <w:uiPriority w:val="22"/>
    <w:qFormat/>
    <w:rsid w:val="00434444"/>
    <w:rPr>
      <w:b/>
      <w:bCs/>
    </w:rPr>
  </w:style>
  <w:style w:type="character" w:customStyle="1" w:styleId="apple-converted-space">
    <w:name w:val="apple-converted-space"/>
    <w:rsid w:val="00434444"/>
  </w:style>
  <w:style w:type="character" w:customStyle="1" w:styleId="Nevyeenzmnka1">
    <w:name w:val="Nevyřešená zmínka1"/>
    <w:basedOn w:val="Standardnpsmoodstavce"/>
    <w:uiPriority w:val="99"/>
    <w:semiHidden/>
    <w:unhideWhenUsed/>
    <w:rsid w:val="00512FBE"/>
    <w:rPr>
      <w:color w:val="605E5C"/>
      <w:shd w:val="clear" w:color="auto" w:fill="E1DFDD"/>
    </w:rPr>
  </w:style>
  <w:style w:type="table" w:customStyle="1" w:styleId="Mkatabulky7">
    <w:name w:val="Mřížka tabulky7"/>
    <w:basedOn w:val="Normlntabulka"/>
    <w:next w:val="Mkatabulky"/>
    <w:uiPriority w:val="39"/>
    <w:rsid w:val="003D2C6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ishCar">
    <w:name w:val="stylish Car"/>
    <w:aliases w:val="Footnote Refernece Car,BVI fnr Car,Fußnotenzeichen_Raxen Car,callout Car,Footnote Reference Number Car,Footnote Reference Superscript Car,Footnote symbol Car,Footnote reference number Car,Footnotemark Car,FR Car,FR1 C"/>
    <w:basedOn w:val="Normln"/>
    <w:link w:val="Znakapoznpodarou"/>
    <w:uiPriority w:val="99"/>
    <w:rsid w:val="000C52AB"/>
    <w:pPr>
      <w:spacing w:before="0" w:after="160" w:line="240" w:lineRule="exact"/>
    </w:pPr>
    <w:rPr>
      <w:sz w:val="20"/>
      <w:szCs w:val="20"/>
      <w:vertAlign w:val="superscript"/>
      <w:lang w:eastAsia="cs-CZ"/>
    </w:rPr>
  </w:style>
  <w:style w:type="table" w:styleId="Tabulkasmkou4zvraznn3">
    <w:name w:val="Grid Table 4 Accent 3"/>
    <w:basedOn w:val="Normlntabulka"/>
    <w:uiPriority w:val="49"/>
    <w:rsid w:val="00191AD5"/>
    <w:rPr>
      <w:rFonts w:asciiTheme="minorHAnsi" w:eastAsiaTheme="minorHAnsi" w:hAnsiTheme="minorHAnsi" w:cstheme="minorBidi"/>
      <w:sz w:val="22"/>
      <w:szCs w:val="22"/>
      <w:lang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msonormal0">
    <w:name w:val="msonormal"/>
    <w:basedOn w:val="Normln"/>
    <w:rsid w:val="00573941"/>
    <w:pPr>
      <w:spacing w:before="100" w:beforeAutospacing="1" w:after="100" w:afterAutospacing="1"/>
      <w:jc w:val="left"/>
    </w:pPr>
    <w:rPr>
      <w:rFonts w:ascii="Times New Roman" w:eastAsia="Times New Roman" w:hAnsi="Times New Roman"/>
      <w:sz w:val="24"/>
      <w:szCs w:val="24"/>
      <w:lang w:val="en-US"/>
    </w:rPr>
  </w:style>
  <w:style w:type="paragraph" w:customStyle="1" w:styleId="xl65">
    <w:name w:val="xl65"/>
    <w:basedOn w:val="Normln"/>
    <w:rsid w:val="00573941"/>
    <w:pPr>
      <w:spacing w:before="100" w:beforeAutospacing="1" w:after="100" w:afterAutospacing="1"/>
      <w:jc w:val="center"/>
      <w:textAlignment w:val="center"/>
    </w:pPr>
    <w:rPr>
      <w:rFonts w:ascii="Times New Roman" w:eastAsia="Times New Roman" w:hAnsi="Times New Roman"/>
      <w:sz w:val="16"/>
      <w:szCs w:val="16"/>
      <w:lang w:val="en-US"/>
    </w:rPr>
  </w:style>
  <w:style w:type="paragraph" w:customStyle="1" w:styleId="xl66">
    <w:name w:val="xl66"/>
    <w:basedOn w:val="Normln"/>
    <w:rsid w:val="00573941"/>
    <w:pPr>
      <w:spacing w:before="100" w:beforeAutospacing="1" w:after="100" w:afterAutospacing="1"/>
      <w:jc w:val="left"/>
      <w:textAlignment w:val="center"/>
    </w:pPr>
    <w:rPr>
      <w:rFonts w:ascii="Times New Roman" w:eastAsia="Times New Roman" w:hAnsi="Times New Roman"/>
      <w:sz w:val="16"/>
      <w:szCs w:val="16"/>
      <w:lang w:val="en-US"/>
    </w:rPr>
  </w:style>
  <w:style w:type="character" w:customStyle="1" w:styleId="Nevyeenzmnka2">
    <w:name w:val="Nevyřešená zmínka2"/>
    <w:basedOn w:val="Standardnpsmoodstavce"/>
    <w:uiPriority w:val="99"/>
    <w:semiHidden/>
    <w:unhideWhenUsed/>
    <w:rsid w:val="000D3E4F"/>
    <w:rPr>
      <w:color w:val="605E5C"/>
      <w:shd w:val="clear" w:color="auto" w:fill="E1DFDD"/>
    </w:rPr>
  </w:style>
  <w:style w:type="paragraph" w:customStyle="1" w:styleId="paragraph">
    <w:name w:val="paragraph"/>
    <w:basedOn w:val="Normln"/>
    <w:rsid w:val="00BA25C2"/>
    <w:pPr>
      <w:spacing w:before="100" w:beforeAutospacing="1" w:after="100" w:afterAutospacing="1"/>
      <w:jc w:val="left"/>
    </w:pPr>
    <w:rPr>
      <w:rFonts w:ascii="Times New Roman" w:eastAsia="Times New Roman" w:hAnsi="Times New Roman"/>
      <w:sz w:val="24"/>
      <w:szCs w:val="24"/>
      <w:lang w:eastAsia="cs-CZ"/>
    </w:rPr>
  </w:style>
  <w:style w:type="character" w:customStyle="1" w:styleId="normaltextrun">
    <w:name w:val="normaltextrun"/>
    <w:basedOn w:val="Standardnpsmoodstavce"/>
    <w:rsid w:val="00BA25C2"/>
  </w:style>
  <w:style w:type="paragraph" w:styleId="Nzev">
    <w:name w:val="Title"/>
    <w:basedOn w:val="Normln"/>
    <w:next w:val="Normln"/>
    <w:link w:val="NzevChar"/>
    <w:uiPriority w:val="10"/>
    <w:qFormat/>
    <w:rsid w:val="00BA25C2"/>
    <w:pPr>
      <w:keepNext/>
      <w:keepLines/>
      <w:spacing w:before="0" w:after="60" w:line="276" w:lineRule="auto"/>
      <w:jc w:val="left"/>
    </w:pPr>
    <w:rPr>
      <w:rFonts w:ascii="Arial" w:eastAsia="Arial" w:hAnsi="Arial" w:cs="Arial"/>
      <w:sz w:val="52"/>
      <w:szCs w:val="52"/>
      <w:lang w:eastAsia="cs-CZ"/>
    </w:rPr>
  </w:style>
  <w:style w:type="character" w:customStyle="1" w:styleId="NzevChar">
    <w:name w:val="Název Char"/>
    <w:basedOn w:val="Standardnpsmoodstavce"/>
    <w:link w:val="Nzev"/>
    <w:uiPriority w:val="10"/>
    <w:rsid w:val="00BA25C2"/>
    <w:rPr>
      <w:rFonts w:ascii="Arial" w:eastAsia="Arial" w:hAnsi="Arial" w:cs="Arial"/>
      <w:sz w:val="52"/>
      <w:szCs w:val="52"/>
    </w:rPr>
  </w:style>
  <w:style w:type="table" w:styleId="Svtltabulkasmkou1zvraznn1">
    <w:name w:val="Grid Table 1 Light Accent 1"/>
    <w:basedOn w:val="Normlntabulka"/>
    <w:uiPriority w:val="46"/>
    <w:rsid w:val="008444FF"/>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Prosttabulka5">
    <w:name w:val="Plain Table 5"/>
    <w:basedOn w:val="Normlntabulka"/>
    <w:uiPriority w:val="45"/>
    <w:rsid w:val="00170CAD"/>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Svtltabulkasmkou1zvraznn5">
    <w:name w:val="Grid Table 1 Light Accent 5"/>
    <w:basedOn w:val="Normlntabulka"/>
    <w:uiPriority w:val="46"/>
    <w:rsid w:val="00170CAD"/>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character" w:customStyle="1" w:styleId="Nevyeenzmnka3">
    <w:name w:val="Nevyřešená zmínka3"/>
    <w:basedOn w:val="Standardnpsmoodstavce"/>
    <w:uiPriority w:val="99"/>
    <w:semiHidden/>
    <w:unhideWhenUsed/>
    <w:rsid w:val="00D379DF"/>
    <w:rPr>
      <w:color w:val="605E5C"/>
      <w:shd w:val="clear" w:color="auto" w:fill="E1DFDD"/>
    </w:rPr>
  </w:style>
  <w:style w:type="character" w:styleId="Zdraznn">
    <w:name w:val="Emphasis"/>
    <w:basedOn w:val="Standardnpsmoodstavce"/>
    <w:uiPriority w:val="20"/>
    <w:qFormat/>
    <w:rsid w:val="006B49C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94837">
      <w:bodyDiv w:val="1"/>
      <w:marLeft w:val="0"/>
      <w:marRight w:val="0"/>
      <w:marTop w:val="0"/>
      <w:marBottom w:val="0"/>
      <w:divBdr>
        <w:top w:val="none" w:sz="0" w:space="0" w:color="auto"/>
        <w:left w:val="none" w:sz="0" w:space="0" w:color="auto"/>
        <w:bottom w:val="none" w:sz="0" w:space="0" w:color="auto"/>
        <w:right w:val="none" w:sz="0" w:space="0" w:color="auto"/>
      </w:divBdr>
    </w:div>
    <w:div w:id="25370769">
      <w:bodyDiv w:val="1"/>
      <w:marLeft w:val="0"/>
      <w:marRight w:val="0"/>
      <w:marTop w:val="0"/>
      <w:marBottom w:val="0"/>
      <w:divBdr>
        <w:top w:val="none" w:sz="0" w:space="0" w:color="auto"/>
        <w:left w:val="none" w:sz="0" w:space="0" w:color="auto"/>
        <w:bottom w:val="none" w:sz="0" w:space="0" w:color="auto"/>
        <w:right w:val="none" w:sz="0" w:space="0" w:color="auto"/>
      </w:divBdr>
    </w:div>
    <w:div w:id="64299553">
      <w:bodyDiv w:val="1"/>
      <w:marLeft w:val="0"/>
      <w:marRight w:val="0"/>
      <w:marTop w:val="0"/>
      <w:marBottom w:val="0"/>
      <w:divBdr>
        <w:top w:val="none" w:sz="0" w:space="0" w:color="auto"/>
        <w:left w:val="none" w:sz="0" w:space="0" w:color="auto"/>
        <w:bottom w:val="none" w:sz="0" w:space="0" w:color="auto"/>
        <w:right w:val="none" w:sz="0" w:space="0" w:color="auto"/>
      </w:divBdr>
    </w:div>
    <w:div w:id="71124927">
      <w:bodyDiv w:val="1"/>
      <w:marLeft w:val="0"/>
      <w:marRight w:val="0"/>
      <w:marTop w:val="0"/>
      <w:marBottom w:val="0"/>
      <w:divBdr>
        <w:top w:val="none" w:sz="0" w:space="0" w:color="auto"/>
        <w:left w:val="none" w:sz="0" w:space="0" w:color="auto"/>
        <w:bottom w:val="none" w:sz="0" w:space="0" w:color="auto"/>
        <w:right w:val="none" w:sz="0" w:space="0" w:color="auto"/>
      </w:divBdr>
    </w:div>
    <w:div w:id="95490536">
      <w:bodyDiv w:val="1"/>
      <w:marLeft w:val="0"/>
      <w:marRight w:val="0"/>
      <w:marTop w:val="0"/>
      <w:marBottom w:val="0"/>
      <w:divBdr>
        <w:top w:val="none" w:sz="0" w:space="0" w:color="auto"/>
        <w:left w:val="none" w:sz="0" w:space="0" w:color="auto"/>
        <w:bottom w:val="none" w:sz="0" w:space="0" w:color="auto"/>
        <w:right w:val="none" w:sz="0" w:space="0" w:color="auto"/>
      </w:divBdr>
    </w:div>
    <w:div w:id="133958685">
      <w:bodyDiv w:val="1"/>
      <w:marLeft w:val="0"/>
      <w:marRight w:val="0"/>
      <w:marTop w:val="0"/>
      <w:marBottom w:val="0"/>
      <w:divBdr>
        <w:top w:val="none" w:sz="0" w:space="0" w:color="auto"/>
        <w:left w:val="none" w:sz="0" w:space="0" w:color="auto"/>
        <w:bottom w:val="none" w:sz="0" w:space="0" w:color="auto"/>
        <w:right w:val="none" w:sz="0" w:space="0" w:color="auto"/>
      </w:divBdr>
    </w:div>
    <w:div w:id="161088088">
      <w:bodyDiv w:val="1"/>
      <w:marLeft w:val="0"/>
      <w:marRight w:val="0"/>
      <w:marTop w:val="0"/>
      <w:marBottom w:val="0"/>
      <w:divBdr>
        <w:top w:val="none" w:sz="0" w:space="0" w:color="auto"/>
        <w:left w:val="none" w:sz="0" w:space="0" w:color="auto"/>
        <w:bottom w:val="none" w:sz="0" w:space="0" w:color="auto"/>
        <w:right w:val="none" w:sz="0" w:space="0" w:color="auto"/>
      </w:divBdr>
    </w:div>
    <w:div w:id="187179665">
      <w:bodyDiv w:val="1"/>
      <w:marLeft w:val="0"/>
      <w:marRight w:val="0"/>
      <w:marTop w:val="0"/>
      <w:marBottom w:val="0"/>
      <w:divBdr>
        <w:top w:val="none" w:sz="0" w:space="0" w:color="auto"/>
        <w:left w:val="none" w:sz="0" w:space="0" w:color="auto"/>
        <w:bottom w:val="none" w:sz="0" w:space="0" w:color="auto"/>
        <w:right w:val="none" w:sz="0" w:space="0" w:color="auto"/>
      </w:divBdr>
    </w:div>
    <w:div w:id="189531605">
      <w:bodyDiv w:val="1"/>
      <w:marLeft w:val="0"/>
      <w:marRight w:val="0"/>
      <w:marTop w:val="0"/>
      <w:marBottom w:val="0"/>
      <w:divBdr>
        <w:top w:val="none" w:sz="0" w:space="0" w:color="auto"/>
        <w:left w:val="none" w:sz="0" w:space="0" w:color="auto"/>
        <w:bottom w:val="none" w:sz="0" w:space="0" w:color="auto"/>
        <w:right w:val="none" w:sz="0" w:space="0" w:color="auto"/>
      </w:divBdr>
    </w:div>
    <w:div w:id="231815021">
      <w:bodyDiv w:val="1"/>
      <w:marLeft w:val="0"/>
      <w:marRight w:val="0"/>
      <w:marTop w:val="0"/>
      <w:marBottom w:val="0"/>
      <w:divBdr>
        <w:top w:val="none" w:sz="0" w:space="0" w:color="auto"/>
        <w:left w:val="none" w:sz="0" w:space="0" w:color="auto"/>
        <w:bottom w:val="none" w:sz="0" w:space="0" w:color="auto"/>
        <w:right w:val="none" w:sz="0" w:space="0" w:color="auto"/>
      </w:divBdr>
    </w:div>
    <w:div w:id="268196142">
      <w:bodyDiv w:val="1"/>
      <w:marLeft w:val="0"/>
      <w:marRight w:val="0"/>
      <w:marTop w:val="0"/>
      <w:marBottom w:val="0"/>
      <w:divBdr>
        <w:top w:val="none" w:sz="0" w:space="0" w:color="auto"/>
        <w:left w:val="none" w:sz="0" w:space="0" w:color="auto"/>
        <w:bottom w:val="none" w:sz="0" w:space="0" w:color="auto"/>
        <w:right w:val="none" w:sz="0" w:space="0" w:color="auto"/>
      </w:divBdr>
    </w:div>
    <w:div w:id="273023974">
      <w:bodyDiv w:val="1"/>
      <w:marLeft w:val="0"/>
      <w:marRight w:val="0"/>
      <w:marTop w:val="0"/>
      <w:marBottom w:val="0"/>
      <w:divBdr>
        <w:top w:val="none" w:sz="0" w:space="0" w:color="auto"/>
        <w:left w:val="none" w:sz="0" w:space="0" w:color="auto"/>
        <w:bottom w:val="none" w:sz="0" w:space="0" w:color="auto"/>
        <w:right w:val="none" w:sz="0" w:space="0" w:color="auto"/>
      </w:divBdr>
    </w:div>
    <w:div w:id="325859840">
      <w:bodyDiv w:val="1"/>
      <w:marLeft w:val="0"/>
      <w:marRight w:val="0"/>
      <w:marTop w:val="0"/>
      <w:marBottom w:val="0"/>
      <w:divBdr>
        <w:top w:val="none" w:sz="0" w:space="0" w:color="auto"/>
        <w:left w:val="none" w:sz="0" w:space="0" w:color="auto"/>
        <w:bottom w:val="none" w:sz="0" w:space="0" w:color="auto"/>
        <w:right w:val="none" w:sz="0" w:space="0" w:color="auto"/>
      </w:divBdr>
    </w:div>
    <w:div w:id="329337453">
      <w:bodyDiv w:val="1"/>
      <w:marLeft w:val="0"/>
      <w:marRight w:val="0"/>
      <w:marTop w:val="0"/>
      <w:marBottom w:val="0"/>
      <w:divBdr>
        <w:top w:val="none" w:sz="0" w:space="0" w:color="auto"/>
        <w:left w:val="none" w:sz="0" w:space="0" w:color="auto"/>
        <w:bottom w:val="none" w:sz="0" w:space="0" w:color="auto"/>
        <w:right w:val="none" w:sz="0" w:space="0" w:color="auto"/>
      </w:divBdr>
    </w:div>
    <w:div w:id="335882963">
      <w:bodyDiv w:val="1"/>
      <w:marLeft w:val="0"/>
      <w:marRight w:val="0"/>
      <w:marTop w:val="0"/>
      <w:marBottom w:val="0"/>
      <w:divBdr>
        <w:top w:val="none" w:sz="0" w:space="0" w:color="auto"/>
        <w:left w:val="none" w:sz="0" w:space="0" w:color="auto"/>
        <w:bottom w:val="none" w:sz="0" w:space="0" w:color="auto"/>
        <w:right w:val="none" w:sz="0" w:space="0" w:color="auto"/>
      </w:divBdr>
    </w:div>
    <w:div w:id="346714747">
      <w:bodyDiv w:val="1"/>
      <w:marLeft w:val="0"/>
      <w:marRight w:val="0"/>
      <w:marTop w:val="0"/>
      <w:marBottom w:val="0"/>
      <w:divBdr>
        <w:top w:val="none" w:sz="0" w:space="0" w:color="auto"/>
        <w:left w:val="none" w:sz="0" w:space="0" w:color="auto"/>
        <w:bottom w:val="none" w:sz="0" w:space="0" w:color="auto"/>
        <w:right w:val="none" w:sz="0" w:space="0" w:color="auto"/>
      </w:divBdr>
    </w:div>
    <w:div w:id="389041544">
      <w:bodyDiv w:val="1"/>
      <w:marLeft w:val="0"/>
      <w:marRight w:val="0"/>
      <w:marTop w:val="0"/>
      <w:marBottom w:val="0"/>
      <w:divBdr>
        <w:top w:val="none" w:sz="0" w:space="0" w:color="auto"/>
        <w:left w:val="none" w:sz="0" w:space="0" w:color="auto"/>
        <w:bottom w:val="none" w:sz="0" w:space="0" w:color="auto"/>
        <w:right w:val="none" w:sz="0" w:space="0" w:color="auto"/>
      </w:divBdr>
    </w:div>
    <w:div w:id="401684664">
      <w:bodyDiv w:val="1"/>
      <w:marLeft w:val="0"/>
      <w:marRight w:val="0"/>
      <w:marTop w:val="0"/>
      <w:marBottom w:val="0"/>
      <w:divBdr>
        <w:top w:val="none" w:sz="0" w:space="0" w:color="auto"/>
        <w:left w:val="none" w:sz="0" w:space="0" w:color="auto"/>
        <w:bottom w:val="none" w:sz="0" w:space="0" w:color="auto"/>
        <w:right w:val="none" w:sz="0" w:space="0" w:color="auto"/>
      </w:divBdr>
    </w:div>
    <w:div w:id="417211837">
      <w:bodyDiv w:val="1"/>
      <w:marLeft w:val="0"/>
      <w:marRight w:val="0"/>
      <w:marTop w:val="0"/>
      <w:marBottom w:val="0"/>
      <w:divBdr>
        <w:top w:val="none" w:sz="0" w:space="0" w:color="auto"/>
        <w:left w:val="none" w:sz="0" w:space="0" w:color="auto"/>
        <w:bottom w:val="none" w:sz="0" w:space="0" w:color="auto"/>
        <w:right w:val="none" w:sz="0" w:space="0" w:color="auto"/>
      </w:divBdr>
    </w:div>
    <w:div w:id="428047320">
      <w:bodyDiv w:val="1"/>
      <w:marLeft w:val="0"/>
      <w:marRight w:val="0"/>
      <w:marTop w:val="0"/>
      <w:marBottom w:val="0"/>
      <w:divBdr>
        <w:top w:val="none" w:sz="0" w:space="0" w:color="auto"/>
        <w:left w:val="none" w:sz="0" w:space="0" w:color="auto"/>
        <w:bottom w:val="none" w:sz="0" w:space="0" w:color="auto"/>
        <w:right w:val="none" w:sz="0" w:space="0" w:color="auto"/>
      </w:divBdr>
    </w:div>
    <w:div w:id="429087751">
      <w:bodyDiv w:val="1"/>
      <w:marLeft w:val="0"/>
      <w:marRight w:val="0"/>
      <w:marTop w:val="0"/>
      <w:marBottom w:val="0"/>
      <w:divBdr>
        <w:top w:val="none" w:sz="0" w:space="0" w:color="auto"/>
        <w:left w:val="none" w:sz="0" w:space="0" w:color="auto"/>
        <w:bottom w:val="none" w:sz="0" w:space="0" w:color="auto"/>
        <w:right w:val="none" w:sz="0" w:space="0" w:color="auto"/>
      </w:divBdr>
    </w:div>
    <w:div w:id="432438153">
      <w:bodyDiv w:val="1"/>
      <w:marLeft w:val="0"/>
      <w:marRight w:val="0"/>
      <w:marTop w:val="0"/>
      <w:marBottom w:val="0"/>
      <w:divBdr>
        <w:top w:val="none" w:sz="0" w:space="0" w:color="auto"/>
        <w:left w:val="none" w:sz="0" w:space="0" w:color="auto"/>
        <w:bottom w:val="none" w:sz="0" w:space="0" w:color="auto"/>
        <w:right w:val="none" w:sz="0" w:space="0" w:color="auto"/>
      </w:divBdr>
    </w:div>
    <w:div w:id="449592031">
      <w:bodyDiv w:val="1"/>
      <w:marLeft w:val="0"/>
      <w:marRight w:val="0"/>
      <w:marTop w:val="0"/>
      <w:marBottom w:val="0"/>
      <w:divBdr>
        <w:top w:val="none" w:sz="0" w:space="0" w:color="auto"/>
        <w:left w:val="none" w:sz="0" w:space="0" w:color="auto"/>
        <w:bottom w:val="none" w:sz="0" w:space="0" w:color="auto"/>
        <w:right w:val="none" w:sz="0" w:space="0" w:color="auto"/>
      </w:divBdr>
    </w:div>
    <w:div w:id="453451763">
      <w:bodyDiv w:val="1"/>
      <w:marLeft w:val="0"/>
      <w:marRight w:val="0"/>
      <w:marTop w:val="0"/>
      <w:marBottom w:val="0"/>
      <w:divBdr>
        <w:top w:val="none" w:sz="0" w:space="0" w:color="auto"/>
        <w:left w:val="none" w:sz="0" w:space="0" w:color="auto"/>
        <w:bottom w:val="none" w:sz="0" w:space="0" w:color="auto"/>
        <w:right w:val="none" w:sz="0" w:space="0" w:color="auto"/>
      </w:divBdr>
    </w:div>
    <w:div w:id="475757930">
      <w:bodyDiv w:val="1"/>
      <w:marLeft w:val="0"/>
      <w:marRight w:val="0"/>
      <w:marTop w:val="0"/>
      <w:marBottom w:val="0"/>
      <w:divBdr>
        <w:top w:val="none" w:sz="0" w:space="0" w:color="auto"/>
        <w:left w:val="none" w:sz="0" w:space="0" w:color="auto"/>
        <w:bottom w:val="none" w:sz="0" w:space="0" w:color="auto"/>
        <w:right w:val="none" w:sz="0" w:space="0" w:color="auto"/>
      </w:divBdr>
    </w:div>
    <w:div w:id="511994588">
      <w:bodyDiv w:val="1"/>
      <w:marLeft w:val="0"/>
      <w:marRight w:val="0"/>
      <w:marTop w:val="0"/>
      <w:marBottom w:val="0"/>
      <w:divBdr>
        <w:top w:val="none" w:sz="0" w:space="0" w:color="auto"/>
        <w:left w:val="none" w:sz="0" w:space="0" w:color="auto"/>
        <w:bottom w:val="none" w:sz="0" w:space="0" w:color="auto"/>
        <w:right w:val="none" w:sz="0" w:space="0" w:color="auto"/>
      </w:divBdr>
    </w:div>
    <w:div w:id="584343896">
      <w:bodyDiv w:val="1"/>
      <w:marLeft w:val="0"/>
      <w:marRight w:val="0"/>
      <w:marTop w:val="0"/>
      <w:marBottom w:val="0"/>
      <w:divBdr>
        <w:top w:val="none" w:sz="0" w:space="0" w:color="auto"/>
        <w:left w:val="none" w:sz="0" w:space="0" w:color="auto"/>
        <w:bottom w:val="none" w:sz="0" w:space="0" w:color="auto"/>
        <w:right w:val="none" w:sz="0" w:space="0" w:color="auto"/>
      </w:divBdr>
    </w:div>
    <w:div w:id="595360199">
      <w:bodyDiv w:val="1"/>
      <w:marLeft w:val="0"/>
      <w:marRight w:val="0"/>
      <w:marTop w:val="0"/>
      <w:marBottom w:val="0"/>
      <w:divBdr>
        <w:top w:val="none" w:sz="0" w:space="0" w:color="auto"/>
        <w:left w:val="none" w:sz="0" w:space="0" w:color="auto"/>
        <w:bottom w:val="none" w:sz="0" w:space="0" w:color="auto"/>
        <w:right w:val="none" w:sz="0" w:space="0" w:color="auto"/>
      </w:divBdr>
    </w:div>
    <w:div w:id="614679900">
      <w:bodyDiv w:val="1"/>
      <w:marLeft w:val="0"/>
      <w:marRight w:val="0"/>
      <w:marTop w:val="0"/>
      <w:marBottom w:val="0"/>
      <w:divBdr>
        <w:top w:val="none" w:sz="0" w:space="0" w:color="auto"/>
        <w:left w:val="none" w:sz="0" w:space="0" w:color="auto"/>
        <w:bottom w:val="none" w:sz="0" w:space="0" w:color="auto"/>
        <w:right w:val="none" w:sz="0" w:space="0" w:color="auto"/>
      </w:divBdr>
    </w:div>
    <w:div w:id="636031900">
      <w:bodyDiv w:val="1"/>
      <w:marLeft w:val="0"/>
      <w:marRight w:val="0"/>
      <w:marTop w:val="0"/>
      <w:marBottom w:val="0"/>
      <w:divBdr>
        <w:top w:val="none" w:sz="0" w:space="0" w:color="auto"/>
        <w:left w:val="none" w:sz="0" w:space="0" w:color="auto"/>
        <w:bottom w:val="none" w:sz="0" w:space="0" w:color="auto"/>
        <w:right w:val="none" w:sz="0" w:space="0" w:color="auto"/>
      </w:divBdr>
    </w:div>
    <w:div w:id="654844320">
      <w:bodyDiv w:val="1"/>
      <w:marLeft w:val="0"/>
      <w:marRight w:val="0"/>
      <w:marTop w:val="0"/>
      <w:marBottom w:val="0"/>
      <w:divBdr>
        <w:top w:val="none" w:sz="0" w:space="0" w:color="auto"/>
        <w:left w:val="none" w:sz="0" w:space="0" w:color="auto"/>
        <w:bottom w:val="none" w:sz="0" w:space="0" w:color="auto"/>
        <w:right w:val="none" w:sz="0" w:space="0" w:color="auto"/>
      </w:divBdr>
    </w:div>
    <w:div w:id="668362409">
      <w:bodyDiv w:val="1"/>
      <w:marLeft w:val="0"/>
      <w:marRight w:val="0"/>
      <w:marTop w:val="0"/>
      <w:marBottom w:val="0"/>
      <w:divBdr>
        <w:top w:val="none" w:sz="0" w:space="0" w:color="auto"/>
        <w:left w:val="none" w:sz="0" w:space="0" w:color="auto"/>
        <w:bottom w:val="none" w:sz="0" w:space="0" w:color="auto"/>
        <w:right w:val="none" w:sz="0" w:space="0" w:color="auto"/>
      </w:divBdr>
    </w:div>
    <w:div w:id="672878613">
      <w:bodyDiv w:val="1"/>
      <w:marLeft w:val="0"/>
      <w:marRight w:val="0"/>
      <w:marTop w:val="0"/>
      <w:marBottom w:val="0"/>
      <w:divBdr>
        <w:top w:val="none" w:sz="0" w:space="0" w:color="auto"/>
        <w:left w:val="none" w:sz="0" w:space="0" w:color="auto"/>
        <w:bottom w:val="none" w:sz="0" w:space="0" w:color="auto"/>
        <w:right w:val="none" w:sz="0" w:space="0" w:color="auto"/>
      </w:divBdr>
    </w:div>
    <w:div w:id="682241387">
      <w:bodyDiv w:val="1"/>
      <w:marLeft w:val="0"/>
      <w:marRight w:val="0"/>
      <w:marTop w:val="0"/>
      <w:marBottom w:val="0"/>
      <w:divBdr>
        <w:top w:val="none" w:sz="0" w:space="0" w:color="auto"/>
        <w:left w:val="none" w:sz="0" w:space="0" w:color="auto"/>
        <w:bottom w:val="none" w:sz="0" w:space="0" w:color="auto"/>
        <w:right w:val="none" w:sz="0" w:space="0" w:color="auto"/>
      </w:divBdr>
      <w:divsChild>
        <w:div w:id="219051449">
          <w:marLeft w:val="0"/>
          <w:marRight w:val="0"/>
          <w:marTop w:val="0"/>
          <w:marBottom w:val="0"/>
          <w:divBdr>
            <w:top w:val="none" w:sz="0" w:space="0" w:color="auto"/>
            <w:left w:val="none" w:sz="0" w:space="0" w:color="auto"/>
            <w:bottom w:val="none" w:sz="0" w:space="0" w:color="auto"/>
            <w:right w:val="none" w:sz="0" w:space="0" w:color="auto"/>
          </w:divBdr>
        </w:div>
        <w:div w:id="314648012">
          <w:marLeft w:val="0"/>
          <w:marRight w:val="0"/>
          <w:marTop w:val="0"/>
          <w:marBottom w:val="0"/>
          <w:divBdr>
            <w:top w:val="none" w:sz="0" w:space="0" w:color="auto"/>
            <w:left w:val="none" w:sz="0" w:space="0" w:color="auto"/>
            <w:bottom w:val="none" w:sz="0" w:space="0" w:color="auto"/>
            <w:right w:val="none" w:sz="0" w:space="0" w:color="auto"/>
          </w:divBdr>
        </w:div>
        <w:div w:id="414134599">
          <w:marLeft w:val="0"/>
          <w:marRight w:val="0"/>
          <w:marTop w:val="0"/>
          <w:marBottom w:val="0"/>
          <w:divBdr>
            <w:top w:val="none" w:sz="0" w:space="0" w:color="auto"/>
            <w:left w:val="none" w:sz="0" w:space="0" w:color="auto"/>
            <w:bottom w:val="none" w:sz="0" w:space="0" w:color="auto"/>
            <w:right w:val="none" w:sz="0" w:space="0" w:color="auto"/>
          </w:divBdr>
        </w:div>
        <w:div w:id="712576798">
          <w:marLeft w:val="0"/>
          <w:marRight w:val="0"/>
          <w:marTop w:val="0"/>
          <w:marBottom w:val="0"/>
          <w:divBdr>
            <w:top w:val="none" w:sz="0" w:space="0" w:color="auto"/>
            <w:left w:val="none" w:sz="0" w:space="0" w:color="auto"/>
            <w:bottom w:val="none" w:sz="0" w:space="0" w:color="auto"/>
            <w:right w:val="none" w:sz="0" w:space="0" w:color="auto"/>
          </w:divBdr>
        </w:div>
        <w:div w:id="1411005351">
          <w:marLeft w:val="0"/>
          <w:marRight w:val="0"/>
          <w:marTop w:val="0"/>
          <w:marBottom w:val="0"/>
          <w:divBdr>
            <w:top w:val="none" w:sz="0" w:space="0" w:color="auto"/>
            <w:left w:val="none" w:sz="0" w:space="0" w:color="auto"/>
            <w:bottom w:val="none" w:sz="0" w:space="0" w:color="auto"/>
            <w:right w:val="none" w:sz="0" w:space="0" w:color="auto"/>
          </w:divBdr>
        </w:div>
        <w:div w:id="1646011024">
          <w:marLeft w:val="0"/>
          <w:marRight w:val="0"/>
          <w:marTop w:val="0"/>
          <w:marBottom w:val="0"/>
          <w:divBdr>
            <w:top w:val="none" w:sz="0" w:space="0" w:color="auto"/>
            <w:left w:val="none" w:sz="0" w:space="0" w:color="auto"/>
            <w:bottom w:val="none" w:sz="0" w:space="0" w:color="auto"/>
            <w:right w:val="none" w:sz="0" w:space="0" w:color="auto"/>
          </w:divBdr>
        </w:div>
        <w:div w:id="1712806120">
          <w:marLeft w:val="0"/>
          <w:marRight w:val="0"/>
          <w:marTop w:val="0"/>
          <w:marBottom w:val="0"/>
          <w:divBdr>
            <w:top w:val="none" w:sz="0" w:space="0" w:color="auto"/>
            <w:left w:val="none" w:sz="0" w:space="0" w:color="auto"/>
            <w:bottom w:val="none" w:sz="0" w:space="0" w:color="auto"/>
            <w:right w:val="none" w:sz="0" w:space="0" w:color="auto"/>
          </w:divBdr>
        </w:div>
        <w:div w:id="1849903834">
          <w:marLeft w:val="0"/>
          <w:marRight w:val="0"/>
          <w:marTop w:val="0"/>
          <w:marBottom w:val="0"/>
          <w:divBdr>
            <w:top w:val="none" w:sz="0" w:space="0" w:color="auto"/>
            <w:left w:val="none" w:sz="0" w:space="0" w:color="auto"/>
            <w:bottom w:val="none" w:sz="0" w:space="0" w:color="auto"/>
            <w:right w:val="none" w:sz="0" w:space="0" w:color="auto"/>
          </w:divBdr>
        </w:div>
        <w:div w:id="1927573346">
          <w:marLeft w:val="0"/>
          <w:marRight w:val="0"/>
          <w:marTop w:val="0"/>
          <w:marBottom w:val="0"/>
          <w:divBdr>
            <w:top w:val="none" w:sz="0" w:space="0" w:color="auto"/>
            <w:left w:val="none" w:sz="0" w:space="0" w:color="auto"/>
            <w:bottom w:val="none" w:sz="0" w:space="0" w:color="auto"/>
            <w:right w:val="none" w:sz="0" w:space="0" w:color="auto"/>
          </w:divBdr>
        </w:div>
      </w:divsChild>
    </w:div>
    <w:div w:id="699664623">
      <w:bodyDiv w:val="1"/>
      <w:marLeft w:val="0"/>
      <w:marRight w:val="0"/>
      <w:marTop w:val="0"/>
      <w:marBottom w:val="0"/>
      <w:divBdr>
        <w:top w:val="none" w:sz="0" w:space="0" w:color="auto"/>
        <w:left w:val="none" w:sz="0" w:space="0" w:color="auto"/>
        <w:bottom w:val="none" w:sz="0" w:space="0" w:color="auto"/>
        <w:right w:val="none" w:sz="0" w:space="0" w:color="auto"/>
      </w:divBdr>
    </w:div>
    <w:div w:id="702050198">
      <w:bodyDiv w:val="1"/>
      <w:marLeft w:val="0"/>
      <w:marRight w:val="0"/>
      <w:marTop w:val="0"/>
      <w:marBottom w:val="0"/>
      <w:divBdr>
        <w:top w:val="none" w:sz="0" w:space="0" w:color="auto"/>
        <w:left w:val="none" w:sz="0" w:space="0" w:color="auto"/>
        <w:bottom w:val="none" w:sz="0" w:space="0" w:color="auto"/>
        <w:right w:val="none" w:sz="0" w:space="0" w:color="auto"/>
      </w:divBdr>
    </w:div>
    <w:div w:id="745225567">
      <w:bodyDiv w:val="1"/>
      <w:marLeft w:val="0"/>
      <w:marRight w:val="0"/>
      <w:marTop w:val="0"/>
      <w:marBottom w:val="0"/>
      <w:divBdr>
        <w:top w:val="none" w:sz="0" w:space="0" w:color="auto"/>
        <w:left w:val="none" w:sz="0" w:space="0" w:color="auto"/>
        <w:bottom w:val="none" w:sz="0" w:space="0" w:color="auto"/>
        <w:right w:val="none" w:sz="0" w:space="0" w:color="auto"/>
      </w:divBdr>
    </w:div>
    <w:div w:id="764350498">
      <w:bodyDiv w:val="1"/>
      <w:marLeft w:val="0"/>
      <w:marRight w:val="0"/>
      <w:marTop w:val="0"/>
      <w:marBottom w:val="0"/>
      <w:divBdr>
        <w:top w:val="none" w:sz="0" w:space="0" w:color="auto"/>
        <w:left w:val="none" w:sz="0" w:space="0" w:color="auto"/>
        <w:bottom w:val="none" w:sz="0" w:space="0" w:color="auto"/>
        <w:right w:val="none" w:sz="0" w:space="0" w:color="auto"/>
      </w:divBdr>
    </w:div>
    <w:div w:id="783234587">
      <w:bodyDiv w:val="1"/>
      <w:marLeft w:val="0"/>
      <w:marRight w:val="0"/>
      <w:marTop w:val="0"/>
      <w:marBottom w:val="0"/>
      <w:divBdr>
        <w:top w:val="none" w:sz="0" w:space="0" w:color="auto"/>
        <w:left w:val="none" w:sz="0" w:space="0" w:color="auto"/>
        <w:bottom w:val="none" w:sz="0" w:space="0" w:color="auto"/>
        <w:right w:val="none" w:sz="0" w:space="0" w:color="auto"/>
      </w:divBdr>
    </w:div>
    <w:div w:id="817456977">
      <w:bodyDiv w:val="1"/>
      <w:marLeft w:val="0"/>
      <w:marRight w:val="0"/>
      <w:marTop w:val="0"/>
      <w:marBottom w:val="0"/>
      <w:divBdr>
        <w:top w:val="none" w:sz="0" w:space="0" w:color="auto"/>
        <w:left w:val="none" w:sz="0" w:space="0" w:color="auto"/>
        <w:bottom w:val="none" w:sz="0" w:space="0" w:color="auto"/>
        <w:right w:val="none" w:sz="0" w:space="0" w:color="auto"/>
      </w:divBdr>
    </w:div>
    <w:div w:id="875972941">
      <w:bodyDiv w:val="1"/>
      <w:marLeft w:val="0"/>
      <w:marRight w:val="0"/>
      <w:marTop w:val="0"/>
      <w:marBottom w:val="0"/>
      <w:divBdr>
        <w:top w:val="none" w:sz="0" w:space="0" w:color="auto"/>
        <w:left w:val="none" w:sz="0" w:space="0" w:color="auto"/>
        <w:bottom w:val="none" w:sz="0" w:space="0" w:color="auto"/>
        <w:right w:val="none" w:sz="0" w:space="0" w:color="auto"/>
      </w:divBdr>
    </w:div>
    <w:div w:id="880750082">
      <w:bodyDiv w:val="1"/>
      <w:marLeft w:val="0"/>
      <w:marRight w:val="0"/>
      <w:marTop w:val="0"/>
      <w:marBottom w:val="0"/>
      <w:divBdr>
        <w:top w:val="none" w:sz="0" w:space="0" w:color="auto"/>
        <w:left w:val="none" w:sz="0" w:space="0" w:color="auto"/>
        <w:bottom w:val="none" w:sz="0" w:space="0" w:color="auto"/>
        <w:right w:val="none" w:sz="0" w:space="0" w:color="auto"/>
      </w:divBdr>
    </w:div>
    <w:div w:id="915090701">
      <w:bodyDiv w:val="1"/>
      <w:marLeft w:val="0"/>
      <w:marRight w:val="0"/>
      <w:marTop w:val="0"/>
      <w:marBottom w:val="0"/>
      <w:divBdr>
        <w:top w:val="none" w:sz="0" w:space="0" w:color="auto"/>
        <w:left w:val="none" w:sz="0" w:space="0" w:color="auto"/>
        <w:bottom w:val="none" w:sz="0" w:space="0" w:color="auto"/>
        <w:right w:val="none" w:sz="0" w:space="0" w:color="auto"/>
      </w:divBdr>
      <w:divsChild>
        <w:div w:id="146015783">
          <w:marLeft w:val="0"/>
          <w:marRight w:val="0"/>
          <w:marTop w:val="0"/>
          <w:marBottom w:val="0"/>
          <w:divBdr>
            <w:top w:val="none" w:sz="0" w:space="0" w:color="auto"/>
            <w:left w:val="none" w:sz="0" w:space="0" w:color="auto"/>
            <w:bottom w:val="none" w:sz="0" w:space="0" w:color="auto"/>
            <w:right w:val="none" w:sz="0" w:space="0" w:color="auto"/>
          </w:divBdr>
        </w:div>
        <w:div w:id="226456655">
          <w:marLeft w:val="0"/>
          <w:marRight w:val="0"/>
          <w:marTop w:val="0"/>
          <w:marBottom w:val="0"/>
          <w:divBdr>
            <w:top w:val="none" w:sz="0" w:space="0" w:color="auto"/>
            <w:left w:val="none" w:sz="0" w:space="0" w:color="auto"/>
            <w:bottom w:val="none" w:sz="0" w:space="0" w:color="auto"/>
            <w:right w:val="none" w:sz="0" w:space="0" w:color="auto"/>
          </w:divBdr>
        </w:div>
        <w:div w:id="296028122">
          <w:marLeft w:val="0"/>
          <w:marRight w:val="0"/>
          <w:marTop w:val="0"/>
          <w:marBottom w:val="0"/>
          <w:divBdr>
            <w:top w:val="none" w:sz="0" w:space="0" w:color="auto"/>
            <w:left w:val="none" w:sz="0" w:space="0" w:color="auto"/>
            <w:bottom w:val="none" w:sz="0" w:space="0" w:color="auto"/>
            <w:right w:val="none" w:sz="0" w:space="0" w:color="auto"/>
          </w:divBdr>
        </w:div>
        <w:div w:id="380793171">
          <w:marLeft w:val="0"/>
          <w:marRight w:val="0"/>
          <w:marTop w:val="0"/>
          <w:marBottom w:val="0"/>
          <w:divBdr>
            <w:top w:val="none" w:sz="0" w:space="0" w:color="auto"/>
            <w:left w:val="none" w:sz="0" w:space="0" w:color="auto"/>
            <w:bottom w:val="none" w:sz="0" w:space="0" w:color="auto"/>
            <w:right w:val="none" w:sz="0" w:space="0" w:color="auto"/>
          </w:divBdr>
        </w:div>
        <w:div w:id="716390193">
          <w:marLeft w:val="0"/>
          <w:marRight w:val="0"/>
          <w:marTop w:val="0"/>
          <w:marBottom w:val="0"/>
          <w:divBdr>
            <w:top w:val="none" w:sz="0" w:space="0" w:color="auto"/>
            <w:left w:val="none" w:sz="0" w:space="0" w:color="auto"/>
            <w:bottom w:val="none" w:sz="0" w:space="0" w:color="auto"/>
            <w:right w:val="none" w:sz="0" w:space="0" w:color="auto"/>
          </w:divBdr>
        </w:div>
        <w:div w:id="737560094">
          <w:marLeft w:val="0"/>
          <w:marRight w:val="0"/>
          <w:marTop w:val="0"/>
          <w:marBottom w:val="0"/>
          <w:divBdr>
            <w:top w:val="none" w:sz="0" w:space="0" w:color="auto"/>
            <w:left w:val="none" w:sz="0" w:space="0" w:color="auto"/>
            <w:bottom w:val="none" w:sz="0" w:space="0" w:color="auto"/>
            <w:right w:val="none" w:sz="0" w:space="0" w:color="auto"/>
          </w:divBdr>
        </w:div>
        <w:div w:id="1275474995">
          <w:marLeft w:val="0"/>
          <w:marRight w:val="0"/>
          <w:marTop w:val="0"/>
          <w:marBottom w:val="0"/>
          <w:divBdr>
            <w:top w:val="none" w:sz="0" w:space="0" w:color="auto"/>
            <w:left w:val="none" w:sz="0" w:space="0" w:color="auto"/>
            <w:bottom w:val="none" w:sz="0" w:space="0" w:color="auto"/>
            <w:right w:val="none" w:sz="0" w:space="0" w:color="auto"/>
          </w:divBdr>
        </w:div>
        <w:div w:id="1501694676">
          <w:marLeft w:val="0"/>
          <w:marRight w:val="0"/>
          <w:marTop w:val="0"/>
          <w:marBottom w:val="0"/>
          <w:divBdr>
            <w:top w:val="none" w:sz="0" w:space="0" w:color="auto"/>
            <w:left w:val="none" w:sz="0" w:space="0" w:color="auto"/>
            <w:bottom w:val="none" w:sz="0" w:space="0" w:color="auto"/>
            <w:right w:val="none" w:sz="0" w:space="0" w:color="auto"/>
          </w:divBdr>
        </w:div>
        <w:div w:id="1883980720">
          <w:marLeft w:val="0"/>
          <w:marRight w:val="0"/>
          <w:marTop w:val="0"/>
          <w:marBottom w:val="0"/>
          <w:divBdr>
            <w:top w:val="none" w:sz="0" w:space="0" w:color="auto"/>
            <w:left w:val="none" w:sz="0" w:space="0" w:color="auto"/>
            <w:bottom w:val="none" w:sz="0" w:space="0" w:color="auto"/>
            <w:right w:val="none" w:sz="0" w:space="0" w:color="auto"/>
          </w:divBdr>
        </w:div>
      </w:divsChild>
    </w:div>
    <w:div w:id="996105829">
      <w:bodyDiv w:val="1"/>
      <w:marLeft w:val="0"/>
      <w:marRight w:val="0"/>
      <w:marTop w:val="0"/>
      <w:marBottom w:val="0"/>
      <w:divBdr>
        <w:top w:val="none" w:sz="0" w:space="0" w:color="auto"/>
        <w:left w:val="none" w:sz="0" w:space="0" w:color="auto"/>
        <w:bottom w:val="none" w:sz="0" w:space="0" w:color="auto"/>
        <w:right w:val="none" w:sz="0" w:space="0" w:color="auto"/>
      </w:divBdr>
    </w:div>
    <w:div w:id="997732104">
      <w:bodyDiv w:val="1"/>
      <w:marLeft w:val="0"/>
      <w:marRight w:val="0"/>
      <w:marTop w:val="0"/>
      <w:marBottom w:val="0"/>
      <w:divBdr>
        <w:top w:val="none" w:sz="0" w:space="0" w:color="auto"/>
        <w:left w:val="none" w:sz="0" w:space="0" w:color="auto"/>
        <w:bottom w:val="none" w:sz="0" w:space="0" w:color="auto"/>
        <w:right w:val="none" w:sz="0" w:space="0" w:color="auto"/>
      </w:divBdr>
    </w:div>
    <w:div w:id="998121871">
      <w:bodyDiv w:val="1"/>
      <w:marLeft w:val="0"/>
      <w:marRight w:val="0"/>
      <w:marTop w:val="0"/>
      <w:marBottom w:val="0"/>
      <w:divBdr>
        <w:top w:val="none" w:sz="0" w:space="0" w:color="auto"/>
        <w:left w:val="none" w:sz="0" w:space="0" w:color="auto"/>
        <w:bottom w:val="none" w:sz="0" w:space="0" w:color="auto"/>
        <w:right w:val="none" w:sz="0" w:space="0" w:color="auto"/>
      </w:divBdr>
    </w:div>
    <w:div w:id="1026128758">
      <w:bodyDiv w:val="1"/>
      <w:marLeft w:val="0"/>
      <w:marRight w:val="0"/>
      <w:marTop w:val="0"/>
      <w:marBottom w:val="0"/>
      <w:divBdr>
        <w:top w:val="none" w:sz="0" w:space="0" w:color="auto"/>
        <w:left w:val="none" w:sz="0" w:space="0" w:color="auto"/>
        <w:bottom w:val="none" w:sz="0" w:space="0" w:color="auto"/>
        <w:right w:val="none" w:sz="0" w:space="0" w:color="auto"/>
      </w:divBdr>
    </w:div>
    <w:div w:id="1039817190">
      <w:bodyDiv w:val="1"/>
      <w:marLeft w:val="0"/>
      <w:marRight w:val="0"/>
      <w:marTop w:val="0"/>
      <w:marBottom w:val="0"/>
      <w:divBdr>
        <w:top w:val="none" w:sz="0" w:space="0" w:color="auto"/>
        <w:left w:val="none" w:sz="0" w:space="0" w:color="auto"/>
        <w:bottom w:val="none" w:sz="0" w:space="0" w:color="auto"/>
        <w:right w:val="none" w:sz="0" w:space="0" w:color="auto"/>
      </w:divBdr>
    </w:div>
    <w:div w:id="1054888439">
      <w:bodyDiv w:val="1"/>
      <w:marLeft w:val="0"/>
      <w:marRight w:val="0"/>
      <w:marTop w:val="0"/>
      <w:marBottom w:val="0"/>
      <w:divBdr>
        <w:top w:val="none" w:sz="0" w:space="0" w:color="auto"/>
        <w:left w:val="none" w:sz="0" w:space="0" w:color="auto"/>
        <w:bottom w:val="none" w:sz="0" w:space="0" w:color="auto"/>
        <w:right w:val="none" w:sz="0" w:space="0" w:color="auto"/>
      </w:divBdr>
    </w:div>
    <w:div w:id="1081565477">
      <w:bodyDiv w:val="1"/>
      <w:marLeft w:val="0"/>
      <w:marRight w:val="0"/>
      <w:marTop w:val="0"/>
      <w:marBottom w:val="0"/>
      <w:divBdr>
        <w:top w:val="none" w:sz="0" w:space="0" w:color="auto"/>
        <w:left w:val="none" w:sz="0" w:space="0" w:color="auto"/>
        <w:bottom w:val="none" w:sz="0" w:space="0" w:color="auto"/>
        <w:right w:val="none" w:sz="0" w:space="0" w:color="auto"/>
      </w:divBdr>
    </w:div>
    <w:div w:id="1093433301">
      <w:bodyDiv w:val="1"/>
      <w:marLeft w:val="0"/>
      <w:marRight w:val="0"/>
      <w:marTop w:val="0"/>
      <w:marBottom w:val="0"/>
      <w:divBdr>
        <w:top w:val="none" w:sz="0" w:space="0" w:color="auto"/>
        <w:left w:val="none" w:sz="0" w:space="0" w:color="auto"/>
        <w:bottom w:val="none" w:sz="0" w:space="0" w:color="auto"/>
        <w:right w:val="none" w:sz="0" w:space="0" w:color="auto"/>
      </w:divBdr>
    </w:div>
    <w:div w:id="1122842297">
      <w:bodyDiv w:val="1"/>
      <w:marLeft w:val="0"/>
      <w:marRight w:val="0"/>
      <w:marTop w:val="0"/>
      <w:marBottom w:val="0"/>
      <w:divBdr>
        <w:top w:val="none" w:sz="0" w:space="0" w:color="auto"/>
        <w:left w:val="none" w:sz="0" w:space="0" w:color="auto"/>
        <w:bottom w:val="none" w:sz="0" w:space="0" w:color="auto"/>
        <w:right w:val="none" w:sz="0" w:space="0" w:color="auto"/>
      </w:divBdr>
    </w:div>
    <w:div w:id="1131753865">
      <w:bodyDiv w:val="1"/>
      <w:marLeft w:val="0"/>
      <w:marRight w:val="0"/>
      <w:marTop w:val="0"/>
      <w:marBottom w:val="0"/>
      <w:divBdr>
        <w:top w:val="none" w:sz="0" w:space="0" w:color="auto"/>
        <w:left w:val="none" w:sz="0" w:space="0" w:color="auto"/>
        <w:bottom w:val="none" w:sz="0" w:space="0" w:color="auto"/>
        <w:right w:val="none" w:sz="0" w:space="0" w:color="auto"/>
      </w:divBdr>
    </w:div>
    <w:div w:id="1170214113">
      <w:bodyDiv w:val="1"/>
      <w:marLeft w:val="0"/>
      <w:marRight w:val="0"/>
      <w:marTop w:val="0"/>
      <w:marBottom w:val="0"/>
      <w:divBdr>
        <w:top w:val="none" w:sz="0" w:space="0" w:color="auto"/>
        <w:left w:val="none" w:sz="0" w:space="0" w:color="auto"/>
        <w:bottom w:val="none" w:sz="0" w:space="0" w:color="auto"/>
        <w:right w:val="none" w:sz="0" w:space="0" w:color="auto"/>
      </w:divBdr>
    </w:div>
    <w:div w:id="1254364336">
      <w:bodyDiv w:val="1"/>
      <w:marLeft w:val="0"/>
      <w:marRight w:val="0"/>
      <w:marTop w:val="0"/>
      <w:marBottom w:val="0"/>
      <w:divBdr>
        <w:top w:val="none" w:sz="0" w:space="0" w:color="auto"/>
        <w:left w:val="none" w:sz="0" w:space="0" w:color="auto"/>
        <w:bottom w:val="none" w:sz="0" w:space="0" w:color="auto"/>
        <w:right w:val="none" w:sz="0" w:space="0" w:color="auto"/>
      </w:divBdr>
    </w:div>
    <w:div w:id="1273898417">
      <w:bodyDiv w:val="1"/>
      <w:marLeft w:val="0"/>
      <w:marRight w:val="0"/>
      <w:marTop w:val="0"/>
      <w:marBottom w:val="0"/>
      <w:divBdr>
        <w:top w:val="none" w:sz="0" w:space="0" w:color="auto"/>
        <w:left w:val="none" w:sz="0" w:space="0" w:color="auto"/>
        <w:bottom w:val="none" w:sz="0" w:space="0" w:color="auto"/>
        <w:right w:val="none" w:sz="0" w:space="0" w:color="auto"/>
      </w:divBdr>
    </w:div>
    <w:div w:id="1281494526">
      <w:bodyDiv w:val="1"/>
      <w:marLeft w:val="0"/>
      <w:marRight w:val="0"/>
      <w:marTop w:val="0"/>
      <w:marBottom w:val="0"/>
      <w:divBdr>
        <w:top w:val="none" w:sz="0" w:space="0" w:color="auto"/>
        <w:left w:val="none" w:sz="0" w:space="0" w:color="auto"/>
        <w:bottom w:val="none" w:sz="0" w:space="0" w:color="auto"/>
        <w:right w:val="none" w:sz="0" w:space="0" w:color="auto"/>
      </w:divBdr>
    </w:div>
    <w:div w:id="1307080282">
      <w:bodyDiv w:val="1"/>
      <w:marLeft w:val="0"/>
      <w:marRight w:val="0"/>
      <w:marTop w:val="0"/>
      <w:marBottom w:val="0"/>
      <w:divBdr>
        <w:top w:val="none" w:sz="0" w:space="0" w:color="auto"/>
        <w:left w:val="none" w:sz="0" w:space="0" w:color="auto"/>
        <w:bottom w:val="none" w:sz="0" w:space="0" w:color="auto"/>
        <w:right w:val="none" w:sz="0" w:space="0" w:color="auto"/>
      </w:divBdr>
    </w:div>
    <w:div w:id="1307473676">
      <w:bodyDiv w:val="1"/>
      <w:marLeft w:val="0"/>
      <w:marRight w:val="0"/>
      <w:marTop w:val="0"/>
      <w:marBottom w:val="0"/>
      <w:divBdr>
        <w:top w:val="none" w:sz="0" w:space="0" w:color="auto"/>
        <w:left w:val="none" w:sz="0" w:space="0" w:color="auto"/>
        <w:bottom w:val="none" w:sz="0" w:space="0" w:color="auto"/>
        <w:right w:val="none" w:sz="0" w:space="0" w:color="auto"/>
      </w:divBdr>
    </w:div>
    <w:div w:id="1387142524">
      <w:bodyDiv w:val="1"/>
      <w:marLeft w:val="0"/>
      <w:marRight w:val="0"/>
      <w:marTop w:val="0"/>
      <w:marBottom w:val="0"/>
      <w:divBdr>
        <w:top w:val="none" w:sz="0" w:space="0" w:color="auto"/>
        <w:left w:val="none" w:sz="0" w:space="0" w:color="auto"/>
        <w:bottom w:val="none" w:sz="0" w:space="0" w:color="auto"/>
        <w:right w:val="none" w:sz="0" w:space="0" w:color="auto"/>
      </w:divBdr>
    </w:div>
    <w:div w:id="1419211173">
      <w:bodyDiv w:val="1"/>
      <w:marLeft w:val="0"/>
      <w:marRight w:val="0"/>
      <w:marTop w:val="0"/>
      <w:marBottom w:val="0"/>
      <w:divBdr>
        <w:top w:val="none" w:sz="0" w:space="0" w:color="auto"/>
        <w:left w:val="none" w:sz="0" w:space="0" w:color="auto"/>
        <w:bottom w:val="none" w:sz="0" w:space="0" w:color="auto"/>
        <w:right w:val="none" w:sz="0" w:space="0" w:color="auto"/>
      </w:divBdr>
    </w:div>
    <w:div w:id="1462264056">
      <w:bodyDiv w:val="1"/>
      <w:marLeft w:val="0"/>
      <w:marRight w:val="0"/>
      <w:marTop w:val="0"/>
      <w:marBottom w:val="0"/>
      <w:divBdr>
        <w:top w:val="none" w:sz="0" w:space="0" w:color="auto"/>
        <w:left w:val="none" w:sz="0" w:space="0" w:color="auto"/>
        <w:bottom w:val="none" w:sz="0" w:space="0" w:color="auto"/>
        <w:right w:val="none" w:sz="0" w:space="0" w:color="auto"/>
      </w:divBdr>
    </w:div>
    <w:div w:id="1467579128">
      <w:bodyDiv w:val="1"/>
      <w:marLeft w:val="0"/>
      <w:marRight w:val="0"/>
      <w:marTop w:val="0"/>
      <w:marBottom w:val="0"/>
      <w:divBdr>
        <w:top w:val="none" w:sz="0" w:space="0" w:color="auto"/>
        <w:left w:val="none" w:sz="0" w:space="0" w:color="auto"/>
        <w:bottom w:val="none" w:sz="0" w:space="0" w:color="auto"/>
        <w:right w:val="none" w:sz="0" w:space="0" w:color="auto"/>
      </w:divBdr>
    </w:div>
    <w:div w:id="1480071640">
      <w:bodyDiv w:val="1"/>
      <w:marLeft w:val="0"/>
      <w:marRight w:val="0"/>
      <w:marTop w:val="0"/>
      <w:marBottom w:val="0"/>
      <w:divBdr>
        <w:top w:val="none" w:sz="0" w:space="0" w:color="auto"/>
        <w:left w:val="none" w:sz="0" w:space="0" w:color="auto"/>
        <w:bottom w:val="none" w:sz="0" w:space="0" w:color="auto"/>
        <w:right w:val="none" w:sz="0" w:space="0" w:color="auto"/>
      </w:divBdr>
    </w:div>
    <w:div w:id="1528836367">
      <w:bodyDiv w:val="1"/>
      <w:marLeft w:val="0"/>
      <w:marRight w:val="0"/>
      <w:marTop w:val="0"/>
      <w:marBottom w:val="0"/>
      <w:divBdr>
        <w:top w:val="none" w:sz="0" w:space="0" w:color="auto"/>
        <w:left w:val="none" w:sz="0" w:space="0" w:color="auto"/>
        <w:bottom w:val="none" w:sz="0" w:space="0" w:color="auto"/>
        <w:right w:val="none" w:sz="0" w:space="0" w:color="auto"/>
      </w:divBdr>
    </w:div>
    <w:div w:id="1531726623">
      <w:bodyDiv w:val="1"/>
      <w:marLeft w:val="0"/>
      <w:marRight w:val="0"/>
      <w:marTop w:val="0"/>
      <w:marBottom w:val="0"/>
      <w:divBdr>
        <w:top w:val="none" w:sz="0" w:space="0" w:color="auto"/>
        <w:left w:val="none" w:sz="0" w:space="0" w:color="auto"/>
        <w:bottom w:val="none" w:sz="0" w:space="0" w:color="auto"/>
        <w:right w:val="none" w:sz="0" w:space="0" w:color="auto"/>
      </w:divBdr>
    </w:div>
    <w:div w:id="1532379186">
      <w:bodyDiv w:val="1"/>
      <w:marLeft w:val="0"/>
      <w:marRight w:val="0"/>
      <w:marTop w:val="0"/>
      <w:marBottom w:val="0"/>
      <w:divBdr>
        <w:top w:val="none" w:sz="0" w:space="0" w:color="auto"/>
        <w:left w:val="none" w:sz="0" w:space="0" w:color="auto"/>
        <w:bottom w:val="none" w:sz="0" w:space="0" w:color="auto"/>
        <w:right w:val="none" w:sz="0" w:space="0" w:color="auto"/>
      </w:divBdr>
    </w:div>
    <w:div w:id="1566602613">
      <w:bodyDiv w:val="1"/>
      <w:marLeft w:val="0"/>
      <w:marRight w:val="0"/>
      <w:marTop w:val="0"/>
      <w:marBottom w:val="0"/>
      <w:divBdr>
        <w:top w:val="none" w:sz="0" w:space="0" w:color="auto"/>
        <w:left w:val="none" w:sz="0" w:space="0" w:color="auto"/>
        <w:bottom w:val="none" w:sz="0" w:space="0" w:color="auto"/>
        <w:right w:val="none" w:sz="0" w:space="0" w:color="auto"/>
      </w:divBdr>
    </w:div>
    <w:div w:id="1572961825">
      <w:bodyDiv w:val="1"/>
      <w:marLeft w:val="0"/>
      <w:marRight w:val="0"/>
      <w:marTop w:val="0"/>
      <w:marBottom w:val="0"/>
      <w:divBdr>
        <w:top w:val="none" w:sz="0" w:space="0" w:color="auto"/>
        <w:left w:val="none" w:sz="0" w:space="0" w:color="auto"/>
        <w:bottom w:val="none" w:sz="0" w:space="0" w:color="auto"/>
        <w:right w:val="none" w:sz="0" w:space="0" w:color="auto"/>
      </w:divBdr>
    </w:div>
    <w:div w:id="1578394839">
      <w:bodyDiv w:val="1"/>
      <w:marLeft w:val="0"/>
      <w:marRight w:val="0"/>
      <w:marTop w:val="0"/>
      <w:marBottom w:val="0"/>
      <w:divBdr>
        <w:top w:val="none" w:sz="0" w:space="0" w:color="auto"/>
        <w:left w:val="none" w:sz="0" w:space="0" w:color="auto"/>
        <w:bottom w:val="none" w:sz="0" w:space="0" w:color="auto"/>
        <w:right w:val="none" w:sz="0" w:space="0" w:color="auto"/>
      </w:divBdr>
    </w:div>
    <w:div w:id="1581673130">
      <w:bodyDiv w:val="1"/>
      <w:marLeft w:val="0"/>
      <w:marRight w:val="0"/>
      <w:marTop w:val="0"/>
      <w:marBottom w:val="0"/>
      <w:divBdr>
        <w:top w:val="none" w:sz="0" w:space="0" w:color="auto"/>
        <w:left w:val="none" w:sz="0" w:space="0" w:color="auto"/>
        <w:bottom w:val="none" w:sz="0" w:space="0" w:color="auto"/>
        <w:right w:val="none" w:sz="0" w:space="0" w:color="auto"/>
      </w:divBdr>
    </w:div>
    <w:div w:id="1695768738">
      <w:bodyDiv w:val="1"/>
      <w:marLeft w:val="0"/>
      <w:marRight w:val="0"/>
      <w:marTop w:val="0"/>
      <w:marBottom w:val="0"/>
      <w:divBdr>
        <w:top w:val="none" w:sz="0" w:space="0" w:color="auto"/>
        <w:left w:val="none" w:sz="0" w:space="0" w:color="auto"/>
        <w:bottom w:val="none" w:sz="0" w:space="0" w:color="auto"/>
        <w:right w:val="none" w:sz="0" w:space="0" w:color="auto"/>
      </w:divBdr>
    </w:div>
    <w:div w:id="1699039746">
      <w:bodyDiv w:val="1"/>
      <w:marLeft w:val="0"/>
      <w:marRight w:val="0"/>
      <w:marTop w:val="0"/>
      <w:marBottom w:val="0"/>
      <w:divBdr>
        <w:top w:val="none" w:sz="0" w:space="0" w:color="auto"/>
        <w:left w:val="none" w:sz="0" w:space="0" w:color="auto"/>
        <w:bottom w:val="none" w:sz="0" w:space="0" w:color="auto"/>
        <w:right w:val="none" w:sz="0" w:space="0" w:color="auto"/>
      </w:divBdr>
    </w:div>
    <w:div w:id="1707221527">
      <w:bodyDiv w:val="1"/>
      <w:marLeft w:val="0"/>
      <w:marRight w:val="0"/>
      <w:marTop w:val="0"/>
      <w:marBottom w:val="0"/>
      <w:divBdr>
        <w:top w:val="none" w:sz="0" w:space="0" w:color="auto"/>
        <w:left w:val="none" w:sz="0" w:space="0" w:color="auto"/>
        <w:bottom w:val="none" w:sz="0" w:space="0" w:color="auto"/>
        <w:right w:val="none" w:sz="0" w:space="0" w:color="auto"/>
      </w:divBdr>
    </w:div>
    <w:div w:id="1719010039">
      <w:bodyDiv w:val="1"/>
      <w:marLeft w:val="0"/>
      <w:marRight w:val="0"/>
      <w:marTop w:val="0"/>
      <w:marBottom w:val="0"/>
      <w:divBdr>
        <w:top w:val="none" w:sz="0" w:space="0" w:color="auto"/>
        <w:left w:val="none" w:sz="0" w:space="0" w:color="auto"/>
        <w:bottom w:val="none" w:sz="0" w:space="0" w:color="auto"/>
        <w:right w:val="none" w:sz="0" w:space="0" w:color="auto"/>
      </w:divBdr>
    </w:div>
    <w:div w:id="1730612795">
      <w:bodyDiv w:val="1"/>
      <w:marLeft w:val="0"/>
      <w:marRight w:val="0"/>
      <w:marTop w:val="0"/>
      <w:marBottom w:val="0"/>
      <w:divBdr>
        <w:top w:val="none" w:sz="0" w:space="0" w:color="auto"/>
        <w:left w:val="none" w:sz="0" w:space="0" w:color="auto"/>
        <w:bottom w:val="none" w:sz="0" w:space="0" w:color="auto"/>
        <w:right w:val="none" w:sz="0" w:space="0" w:color="auto"/>
      </w:divBdr>
    </w:div>
    <w:div w:id="1734738364">
      <w:bodyDiv w:val="1"/>
      <w:marLeft w:val="0"/>
      <w:marRight w:val="0"/>
      <w:marTop w:val="0"/>
      <w:marBottom w:val="0"/>
      <w:divBdr>
        <w:top w:val="none" w:sz="0" w:space="0" w:color="auto"/>
        <w:left w:val="none" w:sz="0" w:space="0" w:color="auto"/>
        <w:bottom w:val="none" w:sz="0" w:space="0" w:color="auto"/>
        <w:right w:val="none" w:sz="0" w:space="0" w:color="auto"/>
      </w:divBdr>
    </w:div>
    <w:div w:id="1746955851">
      <w:bodyDiv w:val="1"/>
      <w:marLeft w:val="0"/>
      <w:marRight w:val="0"/>
      <w:marTop w:val="0"/>
      <w:marBottom w:val="0"/>
      <w:divBdr>
        <w:top w:val="none" w:sz="0" w:space="0" w:color="auto"/>
        <w:left w:val="none" w:sz="0" w:space="0" w:color="auto"/>
        <w:bottom w:val="none" w:sz="0" w:space="0" w:color="auto"/>
        <w:right w:val="none" w:sz="0" w:space="0" w:color="auto"/>
      </w:divBdr>
    </w:div>
    <w:div w:id="1748191582">
      <w:bodyDiv w:val="1"/>
      <w:marLeft w:val="0"/>
      <w:marRight w:val="0"/>
      <w:marTop w:val="0"/>
      <w:marBottom w:val="0"/>
      <w:divBdr>
        <w:top w:val="none" w:sz="0" w:space="0" w:color="auto"/>
        <w:left w:val="none" w:sz="0" w:space="0" w:color="auto"/>
        <w:bottom w:val="none" w:sz="0" w:space="0" w:color="auto"/>
        <w:right w:val="none" w:sz="0" w:space="0" w:color="auto"/>
      </w:divBdr>
    </w:div>
    <w:div w:id="1750733771">
      <w:bodyDiv w:val="1"/>
      <w:marLeft w:val="0"/>
      <w:marRight w:val="0"/>
      <w:marTop w:val="0"/>
      <w:marBottom w:val="0"/>
      <w:divBdr>
        <w:top w:val="none" w:sz="0" w:space="0" w:color="auto"/>
        <w:left w:val="none" w:sz="0" w:space="0" w:color="auto"/>
        <w:bottom w:val="none" w:sz="0" w:space="0" w:color="auto"/>
        <w:right w:val="none" w:sz="0" w:space="0" w:color="auto"/>
      </w:divBdr>
    </w:div>
    <w:div w:id="1751537275">
      <w:bodyDiv w:val="1"/>
      <w:marLeft w:val="0"/>
      <w:marRight w:val="0"/>
      <w:marTop w:val="0"/>
      <w:marBottom w:val="0"/>
      <w:divBdr>
        <w:top w:val="none" w:sz="0" w:space="0" w:color="auto"/>
        <w:left w:val="none" w:sz="0" w:space="0" w:color="auto"/>
        <w:bottom w:val="none" w:sz="0" w:space="0" w:color="auto"/>
        <w:right w:val="none" w:sz="0" w:space="0" w:color="auto"/>
      </w:divBdr>
    </w:div>
    <w:div w:id="1762556189">
      <w:bodyDiv w:val="1"/>
      <w:marLeft w:val="0"/>
      <w:marRight w:val="0"/>
      <w:marTop w:val="0"/>
      <w:marBottom w:val="0"/>
      <w:divBdr>
        <w:top w:val="none" w:sz="0" w:space="0" w:color="auto"/>
        <w:left w:val="none" w:sz="0" w:space="0" w:color="auto"/>
        <w:bottom w:val="none" w:sz="0" w:space="0" w:color="auto"/>
        <w:right w:val="none" w:sz="0" w:space="0" w:color="auto"/>
      </w:divBdr>
    </w:div>
    <w:div w:id="1848520824">
      <w:bodyDiv w:val="1"/>
      <w:marLeft w:val="0"/>
      <w:marRight w:val="0"/>
      <w:marTop w:val="0"/>
      <w:marBottom w:val="0"/>
      <w:divBdr>
        <w:top w:val="none" w:sz="0" w:space="0" w:color="auto"/>
        <w:left w:val="none" w:sz="0" w:space="0" w:color="auto"/>
        <w:bottom w:val="none" w:sz="0" w:space="0" w:color="auto"/>
        <w:right w:val="none" w:sz="0" w:space="0" w:color="auto"/>
      </w:divBdr>
    </w:div>
    <w:div w:id="1885099667">
      <w:bodyDiv w:val="1"/>
      <w:marLeft w:val="0"/>
      <w:marRight w:val="0"/>
      <w:marTop w:val="0"/>
      <w:marBottom w:val="0"/>
      <w:divBdr>
        <w:top w:val="none" w:sz="0" w:space="0" w:color="auto"/>
        <w:left w:val="none" w:sz="0" w:space="0" w:color="auto"/>
        <w:bottom w:val="none" w:sz="0" w:space="0" w:color="auto"/>
        <w:right w:val="none" w:sz="0" w:space="0" w:color="auto"/>
      </w:divBdr>
    </w:div>
    <w:div w:id="1902474839">
      <w:bodyDiv w:val="1"/>
      <w:marLeft w:val="0"/>
      <w:marRight w:val="0"/>
      <w:marTop w:val="0"/>
      <w:marBottom w:val="0"/>
      <w:divBdr>
        <w:top w:val="none" w:sz="0" w:space="0" w:color="auto"/>
        <w:left w:val="none" w:sz="0" w:space="0" w:color="auto"/>
        <w:bottom w:val="none" w:sz="0" w:space="0" w:color="auto"/>
        <w:right w:val="none" w:sz="0" w:space="0" w:color="auto"/>
      </w:divBdr>
    </w:div>
    <w:div w:id="1922060385">
      <w:bodyDiv w:val="1"/>
      <w:marLeft w:val="0"/>
      <w:marRight w:val="0"/>
      <w:marTop w:val="0"/>
      <w:marBottom w:val="0"/>
      <w:divBdr>
        <w:top w:val="none" w:sz="0" w:space="0" w:color="auto"/>
        <w:left w:val="none" w:sz="0" w:space="0" w:color="auto"/>
        <w:bottom w:val="none" w:sz="0" w:space="0" w:color="auto"/>
        <w:right w:val="none" w:sz="0" w:space="0" w:color="auto"/>
      </w:divBdr>
    </w:div>
    <w:div w:id="1929270423">
      <w:bodyDiv w:val="1"/>
      <w:marLeft w:val="0"/>
      <w:marRight w:val="0"/>
      <w:marTop w:val="0"/>
      <w:marBottom w:val="0"/>
      <w:divBdr>
        <w:top w:val="none" w:sz="0" w:space="0" w:color="auto"/>
        <w:left w:val="none" w:sz="0" w:space="0" w:color="auto"/>
        <w:bottom w:val="none" w:sz="0" w:space="0" w:color="auto"/>
        <w:right w:val="none" w:sz="0" w:space="0" w:color="auto"/>
      </w:divBdr>
    </w:div>
    <w:div w:id="1962613405">
      <w:bodyDiv w:val="1"/>
      <w:marLeft w:val="0"/>
      <w:marRight w:val="0"/>
      <w:marTop w:val="0"/>
      <w:marBottom w:val="0"/>
      <w:divBdr>
        <w:top w:val="none" w:sz="0" w:space="0" w:color="auto"/>
        <w:left w:val="none" w:sz="0" w:space="0" w:color="auto"/>
        <w:bottom w:val="none" w:sz="0" w:space="0" w:color="auto"/>
        <w:right w:val="none" w:sz="0" w:space="0" w:color="auto"/>
      </w:divBdr>
    </w:div>
    <w:div w:id="1973249197">
      <w:bodyDiv w:val="1"/>
      <w:marLeft w:val="0"/>
      <w:marRight w:val="0"/>
      <w:marTop w:val="0"/>
      <w:marBottom w:val="0"/>
      <w:divBdr>
        <w:top w:val="none" w:sz="0" w:space="0" w:color="auto"/>
        <w:left w:val="none" w:sz="0" w:space="0" w:color="auto"/>
        <w:bottom w:val="none" w:sz="0" w:space="0" w:color="auto"/>
        <w:right w:val="none" w:sz="0" w:space="0" w:color="auto"/>
      </w:divBdr>
    </w:div>
    <w:div w:id="1982684953">
      <w:bodyDiv w:val="1"/>
      <w:marLeft w:val="0"/>
      <w:marRight w:val="0"/>
      <w:marTop w:val="0"/>
      <w:marBottom w:val="0"/>
      <w:divBdr>
        <w:top w:val="none" w:sz="0" w:space="0" w:color="auto"/>
        <w:left w:val="none" w:sz="0" w:space="0" w:color="auto"/>
        <w:bottom w:val="none" w:sz="0" w:space="0" w:color="auto"/>
        <w:right w:val="none" w:sz="0" w:space="0" w:color="auto"/>
      </w:divBdr>
    </w:div>
    <w:div w:id="1989168038">
      <w:bodyDiv w:val="1"/>
      <w:marLeft w:val="0"/>
      <w:marRight w:val="0"/>
      <w:marTop w:val="0"/>
      <w:marBottom w:val="0"/>
      <w:divBdr>
        <w:top w:val="none" w:sz="0" w:space="0" w:color="auto"/>
        <w:left w:val="none" w:sz="0" w:space="0" w:color="auto"/>
        <w:bottom w:val="none" w:sz="0" w:space="0" w:color="auto"/>
        <w:right w:val="none" w:sz="0" w:space="0" w:color="auto"/>
      </w:divBdr>
    </w:div>
    <w:div w:id="2079399332">
      <w:bodyDiv w:val="1"/>
      <w:marLeft w:val="0"/>
      <w:marRight w:val="0"/>
      <w:marTop w:val="0"/>
      <w:marBottom w:val="0"/>
      <w:divBdr>
        <w:top w:val="none" w:sz="0" w:space="0" w:color="auto"/>
        <w:left w:val="none" w:sz="0" w:space="0" w:color="auto"/>
        <w:bottom w:val="none" w:sz="0" w:space="0" w:color="auto"/>
        <w:right w:val="none" w:sz="0" w:space="0" w:color="auto"/>
      </w:divBdr>
    </w:div>
    <w:div w:id="2091585533">
      <w:bodyDiv w:val="1"/>
      <w:marLeft w:val="0"/>
      <w:marRight w:val="0"/>
      <w:marTop w:val="0"/>
      <w:marBottom w:val="0"/>
      <w:divBdr>
        <w:top w:val="none" w:sz="0" w:space="0" w:color="auto"/>
        <w:left w:val="none" w:sz="0" w:space="0" w:color="auto"/>
        <w:bottom w:val="none" w:sz="0" w:space="0" w:color="auto"/>
        <w:right w:val="none" w:sz="0" w:space="0" w:color="auto"/>
      </w:divBdr>
    </w:div>
    <w:div w:id="2091926751">
      <w:bodyDiv w:val="1"/>
      <w:marLeft w:val="0"/>
      <w:marRight w:val="0"/>
      <w:marTop w:val="0"/>
      <w:marBottom w:val="0"/>
      <w:divBdr>
        <w:top w:val="none" w:sz="0" w:space="0" w:color="auto"/>
        <w:left w:val="none" w:sz="0" w:space="0" w:color="auto"/>
        <w:bottom w:val="none" w:sz="0" w:space="0" w:color="auto"/>
        <w:right w:val="none" w:sz="0" w:space="0" w:color="auto"/>
      </w:divBdr>
    </w:div>
    <w:div w:id="2114474340">
      <w:bodyDiv w:val="1"/>
      <w:marLeft w:val="0"/>
      <w:marRight w:val="0"/>
      <w:marTop w:val="0"/>
      <w:marBottom w:val="0"/>
      <w:divBdr>
        <w:top w:val="none" w:sz="0" w:space="0" w:color="auto"/>
        <w:left w:val="none" w:sz="0" w:space="0" w:color="auto"/>
        <w:bottom w:val="none" w:sz="0" w:space="0" w:color="auto"/>
        <w:right w:val="none" w:sz="0" w:space="0" w:color="auto"/>
      </w:divBdr>
    </w:div>
    <w:div w:id="2124297607">
      <w:bodyDiv w:val="1"/>
      <w:marLeft w:val="0"/>
      <w:marRight w:val="0"/>
      <w:marTop w:val="0"/>
      <w:marBottom w:val="0"/>
      <w:divBdr>
        <w:top w:val="none" w:sz="0" w:space="0" w:color="auto"/>
        <w:left w:val="none" w:sz="0" w:space="0" w:color="auto"/>
        <w:bottom w:val="none" w:sz="0" w:space="0" w:color="auto"/>
        <w:right w:val="none" w:sz="0" w:space="0" w:color="auto"/>
      </w:divBdr>
    </w:div>
    <w:div w:id="213883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2zeroemission.eu/who-we-are/egviafor2zero/" TargetMode="External"/><Relationship Id="rId21" Type="http://schemas.openxmlformats.org/officeDocument/2006/relationships/hyperlink" Target="https://www.aspire2050.eu/" TargetMode="External"/><Relationship Id="rId42" Type="http://schemas.openxmlformats.org/officeDocument/2006/relationships/hyperlink" Target="https://jpi-urbaneurope.eu/driving-urban-transitions-to-a-sustainable-future-dut/" TargetMode="External"/><Relationship Id="rId47" Type="http://schemas.openxmlformats.org/officeDocument/2006/relationships/hyperlink" Target="https://www.horizontevropa.cz/cs/mohlo-by-vas-zajimat/pravni-financni-aspekty/yiifnews/1257/probehlo-jubilejni-30.-setkani-pracovni-skupiny..." TargetMode="External"/><Relationship Id="rId63" Type="http://schemas.openxmlformats.org/officeDocument/2006/relationships/hyperlink" Target="https://www.tc.cz/cs/publikace/periodika/seznam-periodik/echo" TargetMode="External"/><Relationship Id="rId68" Type="http://schemas.openxmlformats.org/officeDocument/2006/relationships/hyperlink" Target="http://ec.europa.eu/research/evaluations/pdf/archive/fp7_monitoring_%20reports/7th_fp7_monitoring_report.pdf" TargetMode="External"/><Relationship Id="rId84" Type="http://schemas.openxmlformats.org/officeDocument/2006/relationships/image" Target="media/image8.gif"/><Relationship Id="rId89" Type="http://schemas.openxmlformats.org/officeDocument/2006/relationships/fontTable" Target="fontTable.xml"/><Relationship Id="rId16" Type="http://schemas.openxmlformats.org/officeDocument/2006/relationships/hyperlink" Target="https://data.europa.eu/doi/10.2777/144363" TargetMode="External"/><Relationship Id="rId11" Type="http://schemas.openxmlformats.org/officeDocument/2006/relationships/header" Target="header1.xml"/><Relationship Id="rId32" Type="http://schemas.openxmlformats.org/officeDocument/2006/relationships/hyperlink" Target="https://www.kdt-ju.europa.eu/news/key-digital-technologies-joint-undertaking-starts-end-november" TargetMode="External"/><Relationship Id="rId37" Type="http://schemas.openxmlformats.org/officeDocument/2006/relationships/hyperlink" Target="https://european-union.europa.eu/index_en" TargetMode="External"/><Relationship Id="rId53" Type="http://schemas.openxmlformats.org/officeDocument/2006/relationships/hyperlink" Target="https://www.horizontevropa.cz/cs/struktura-programu-he/excelentni-veda/evropska-rada-pro-vyzkum/expertni-skupina-erc/informace" TargetMode="External"/><Relationship Id="rId58" Type="http://schemas.openxmlformats.org/officeDocument/2006/relationships/hyperlink" Target="https://www.tc.cz/cs/publikace/periodika/seznam%20periodik/echo?FfPeriodicalPublicationItem_page=3" TargetMode="External"/><Relationship Id="rId74" Type="http://schemas.openxmlformats.org/officeDocument/2006/relationships/hyperlink" Target="http://scholar.google.com/scholar?hl=en&amp;q=%282015%29.+Effects+of+participation+in+EU+framework+programmes+for+research+and+technological+development+%E2%80%93+for+researchers%2C+institutions+and+private+companies+in+Denmark.+Research+and+Innovation.+Analysis+and+Evaluation%2C+3.+94+pp." TargetMode="External"/><Relationship Id="rId79" Type="http://schemas.openxmlformats.org/officeDocument/2006/relationships/hyperlink" Target="https://ec.europa.eu/info/sites/default/files/research_and_innovation/strategy_on_research_and_innovation/documents/c_2022_4747_1_en_annex.pdf" TargetMode="External"/><Relationship Id="rId5" Type="http://schemas.openxmlformats.org/officeDocument/2006/relationships/numbering" Target="numbering.xml"/><Relationship Id="rId90" Type="http://schemas.openxmlformats.org/officeDocument/2006/relationships/theme" Target="theme/theme1.xml"/><Relationship Id="rId14" Type="http://schemas.openxmlformats.org/officeDocument/2006/relationships/footer" Target="footer2.xml"/><Relationship Id="rId22" Type="http://schemas.openxmlformats.org/officeDocument/2006/relationships/hyperlink" Target="https://www.photonics21.org/" TargetMode="External"/><Relationship Id="rId27" Type="http://schemas.openxmlformats.org/officeDocument/2006/relationships/hyperlink" Target="https://www.waterborne.eu/" TargetMode="External"/><Relationship Id="rId30" Type="http://schemas.openxmlformats.org/officeDocument/2006/relationships/hyperlink" Target="https://www.imi.europa.eu/about-imi/innovative-health-initiative" TargetMode="External"/><Relationship Id="rId35" Type="http://schemas.openxmlformats.org/officeDocument/2006/relationships/hyperlink" Target="https://rail-research.europa.eu/" TargetMode="External"/><Relationship Id="rId43" Type="http://schemas.openxmlformats.org/officeDocument/2006/relationships/hyperlink" Target="https://ec.europa.eu/info/funding-tenders/opportunities/portal/screen/home" TargetMode="External"/><Relationship Id="rId48" Type="http://schemas.openxmlformats.org/officeDocument/2006/relationships/hyperlink" Target="https://eur-lex.europa.eu/legal-content/CS/TXT/HTML/?uri=CELEX:52022DC0389&amp;from=EN" TargetMode="External"/><Relationship Id="rId56" Type="http://schemas.openxmlformats.org/officeDocument/2006/relationships/hyperlink" Target="https://www.europarl.europa.eu/thinktank/en/document/EPRS_STU(2018)614537" TargetMode="External"/><Relationship Id="rId64" Type="http://schemas.openxmlformats.org/officeDocument/2006/relationships/hyperlink" Target="https://www.tc.cz/cs/publikace/periodika/seznam-periodik/echo" TargetMode="External"/><Relationship Id="rId69" Type="http://schemas.openxmlformats.org/officeDocument/2006/relationships/hyperlink" Target="https://data.europa.eu/doi/10.2777/220768" TargetMode="External"/><Relationship Id="rId77" Type="http://schemas.openxmlformats.org/officeDocument/2006/relationships/hyperlink" Target="https://www.tacr.cz/o-nas/interni-projekty-ta-cr/projekt-ta-cr-synergie/" TargetMode="External"/><Relationship Id="rId8" Type="http://schemas.openxmlformats.org/officeDocument/2006/relationships/webSettings" Target="webSettings.xml"/><Relationship Id="rId51" Type="http://schemas.openxmlformats.org/officeDocument/2006/relationships/hyperlink" Target="https://www.horizontevropa.cz/files_public/elfinder/986/nabidka%20pro%20koordinatory.pdf" TargetMode="External"/><Relationship Id="rId72" Type="http://schemas.openxmlformats.org/officeDocument/2006/relationships/hyperlink" Target="https://ec.europa.eu/research/evaluations/pdf/fp7_fi%20nal_evaluation_%20expert_group_report.pdf" TargetMode="External"/><Relationship Id="rId80" Type="http://schemas.openxmlformats.org/officeDocument/2006/relationships/image" Target="media/image4.gif"/><Relationship Id="rId85" Type="http://schemas.openxmlformats.org/officeDocument/2006/relationships/image" Target="media/image9.emf"/><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image" Target="media/image3.png"/><Relationship Id="rId25" Type="http://schemas.openxmlformats.org/officeDocument/2006/relationships/hyperlink" Target="https://bepassociation.eu/about/bepa/" TargetMode="External"/><Relationship Id="rId33" Type="http://schemas.openxmlformats.org/officeDocument/2006/relationships/hyperlink" Target="https://5g-ppp.eu/smart-networks-and-services-joint-undertaking-sns-ju-start/" TargetMode="External"/><Relationship Id="rId38" Type="http://schemas.openxmlformats.org/officeDocument/2006/relationships/hyperlink" Target="https://www.clean-hydrogen.europa.eu/index_en" TargetMode="External"/><Relationship Id="rId46" Type="http://schemas.openxmlformats.org/officeDocument/2006/relationships/hyperlink" Target="http://ninet.cz/" TargetMode="External"/><Relationship Id="rId59" Type="http://schemas.openxmlformats.org/officeDocument/2006/relationships/hyperlink" Target="https://www.vyzkum.cz/FrontClanek.aspx?idsekce=913172" TargetMode="External"/><Relationship Id="rId67" Type="http://schemas.openxmlformats.org/officeDocument/2006/relationships/hyperlink" Target="https://www.tc.cz/cs/publikace/periodika/seznam-periodik/echo/prosinec-2011?FfPeriodicalPublicationItem_page=4" TargetMode="External"/><Relationship Id="rId20" Type="http://schemas.openxmlformats.org/officeDocument/2006/relationships/hyperlink" Target="https://www.effra.eu/" TargetMode="External"/><Relationship Id="rId41" Type="http://schemas.openxmlformats.org/officeDocument/2006/relationships/hyperlink" Target="https://www.cetpartnership.eu/" TargetMode="External"/><Relationship Id="rId54" Type="http://schemas.openxmlformats.org/officeDocument/2006/relationships/hyperlink" Target="https://op.europa.eu/en/publication-detail/-/publication/7e74df87-ebb0-11e8-b690-01aa75ed71a1/language-en/format-PDF/source-80689114" TargetMode="External"/><Relationship Id="rId62" Type="http://schemas.openxmlformats.org/officeDocument/2006/relationships/hyperlink" Target="https://www.horizontevropa.cz/cs/mohlo-by-vas-zajimat/hodnoceni-ramcovych-programu/narodni-studie-monitoring/informace/yiifnews/1011/cr-ma-radu-vicenasobnych-drzitelu-erc..." TargetMode="External"/><Relationship Id="rId70" Type="http://schemas.openxmlformats.org/officeDocument/2006/relationships/hyperlink" Target="https://data.europa.eu/doi/10.2777/42382" TargetMode="External"/><Relationship Id="rId75" Type="http://schemas.openxmlformats.org/officeDocument/2006/relationships/hyperlink" Target="https://www.europarl.europa.eu/RegData/etudes/STUD/2018/614537/EPRS_STU(2018)614537_EN.pdf" TargetMode="External"/><Relationship Id="rId83" Type="http://schemas.openxmlformats.org/officeDocument/2006/relationships/image" Target="media/image7.gif"/><Relationship Id="rId88" Type="http://schemas.openxmlformats.org/officeDocument/2006/relationships/image" Target="media/image12.gif"/><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2.png"/><Relationship Id="rId23" Type="http://schemas.openxmlformats.org/officeDocument/2006/relationships/hyperlink" Target="https://ec.europa.eu/info/research-and-innovation/funding/funding-opportunities/funding-programmes-and-open-calls/research-fund-coal-and-steel-rfcs_en" TargetMode="External"/><Relationship Id="rId28" Type="http://schemas.openxmlformats.org/officeDocument/2006/relationships/hyperlink" Target="https://eosc-portal.eu/" TargetMode="External"/><Relationship Id="rId36" Type="http://schemas.openxmlformats.org/officeDocument/2006/relationships/hyperlink" Target="https://www.sesarju.eu/" TargetMode="External"/><Relationship Id="rId49" Type="http://schemas.openxmlformats.org/officeDocument/2006/relationships/hyperlink" Target="http://www.horizontevropa.cz" TargetMode="External"/><Relationship Id="rId57" Type="http://schemas.openxmlformats.org/officeDocument/2006/relationships/hyperlink" Target="https://www.tc.cz/cs/publikace/periodika/seznam-periodik/echo/echo-3-4-2021" TargetMode="External"/><Relationship Id="rId10" Type="http://schemas.openxmlformats.org/officeDocument/2006/relationships/endnotes" Target="endnotes.xml"/><Relationship Id="rId31" Type="http://schemas.openxmlformats.org/officeDocument/2006/relationships/hyperlink" Target="https://eurohpc-ju.europa.eu/index_en" TargetMode="External"/><Relationship Id="rId44" Type="http://schemas.openxmlformats.org/officeDocument/2006/relationships/hyperlink" Target="https://intellectual-property-helpdesk.ec.europa.eu/regional-helpdesks/european-ip-helpdesk_en" TargetMode="External"/><Relationship Id="rId52" Type="http://schemas.openxmlformats.org/officeDocument/2006/relationships/hyperlink" Target="https://www.tc.cz/files/documents/ERC-granty/Strategicka-doporuceni-pro-podporu-zadatelu-o-granty-ERC_1.pdf" TargetMode="External"/><Relationship Id="rId60" Type="http://schemas.openxmlformats.org/officeDocument/2006/relationships/hyperlink" Target="https://www.peter-fisch.eu/european-research-policy/think-pieces/1-2016-distributioneffects-h2020/" TargetMode="External"/><Relationship Id="rId65" Type="http://schemas.openxmlformats.org/officeDocument/2006/relationships/hyperlink" Target="https://www.tc.cz/cs/publikace/periodika/seznam-periodik/echo/vydani-cz?FfPeriodicalPublicationItem_page=4" TargetMode="External"/><Relationship Id="rId73" Type="http://schemas.openxmlformats.org/officeDocument/2006/relationships/hyperlink" Target="https://nifu.brage.unit.no/nifu-xmlui/handle/11250/279816" TargetMode="External"/><Relationship Id="rId78" Type="http://schemas.openxmlformats.org/officeDocument/2006/relationships/hyperlink" Target="https://www.tacr.cz/projekt-ta-cr-synergie-2/" TargetMode="External"/><Relationship Id="rId81" Type="http://schemas.openxmlformats.org/officeDocument/2006/relationships/image" Target="media/image5.gif"/><Relationship Id="rId86" Type="http://schemas.openxmlformats.org/officeDocument/2006/relationships/image" Target="media/image10.gif"/><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yperlink" Target="https://data.europa.eu/doi/10.2777/144363" TargetMode="External"/><Relationship Id="rId39" Type="http://schemas.openxmlformats.org/officeDocument/2006/relationships/hyperlink" Target="https://www.cbe.europa.eu/" TargetMode="External"/><Relationship Id="rId34" Type="http://schemas.openxmlformats.org/officeDocument/2006/relationships/hyperlink" Target="https://www.euramet.org/research-innovation/metrology-partnership/?L=0" TargetMode="External"/><Relationship Id="rId50" Type="http://schemas.openxmlformats.org/officeDocument/2006/relationships/hyperlink" Target="https://www.horizontevropa.cz/files_public/elfinder/431/seminare%20na%20poptavku%20a%20staze.pdf" TargetMode="External"/><Relationship Id="rId55" Type="http://schemas.openxmlformats.org/officeDocument/2006/relationships/hyperlink" Target="http://www.bmbf.de/pubRD/MOEZ_summary_final.pdf" TargetMode="External"/><Relationship Id="rId76" Type="http://schemas.openxmlformats.org/officeDocument/2006/relationships/hyperlink" Target="https://si-per.eu/siper-wAssets/repository/2009-330.pdf" TargetMode="External"/><Relationship Id="rId7" Type="http://schemas.openxmlformats.org/officeDocument/2006/relationships/settings" Target="settings.xml"/><Relationship Id="rId71" Type="http://schemas.openxmlformats.org/officeDocument/2006/relationships/hyperlink" Target="https://data.europa.eu/doi/10.2777/065997" TargetMode="External"/><Relationship Id="rId2" Type="http://schemas.openxmlformats.org/officeDocument/2006/relationships/customXml" Target="../customXml/item2.xml"/><Relationship Id="rId29" Type="http://schemas.openxmlformats.org/officeDocument/2006/relationships/hyperlink" Target="http://www.edctp.org/about-us/the-establishment-of-edctp/" TargetMode="External"/><Relationship Id="rId24" Type="http://schemas.openxmlformats.org/officeDocument/2006/relationships/hyperlink" Target="https://www.ectp.org/" TargetMode="External"/><Relationship Id="rId40" Type="http://schemas.openxmlformats.org/officeDocument/2006/relationships/hyperlink" Target="http://www.waterjpi.eu/" TargetMode="External"/><Relationship Id="rId45" Type="http://schemas.openxmlformats.org/officeDocument/2006/relationships/hyperlink" Target="https://ec.europa.eu/research/participants/data/ref/h2020/other/gm/audit/h2020-iap_en.pdf" TargetMode="External"/><Relationship Id="rId66" Type="http://schemas.openxmlformats.org/officeDocument/2006/relationships/hyperlink" Target="https://www.tc.cz/cs/publikace/periodika/seznam-periodik/echo?FfPeriodicalPublicationItem_page=2" TargetMode="External"/><Relationship Id="rId87" Type="http://schemas.openxmlformats.org/officeDocument/2006/relationships/image" Target="media/image11.gif"/><Relationship Id="rId61" Type="http://schemas.openxmlformats.org/officeDocument/2006/relationships/hyperlink" Target="https://www.tc.cz/cs/publikace/publikace/seznam-publikaci/program-horizont-2020-pribehy-a-vysledky-stopy-cr-v-programu?type=1" TargetMode="External"/><Relationship Id="rId82" Type="http://schemas.openxmlformats.org/officeDocument/2006/relationships/image" Target="media/image6.gif"/><Relationship Id="rId19" Type="http://schemas.openxmlformats.org/officeDocument/2006/relationships/hyperlink" Target="https://adr-association.eu/"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op.europa.eu/en/publication-detail/-/publication/ec662cff-031c-11ed-acce-01aa75ed71a1/language-en" TargetMode="External"/><Relationship Id="rId13" Type="http://schemas.openxmlformats.org/officeDocument/2006/relationships/hyperlink" Target="https://ec.europa.eu/competition-policy/public-consultations/2019-gber_en" TargetMode="External"/><Relationship Id="rId18" Type="http://schemas.openxmlformats.org/officeDocument/2006/relationships/hyperlink" Target="https://synergies2022.eu/wp-content/uploads/2022/07/Prague-Declaration-on-Synergies_FINAL.pdf" TargetMode="External"/><Relationship Id="rId26" Type="http://schemas.openxmlformats.org/officeDocument/2006/relationships/hyperlink" Target="https://www.czarma.cz/" TargetMode="External"/><Relationship Id="rId3" Type="http://schemas.openxmlformats.org/officeDocument/2006/relationships/hyperlink" Target="https://eupro.vscht.cz/pradip" TargetMode="External"/><Relationship Id="rId21" Type="http://schemas.openxmlformats.org/officeDocument/2006/relationships/hyperlink" Target="https://dotaceeu.cz/getattachment/Evropske-fondy-v-CR/KOHEZNI-POLITIKA-PO-ROCE-2020/Priprava-obdobi-2021-2027/s/Verejna-konzultace-k-prvnimu-navrhu-Dohody-o-partn/Dohoda_o_partnerstvi_2021-2027_schvaleno_EK_kveten_2022.pdf.aspx?lang=cs-CZ" TargetMode="External"/><Relationship Id="rId7" Type="http://schemas.openxmlformats.org/officeDocument/2006/relationships/hyperlink" Target="https://www.tc.cz/storage/a159cd0668ae4ff3fc94085250bd2be9113e4086" TargetMode="External"/><Relationship Id="rId12" Type="http://schemas.openxmlformats.org/officeDocument/2006/relationships/hyperlink" Target="https://ec.europa.eu/regional_policy/sources/docgener/guides/synergy/synergies_en.pdf" TargetMode="External"/><Relationship Id="rId17" Type="http://schemas.openxmlformats.org/officeDocument/2006/relationships/hyperlink" Target="https://synergies2022.eu/" TargetMode="External"/><Relationship Id="rId25" Type="http://schemas.openxmlformats.org/officeDocument/2006/relationships/hyperlink" Target="https://www.horizontevropa.cz/cs/mohlo-by-vas-zajimat/pravni-financni-aspekty/yiifnews/1181/lump-sum-v-horizontu-evropa-%E2%80%93" TargetMode="External"/><Relationship Id="rId2" Type="http://schemas.openxmlformats.org/officeDocument/2006/relationships/hyperlink" Target="https://www.euraxess.cz/cs" TargetMode="External"/><Relationship Id="rId16" Type="http://schemas.openxmlformats.org/officeDocument/2006/relationships/hyperlink" Target="https://www.dotaceeu.cz/cs/evropske-fondy-v-cr/kohezni-politika-po-roce-2020/priprava-obdobi-2021-2027/s" TargetMode="External"/><Relationship Id="rId20" Type="http://schemas.openxmlformats.org/officeDocument/2006/relationships/hyperlink" Target="https://www.jic.cz/sme-instrument-brno/" TargetMode="External"/><Relationship Id="rId1" Type="http://schemas.openxmlformats.org/officeDocument/2006/relationships/hyperlink" Target="https://www.horizontevropa.cz/cs/struktura-programu-he/excelentni-veda/akce-marie-sklodowska-curie/informace?storiesType=0" TargetMode="External"/><Relationship Id="rId6" Type="http://schemas.openxmlformats.org/officeDocument/2006/relationships/hyperlink" Target="https://op.europa.eu/en/publication-detail/-/publication/98885a02-c849-11e7-9b01-01aa75ed71a1/language-en" TargetMode="External"/><Relationship Id="rId11" Type="http://schemas.openxmlformats.org/officeDocument/2006/relationships/hyperlink" Target="https://op.europa.eu/en/publication-detail/-/publication/ec662cff-031c-11ed-acce-01aa75ed71a1/language-en" TargetMode="External"/><Relationship Id="rId24" Type="http://schemas.openxmlformats.org/officeDocument/2006/relationships/hyperlink" Target="https://www.mpo.cz/cz/podnikani/dotace-a-podpora-podnikani/programy-eu-na-podporu-msp/horizon/clean-sky-2--232905/" TargetMode="External"/><Relationship Id="rId5" Type="http://schemas.openxmlformats.org/officeDocument/2006/relationships/hyperlink" Target="https://research-and-innovation.ec.europa.eu/strategy/strategy-2020-2024/europe-world/international-cooperation_en" TargetMode="External"/><Relationship Id="rId15" Type="http://schemas.openxmlformats.org/officeDocument/2006/relationships/hyperlink" Target="https://www.dotaceeu.cz/getattachment/Evropske-fondy-v-CR/KOHEZNI-POLITIKA-PO-ROCE-2020/Priprava-obdobi-2021-2027/s/Verejna-konzultace-k-prvnimu-navrhu-Dohody-o-partn/Priloha_1_Dohody_o_Partnerstvi_2021-2027_schvaleno_ek_kveten_2022-(1).pdf.aspx?lang=cs-CZ" TargetMode="External"/><Relationship Id="rId23" Type="http://schemas.openxmlformats.org/officeDocument/2006/relationships/hyperlink" Target="https://www.tacr.cz/wp-content/uploads/documents/2021/07/27/1627386367_Koncept%20ERA-NET%20COFUND%C5%AE.pdf" TargetMode="External"/><Relationship Id="rId10" Type="http://schemas.openxmlformats.org/officeDocument/2006/relationships/hyperlink" Target="https://op.europa.eu/en/publication-detail/-/publication/ec662cff-031c-11ed-acce-01aa75ed71a1/language-en" TargetMode="External"/><Relationship Id="rId19" Type="http://schemas.openxmlformats.org/officeDocument/2006/relationships/hyperlink" Target="https://ec.europa.eu/info/sites/default/files/research_and_innovation/strategy_on_research_and_innovation/documents/c_2022_4747_1_en_annex.pdf" TargetMode="External"/><Relationship Id="rId4" Type="http://schemas.openxmlformats.org/officeDocument/2006/relationships/hyperlink" Target="https://www.dfg.de/en/research_funding/principles_dfg_funding/equal_opportunities/measures/compensation_maternity_leave/index.html" TargetMode="External"/><Relationship Id="rId9" Type="http://schemas.openxmlformats.org/officeDocument/2006/relationships/hyperlink" Target="https://op.europa.eu/en/publication-detail/-/publication/ec662cff-031c-11ed-acce-01aa75ed71a1/language-en" TargetMode="External"/><Relationship Id="rId14" Type="http://schemas.openxmlformats.org/officeDocument/2006/relationships/hyperlink" Target="https://ec.europa.eu/competition-policy/public-consultations/2020-gber_en" TargetMode="External"/><Relationship Id="rId22" Type="http://schemas.openxmlformats.org/officeDocument/2006/relationships/hyperlink" Target="https://www.mpo.cz/assets/cz/podnikani/ris3-strategie/dokumenty/2022/1/RIS3-Strategie-_A_RIS3-Strategie_.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2019_2\TA&#268;R\Beta\Anal&#253;za_re&#353;er&#353;e\&#353;ablona\zprava_sablona_vs1.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2B280B22F3A8948A024D80558D6AC99" ma:contentTypeVersion="2" ma:contentTypeDescription="Vytvoří nový dokument" ma:contentTypeScope="" ma:versionID="a48c14c3c073f28d0f5d5217badfb198">
  <xsd:schema xmlns:xsd="http://www.w3.org/2001/XMLSchema" xmlns:xs="http://www.w3.org/2001/XMLSchema" xmlns:p="http://schemas.microsoft.com/office/2006/metadata/properties" xmlns:ns2="924e7178-47d5-43ff-a546-87141b7270c0" targetNamespace="http://schemas.microsoft.com/office/2006/metadata/properties" ma:root="true" ma:fieldsID="f086c0df2266e03b569aaf34a8f25d34" ns2:_="">
    <xsd:import namespace="924e7178-47d5-43ff-a546-87141b7270c0"/>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4e7178-47d5-43ff-a546-87141b7270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FEEAC-DCE3-4F59-9BEB-5463140B96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4e7178-47d5-43ff-a546-87141b7270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10E29B8-7A24-48D9-A990-8BE504E553F6}">
  <ds:schemaRefs>
    <ds:schemaRef ds:uri="http://schemas.microsoft.com/sharepoint/v3/contenttype/forms"/>
  </ds:schemaRefs>
</ds:datastoreItem>
</file>

<file path=customXml/itemProps3.xml><?xml version="1.0" encoding="utf-8"?>
<ds:datastoreItem xmlns:ds="http://schemas.openxmlformats.org/officeDocument/2006/customXml" ds:itemID="{1F817779-AAA1-4926-9625-9986A52EA56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9D07BE8-3395-44C0-AF72-655B8B142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zprava_sablona_vs1.dotx</Template>
  <TotalTime>0</TotalTime>
  <Pages>87</Pages>
  <Words>30184</Words>
  <Characters>178090</Characters>
  <Application>Microsoft Office Word</Application>
  <DocSecurity>0</DocSecurity>
  <Lines>1484</Lines>
  <Paragraphs>415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207859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Kucera Zdenek TC 2</dc:creator>
  <cp:keywords/>
  <cp:lastModifiedBy>Brasová Alena</cp:lastModifiedBy>
  <cp:revision>2</cp:revision>
  <cp:lastPrinted>2022-09-20T10:34:00Z</cp:lastPrinted>
  <dcterms:created xsi:type="dcterms:W3CDTF">2022-10-07T07:00:00Z</dcterms:created>
  <dcterms:modified xsi:type="dcterms:W3CDTF">2022-10-07T07:00:00Z</dcterms:modified>
  <cp:contentStatus>Konečný</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0x010100D2B280B22F3A8948A024D80558D6AC99</vt:lpwstr>
  </property>
  <property fmtid="{D5CDD505-2E9C-101B-9397-08002B2CF9AE}" pid="3" name="_MarkAsFinal">
    <vt:bool>true</vt:bool>
  </property>
</Properties>
</file>