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0FE" w:rsidRDefault="00A66A08">
      <w:pPr>
        <w:spacing w:after="600"/>
        <w:jc w:val="right"/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II.</w:t>
      </w:r>
    </w:p>
    <w:p w:rsidR="003050FE" w:rsidRDefault="00A66A08">
      <w:pPr>
        <w:spacing w:after="60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PŘEDKLÁDACÍ ZPRÁVA</w:t>
      </w:r>
    </w:p>
    <w:p w:rsidR="003050FE" w:rsidRPr="008076C5" w:rsidRDefault="00A66A08" w:rsidP="008076C5">
      <w:pPr>
        <w:spacing w:after="120" w:line="360" w:lineRule="auto"/>
        <w:jc w:val="both"/>
        <w:rPr>
          <w:szCs w:val="22"/>
        </w:rPr>
      </w:pPr>
      <w:bookmarkStart w:id="0" w:name="_Hlk95314456"/>
      <w:r w:rsidRPr="008076C5">
        <w:rPr>
          <w:szCs w:val="22"/>
        </w:rPr>
        <w:t xml:space="preserve">Vláda svým usnesením ze dne 16. března 2022 č. 198 vzala na vědomí podobu Operačního programu Spravedlivá transformace (OPST). Jelikož probíhal dialog s Evropskou komisí a proces posouzení vlivu koncepce na životní prostředí, </w:t>
      </w:r>
      <w:r w:rsidRPr="008076C5">
        <w:rPr>
          <w:szCs w:val="22"/>
        </w:rPr>
        <w:t xml:space="preserve">schválila vláda stejným usnesením také mandát pro ministryni životního prostředí k dalšímu jednání s Evropskou komisí a dopracování Programu dle vyjednávání, aby byl celý proces přípravy programového dokumentu urychlen. </w:t>
      </w:r>
    </w:p>
    <w:p w:rsidR="003050FE" w:rsidRPr="008076C5" w:rsidRDefault="00A66A08" w:rsidP="008076C5">
      <w:pPr>
        <w:spacing w:after="120" w:line="360" w:lineRule="auto"/>
        <w:jc w:val="both"/>
        <w:rPr>
          <w:szCs w:val="22"/>
        </w:rPr>
      </w:pPr>
      <w:r w:rsidRPr="008076C5">
        <w:rPr>
          <w:szCs w:val="22"/>
        </w:rPr>
        <w:t>Evropská komise dne 26. září 2022 s</w:t>
      </w:r>
      <w:r w:rsidRPr="008076C5">
        <w:rPr>
          <w:szCs w:val="22"/>
        </w:rPr>
        <w:t>chválila Operační program Spravedlivá transformace a Plán spravedlivé územní transformace (PSÚT), vypracovaného Ministerstvem pro místní rozvoj, který je jeho nedílnou součástí. Byl tak uzavřen proces přípravy probíhající od podzimu roku 2021, kdy byl zahá</w:t>
      </w:r>
      <w:r w:rsidRPr="008076C5">
        <w:rPr>
          <w:szCs w:val="22"/>
        </w:rPr>
        <w:t>jen neformální dialog k OPST a PSÚT. Nyní jsou oba dokumenty vládě předkládány pro informaci.</w:t>
      </w:r>
      <w:bookmarkEnd w:id="0"/>
    </w:p>
    <w:p w:rsidR="003050FE" w:rsidRPr="008076C5" w:rsidRDefault="00A66A08" w:rsidP="008076C5">
      <w:pPr>
        <w:spacing w:after="120" w:line="360" w:lineRule="auto"/>
        <w:jc w:val="both"/>
        <w:rPr>
          <w:szCs w:val="22"/>
        </w:rPr>
      </w:pPr>
      <w:r w:rsidRPr="008076C5">
        <w:rPr>
          <w:szCs w:val="22"/>
        </w:rPr>
        <w:t>Cílem podpory OPST je umožnit regionům a lidem řešit sociální, ekonomické a environmentální dopady transformace, která je zaměřena na dosažení cílů Evropské unie.</w:t>
      </w:r>
      <w:r w:rsidRPr="008076C5">
        <w:rPr>
          <w:szCs w:val="22"/>
        </w:rPr>
        <w:t xml:space="preserve"> Proces nebude mít rovnoměrný dopad na všechny české regiony. Program se proto zaměřuje jen na regiony, které jsou nebo budou nejsilněji zasaženy důsledky transformačního procesu z důvodu jejich závislosti na fosilních palivech nebo průmyslových procesech </w:t>
      </w:r>
      <w:r w:rsidRPr="008076C5">
        <w:rPr>
          <w:szCs w:val="22"/>
        </w:rPr>
        <w:t xml:space="preserve">s vysokými emisemi skleníkových </w:t>
      </w:r>
      <w:proofErr w:type="gramStart"/>
      <w:r w:rsidRPr="008076C5">
        <w:rPr>
          <w:szCs w:val="22"/>
        </w:rPr>
        <w:t>plynů - Karlovarský</w:t>
      </w:r>
      <w:proofErr w:type="gramEnd"/>
      <w:r w:rsidRPr="008076C5">
        <w:rPr>
          <w:szCs w:val="22"/>
        </w:rPr>
        <w:t xml:space="preserve">, Ústecký a Moravskoslezský kraj. </w:t>
      </w:r>
    </w:p>
    <w:p w:rsidR="003050FE" w:rsidRPr="008076C5" w:rsidRDefault="00A66A08" w:rsidP="008076C5">
      <w:pPr>
        <w:spacing w:after="120" w:line="360" w:lineRule="auto"/>
        <w:jc w:val="both"/>
        <w:rPr>
          <w:rFonts w:cs="Arial"/>
          <w:szCs w:val="22"/>
        </w:rPr>
      </w:pPr>
      <w:r w:rsidRPr="008076C5">
        <w:rPr>
          <w:rFonts w:cs="Arial"/>
          <w:szCs w:val="22"/>
        </w:rPr>
        <w:t>Program bude podporovat zejména tyto oblasti: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podporu podnikatelského sektoru a přímou tvorbu nových pracovních míst;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nová řešení a podporu rozvoje výzkumu, vývoje a inov</w:t>
      </w:r>
      <w:r w:rsidRPr="008076C5">
        <w:rPr>
          <w:rFonts w:ascii="Arial" w:hAnsi="Arial"/>
          <w:sz w:val="22"/>
          <w:szCs w:val="22"/>
        </w:rPr>
        <w:t>ací;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rozvoj nových obnovitelných zdrojů a souvisejících technologií, které umožní přechod ke klimaticky neutrální ekonomice;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rozvoj digitálních služeb a řešení ve veřejném i soukromém sektoru;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znovuvyužití území po těžbě uhlí a souvisejícího průmyslu včetn</w:t>
      </w:r>
      <w:r w:rsidRPr="008076C5">
        <w:rPr>
          <w:rFonts w:ascii="Arial" w:hAnsi="Arial"/>
          <w:sz w:val="22"/>
          <w:szCs w:val="22"/>
        </w:rPr>
        <w:t>ě energetiky a teplárenství;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přechod k oběhovému hospodářství, efektivní využití zdrojů, předcházení vzniku odpadů a materiálové i jiné využití odpadů;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zachování zaměstnanosti v podnicích, které procházejí transformací v důsledku naplňování cílů Zelené doh</w:t>
      </w:r>
      <w:r w:rsidRPr="008076C5">
        <w:rPr>
          <w:rFonts w:ascii="Arial" w:hAnsi="Arial"/>
          <w:sz w:val="22"/>
          <w:szCs w:val="22"/>
        </w:rPr>
        <w:t>ody pro Evropu;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lastRenderedPageBreak/>
        <w:t>vzdělávací soustavu, a to konkrétně na podporu odborných učeben středních škol;</w:t>
      </w:r>
    </w:p>
    <w:p w:rsidR="003050FE" w:rsidRPr="008076C5" w:rsidRDefault="00A66A08" w:rsidP="008076C5">
      <w:pPr>
        <w:pStyle w:val="Odstavecseseznamem"/>
        <w:numPr>
          <w:ilvl w:val="0"/>
          <w:numId w:val="1"/>
        </w:numPr>
        <w:spacing w:line="360" w:lineRule="auto"/>
        <w:contextualSpacing w:val="0"/>
        <w:rPr>
          <w:rFonts w:ascii="Arial" w:hAnsi="Arial"/>
          <w:sz w:val="22"/>
          <w:szCs w:val="22"/>
        </w:rPr>
      </w:pPr>
      <w:r w:rsidRPr="008076C5">
        <w:rPr>
          <w:rFonts w:ascii="Arial" w:hAnsi="Arial"/>
          <w:sz w:val="22"/>
          <w:szCs w:val="22"/>
        </w:rPr>
        <w:t>infrastrukturu pro zájmové vzdělávání.</w:t>
      </w:r>
    </w:p>
    <w:p w:rsidR="003050FE" w:rsidRPr="008076C5" w:rsidRDefault="00A66A08" w:rsidP="008076C5">
      <w:pPr>
        <w:spacing w:after="120" w:line="360" w:lineRule="auto"/>
        <w:jc w:val="both"/>
        <w:rPr>
          <w:szCs w:val="22"/>
        </w:rPr>
      </w:pPr>
      <w:r w:rsidRPr="008076C5">
        <w:rPr>
          <w:szCs w:val="22"/>
        </w:rPr>
        <w:t>Kromě otevřených tematických výzev program počítá i s 34 projekty strategického významu. Tyto projekty jsou do Programu z</w:t>
      </w:r>
      <w:r w:rsidRPr="008076C5">
        <w:rPr>
          <w:szCs w:val="22"/>
        </w:rPr>
        <w:t xml:space="preserve">ačleněny na návrh Regionálních stálých konferencí v jednotlivých krajích a byly doporučeny na základě metodiky pro výběr strategických projektů. Tuto metodiku vydalo Ministerstvo pro místní rozvoj ve spolupráci s Ministerstvem životního prostředí a kraji. </w:t>
      </w:r>
      <w:r w:rsidRPr="008076C5">
        <w:rPr>
          <w:szCs w:val="22"/>
        </w:rPr>
        <w:t>Seznam projektů je uvedený v dodatku 3 programového dokumentu.</w:t>
      </w:r>
    </w:p>
    <w:p w:rsidR="003050FE" w:rsidRPr="008076C5" w:rsidRDefault="00A66A08" w:rsidP="008076C5">
      <w:pPr>
        <w:spacing w:after="120" w:line="360" w:lineRule="auto"/>
        <w:jc w:val="both"/>
        <w:rPr>
          <w:szCs w:val="22"/>
        </w:rPr>
      </w:pPr>
      <w:r w:rsidRPr="008076C5">
        <w:rPr>
          <w:szCs w:val="22"/>
        </w:rPr>
        <w:t>Byť materiál primárně necílí na odstranění genderových nerovností, řeší sociální nerovnosti související s ekonomickou transformací a při implementaci operačního programu bude zohledňován článek</w:t>
      </w:r>
      <w:r w:rsidRPr="008076C5">
        <w:rPr>
          <w:szCs w:val="22"/>
        </w:rPr>
        <w:t xml:space="preserve"> 9 odst. 2 Nařízení Evropského parlamentu a Rady (EU) 2021/1060 ze dne 24. června 2021, čímž materiál má potenciálně pozitivní dopad i ve vztahu k rovnosti žen a mužů.</w:t>
      </w:r>
    </w:p>
    <w:p w:rsidR="003050FE" w:rsidRPr="008076C5" w:rsidRDefault="00A66A08" w:rsidP="008076C5">
      <w:pPr>
        <w:spacing w:after="120" w:line="360" w:lineRule="auto"/>
        <w:jc w:val="both"/>
        <w:rPr>
          <w:szCs w:val="22"/>
        </w:rPr>
      </w:pPr>
      <w:r w:rsidRPr="008076C5">
        <w:rPr>
          <w:szCs w:val="22"/>
        </w:rPr>
        <w:t>OPST bude financován z Fondu pro spravedlivou transformaci (FST). Pravidla pro financová</w:t>
      </w:r>
      <w:r w:rsidRPr="008076C5">
        <w:rPr>
          <w:szCs w:val="22"/>
        </w:rPr>
        <w:t>ní vycházejí z tzv. obecného nařízení</w:t>
      </w:r>
      <w:r w:rsidRPr="008076C5">
        <w:rPr>
          <w:rStyle w:val="Ukotvenpoznmkypodarou"/>
          <w:szCs w:val="22"/>
        </w:rPr>
        <w:footnoteReference w:id="1"/>
      </w:r>
      <w:r w:rsidRPr="008076C5">
        <w:rPr>
          <w:szCs w:val="22"/>
        </w:rPr>
        <w:t xml:space="preserve"> a z nařízení pro FST</w:t>
      </w:r>
      <w:r w:rsidRPr="008076C5">
        <w:rPr>
          <w:rStyle w:val="Ukotvenpoznmkypodarou"/>
          <w:szCs w:val="22"/>
        </w:rPr>
        <w:footnoteReference w:id="2"/>
      </w:r>
      <w:r w:rsidRPr="008076C5">
        <w:rPr>
          <w:szCs w:val="22"/>
        </w:rPr>
        <w:t xml:space="preserve">. Poskytování prostředků proto podléhá stejným pravidlům jako ostatní programy zahrnuté pod Dohodu o partnerství. Celková alokace programu je 1,64 mld. eur. Rozdělení této alokace mezi jednotlivé </w:t>
      </w:r>
      <w:r w:rsidRPr="008076C5">
        <w:rPr>
          <w:szCs w:val="22"/>
        </w:rPr>
        <w:t>regiony schválila vláda svým usnesením č. 483 ze dne 24. května 2021.</w:t>
      </w:r>
      <w:bookmarkStart w:id="1" w:name="_GoBack"/>
      <w:bookmarkEnd w:id="1"/>
    </w:p>
    <w:sectPr w:rsidR="003050FE" w:rsidRPr="008076C5">
      <w:footerReference w:type="default" r:id="rId7"/>
      <w:pgSz w:w="11906" w:h="16838"/>
      <w:pgMar w:top="1417" w:right="1417" w:bottom="1417" w:left="1417" w:header="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A08" w:rsidRDefault="00A66A08">
      <w:r>
        <w:separator/>
      </w:r>
    </w:p>
  </w:endnote>
  <w:endnote w:type="continuationSeparator" w:id="0">
    <w:p w:rsidR="00A66A08" w:rsidRDefault="00A6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0FE" w:rsidRDefault="00A66A08">
    <w:pPr>
      <w:pStyle w:val="Podnadpis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 xml:space="preserve">Stránka </w:t>
    </w:r>
    <w:r>
      <w:rPr>
        <w:rFonts w:ascii="Arial" w:hAnsi="Arial" w:cs="Arial"/>
        <w:szCs w:val="22"/>
      </w:rPr>
      <w:fldChar w:fldCharType="begin"/>
    </w:r>
    <w:r>
      <w:rPr>
        <w:rFonts w:ascii="Arial" w:hAnsi="Arial" w:cs="Arial"/>
        <w:szCs w:val="22"/>
      </w:rPr>
      <w:instrText>PAGE</w:instrText>
    </w:r>
    <w:r>
      <w:rPr>
        <w:rFonts w:ascii="Arial" w:hAnsi="Arial" w:cs="Arial"/>
        <w:szCs w:val="22"/>
      </w:rPr>
      <w:fldChar w:fldCharType="separate"/>
    </w:r>
    <w:r>
      <w:rPr>
        <w:rFonts w:ascii="Arial" w:hAnsi="Arial" w:cs="Arial"/>
        <w:szCs w:val="22"/>
      </w:rPr>
      <w:t>2</w:t>
    </w:r>
    <w:r>
      <w:rPr>
        <w:rFonts w:ascii="Arial" w:hAnsi="Arial" w:cs="Arial"/>
        <w:szCs w:val="22"/>
      </w:rPr>
      <w:fldChar w:fldCharType="end"/>
    </w:r>
    <w:r>
      <w:rPr>
        <w:rFonts w:ascii="Arial" w:hAnsi="Arial" w:cs="Arial"/>
        <w:szCs w:val="22"/>
      </w:rPr>
      <w:t xml:space="preserve"> (celkem </w:t>
    </w:r>
    <w:r>
      <w:rPr>
        <w:rFonts w:ascii="Arial" w:hAnsi="Arial" w:cs="Arial"/>
        <w:szCs w:val="22"/>
      </w:rPr>
      <w:fldChar w:fldCharType="begin"/>
    </w:r>
    <w:r>
      <w:rPr>
        <w:rFonts w:ascii="Arial" w:hAnsi="Arial" w:cs="Arial"/>
        <w:szCs w:val="22"/>
      </w:rPr>
      <w:instrText>NUMPAGES</w:instrText>
    </w:r>
    <w:r>
      <w:rPr>
        <w:rFonts w:ascii="Arial" w:hAnsi="Arial" w:cs="Arial"/>
        <w:szCs w:val="22"/>
      </w:rPr>
      <w:fldChar w:fldCharType="separate"/>
    </w:r>
    <w:r>
      <w:rPr>
        <w:rFonts w:ascii="Arial" w:hAnsi="Arial" w:cs="Arial"/>
        <w:szCs w:val="22"/>
      </w:rPr>
      <w:t>2</w:t>
    </w:r>
    <w:r>
      <w:rPr>
        <w:rFonts w:ascii="Arial" w:hAnsi="Arial" w:cs="Arial"/>
        <w:szCs w:val="22"/>
      </w:rPr>
      <w:fldChar w:fldCharType="end"/>
    </w:r>
    <w:r>
      <w:rPr>
        <w:rFonts w:ascii="Arial" w:hAnsi="Arial" w:cs="Arial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A08" w:rsidRDefault="00A66A08">
      <w:pPr>
        <w:rPr>
          <w:sz w:val="12"/>
        </w:rPr>
      </w:pPr>
      <w:r>
        <w:separator/>
      </w:r>
    </w:p>
  </w:footnote>
  <w:footnote w:type="continuationSeparator" w:id="0">
    <w:p w:rsidR="00A66A08" w:rsidRDefault="00A66A08">
      <w:pPr>
        <w:rPr>
          <w:sz w:val="12"/>
        </w:rPr>
      </w:pPr>
      <w:r>
        <w:continuationSeparator/>
      </w:r>
    </w:p>
  </w:footnote>
  <w:footnote w:id="1">
    <w:p w:rsidR="003050FE" w:rsidRDefault="00A66A08">
      <w:pPr>
        <w:pStyle w:val="Textpoznpodarou"/>
        <w:rPr>
          <w:rFonts w:ascii="Arial" w:hAnsi="Arial"/>
        </w:rPr>
      </w:pPr>
      <w:r>
        <w:rPr>
          <w:rStyle w:val="Znakypropoznmkupodarou"/>
        </w:rPr>
        <w:footnoteRef/>
      </w:r>
      <w:r>
        <w:rPr>
          <w:rFonts w:ascii="Arial" w:hAnsi="Arial"/>
        </w:rPr>
        <w:t xml:space="preserve"> NAŘÍZENÍ EVROPSKÉHO PARLAMENTU A RADY o společných ustanoveních o Evropském fondu pro regionální rozvoj, Evropském sociálním fondu plus, Fondu soudržnosti a Evropském námořním a rybářském fondu a o finančních pravidlech pro tyto fondy a pro Azylový a migr</w:t>
      </w:r>
      <w:r>
        <w:rPr>
          <w:rFonts w:ascii="Arial" w:hAnsi="Arial"/>
        </w:rPr>
        <w:t>ační fond, Fond pro vnitřní bezpečnost a Nástroj pro správu hranic a víza</w:t>
      </w:r>
    </w:p>
  </w:footnote>
  <w:footnote w:id="2">
    <w:p w:rsidR="003050FE" w:rsidRDefault="00A66A08">
      <w:pPr>
        <w:pStyle w:val="Textpoznpodarou"/>
        <w:rPr>
          <w:rFonts w:ascii="Arial" w:hAnsi="Arial"/>
        </w:rPr>
      </w:pPr>
      <w:r>
        <w:rPr>
          <w:rStyle w:val="Znakypropoznmkupodarou"/>
        </w:rPr>
        <w:footnoteRef/>
      </w:r>
      <w:r>
        <w:rPr>
          <w:rFonts w:ascii="Arial" w:hAnsi="Arial"/>
        </w:rPr>
        <w:t xml:space="preserve"> NAŘÍZENÍ EVROPSKÉHO PARLAMENTU A RADY, kterým se zřizuje Fond pro spravedlivou transformaci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2D44"/>
    <w:multiLevelType w:val="hybridMultilevel"/>
    <w:tmpl w:val="00000000"/>
    <w:lvl w:ilvl="0" w:tplc="CC32117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5D6C8DB8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42AEA1A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F4B695A0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9084A8B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D3A4F70A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ED28AF2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84F2E176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EAA20A9A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793DF0"/>
    <w:multiLevelType w:val="hybridMultilevel"/>
    <w:tmpl w:val="00000000"/>
    <w:lvl w:ilvl="0" w:tplc="522821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A108C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C9A44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3D659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5C697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5E0141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5CC1C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436C8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A1A5D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0FE"/>
    <w:rsid w:val="003050FE"/>
    <w:rsid w:val="008076C5"/>
    <w:rsid w:val="00A6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0CC90-3F39-4DDE-A51B-B1E059CE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Nadpis11">
    <w:name w:val="Nadpis 1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customStyle="1" w:styleId="Nadpis21">
    <w:name w:val="Nadpis 21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customStyle="1" w:styleId="Nadpis31">
    <w:name w:val="Nadpis 31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customStyle="1" w:styleId="Nadpis41">
    <w:name w:val="Nadpis 41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</w:rPr>
  </w:style>
  <w:style w:type="paragraph" w:customStyle="1" w:styleId="Nadpis61">
    <w:name w:val="Nadpis 61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Cs w:val="22"/>
    </w:rPr>
  </w:style>
  <w:style w:type="paragraph" w:customStyle="1" w:styleId="Nadpis71">
    <w:name w:val="Nadpis 71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Cs w:val="22"/>
    </w:rPr>
  </w:style>
  <w:style w:type="paragraph" w:customStyle="1" w:styleId="Nadpis81">
    <w:name w:val="Nadpis 81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Cs w:val="22"/>
    </w:rPr>
  </w:style>
  <w:style w:type="paragraph" w:customStyle="1" w:styleId="Nadpis91">
    <w:name w:val="Nadpis 91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customStyle="1" w:styleId="Nadpis1Char">
    <w:name w:val="Nadpis 1 Char"/>
    <w:basedOn w:val="Standardnpsmoodstavce"/>
    <w:link w:val="Nadpis1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1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1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1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ZhlavChar">
    <w:name w:val="Záhlaví Char"/>
    <w:basedOn w:val="Standardnpsmoodstavce"/>
    <w:link w:val="Zhlav1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ZpatChar">
    <w:name w:val="Zápatí Char"/>
    <w:link w:val="Zpat1"/>
    <w:uiPriority w:val="99"/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37DC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B9BD5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il"/>
          <w:bottom w:val="single" w:sz="4" w:space="0" w:color="95AFDD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il"/>
          <w:bottom w:val="single" w:sz="4" w:space="0" w:color="95AFDD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il"/>
          <w:bottom w:val="single" w:sz="4" w:space="0" w:color="A2C6E7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il"/>
          <w:bottom w:val="single" w:sz="4" w:space="0" w:color="A2C6E7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character" w:customStyle="1" w:styleId="PodnadpisChar">
    <w:name w:val="Podnadpis Char"/>
    <w:link w:val="Podnadpis"/>
    <w:uiPriority w:val="11"/>
    <w:qFormat/>
    <w:rPr>
      <w:rFonts w:ascii="Cambria" w:hAnsi="Cambria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Verdana" w:eastAsia="Calibri" w:hAnsi="Verdana" w:cs="Arial"/>
      <w:sz w:val="16"/>
      <w:lang w:eastAsia="en-US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qFormat/>
    <w:rPr>
      <w:rFonts w:ascii="Verdana" w:eastAsia="Calibri" w:hAnsi="Verdana" w:cs="Arial"/>
      <w:szCs w:val="18"/>
      <w:lang w:eastAsia="en-US"/>
    </w:rPr>
  </w:style>
  <w:style w:type="character" w:customStyle="1" w:styleId="Znakypropoznmkupodarou">
    <w:name w:val="Znaky pro poznámku pod čarou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semiHidden/>
    <w:qFormat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customStyle="1" w:styleId="Zhlav1">
    <w:name w:val="Záhlaví1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qFormat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120" w:line="276" w:lineRule="auto"/>
      <w:ind w:left="720"/>
      <w:contextualSpacing/>
      <w:jc w:val="both"/>
    </w:pPr>
    <w:rPr>
      <w:rFonts w:ascii="Verdana" w:eastAsia="Calibri" w:hAnsi="Verdana" w:cs="Arial"/>
      <w:sz w:val="20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pPr>
      <w:jc w:val="both"/>
    </w:pPr>
    <w:rPr>
      <w:rFonts w:ascii="Verdana" w:eastAsia="Calibri" w:hAnsi="Verdana" w:cs="Arial"/>
      <w:sz w:val="16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2900</Characters>
  <Application>Microsoft Office Word</Application>
  <DocSecurity>0</DocSecurity>
  <Lines>24</Lines>
  <Paragraphs>6</Paragraphs>
  <ScaleCrop>false</ScaleCrop>
  <Company>uvcr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MŽP user</dc:creator>
  <cp:lastModifiedBy>Jankovská Michaela</cp:lastModifiedBy>
  <cp:revision>20</cp:revision>
  <dcterms:created xsi:type="dcterms:W3CDTF">2022-02-14T14:28:00Z</dcterms:created>
  <dcterms:modified xsi:type="dcterms:W3CDTF">2022-10-26T05:33:00Z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MZP/2022/310/128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MZP/2022/310/128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24.10.2022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&lt;TABLE&gt;&lt;TR&gt;&lt;TD&gt;Č.j.:&lt;/TD&gt;&lt;TD&gt;MZP/2022/310/128&lt;/TD&gt;&lt;/TR&gt;&lt;TR&gt;&lt;TD&gt;&lt;/TD&gt;&lt;TD&gt;&lt;/TD&gt;&lt;/TR&gt;&lt;/TABLE&gt;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podpory transformace na nízkouhlíkovou ekonomiku</vt:lpwstr>
  </property>
  <property fmtid="{D5CDD505-2E9C-101B-9397-08002B2CF9AE}" pid="16" name="DisplayName_UserPoriz_Pisemnost">
    <vt:lpwstr>Mgr. Ondřej Pergl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ENV/2022/290715</vt:lpwstr>
  </property>
  <property fmtid="{D5CDD505-2E9C-101B-9397-08002B2CF9AE}" pid="19" name="Key_BarCode_Pisemnost">
    <vt:lpwstr>*B001432287*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ENV/2022/290715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ZN/MZP/2022/310/32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Předložení OPST vládě pro informaci</vt:lpwstr>
  </property>
  <property fmtid="{D5CDD505-2E9C-101B-9397-08002B2CF9AE}" pid="41" name="Zkratka_SpisovyUzel_PoziceZodpo_Pisemnost">
    <vt:lpwstr>310</vt:lpwstr>
  </property>
</Properties>
</file>