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E72F3" w14:textId="77777777" w:rsidR="000E131B" w:rsidRPr="008C5426" w:rsidRDefault="00BD5E6B" w:rsidP="001E1D3D">
      <w:pPr>
        <w:pBdr>
          <w:bottom w:val="single" w:sz="6" w:space="1" w:color="auto"/>
        </w:pBdr>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w:t>
      </w:r>
      <w:r w:rsidR="00001AA2" w:rsidRPr="008C5426">
        <w:rPr>
          <w:rFonts w:ascii="Arial" w:hAnsi="Arial" w:cs="Arial"/>
          <w:b/>
          <w:color w:val="0070C0"/>
          <w:sz w:val="28"/>
          <w:szCs w:val="28"/>
        </w:rPr>
        <w:t>Program</w:t>
      </w:r>
      <w:r w:rsidRPr="008C5426">
        <w:rPr>
          <w:rFonts w:ascii="Arial" w:hAnsi="Arial" w:cs="Arial"/>
          <w:b/>
          <w:color w:val="0070C0"/>
          <w:sz w:val="28"/>
          <w:szCs w:val="28"/>
        </w:rPr>
        <w:t>u</w:t>
      </w:r>
      <w:r w:rsidR="00001AA2" w:rsidRPr="008C5426">
        <w:rPr>
          <w:rFonts w:ascii="Arial" w:hAnsi="Arial" w:cs="Arial"/>
          <w:b/>
          <w:color w:val="0070C0"/>
          <w:sz w:val="28"/>
          <w:szCs w:val="28"/>
        </w:rPr>
        <w:t xml:space="preserve"> </w:t>
      </w:r>
      <w:r w:rsidR="006052F9" w:rsidRPr="008C5426">
        <w:rPr>
          <w:rFonts w:ascii="Arial" w:hAnsi="Arial" w:cs="Arial"/>
          <w:b/>
          <w:color w:val="0070C0"/>
          <w:sz w:val="28"/>
          <w:szCs w:val="28"/>
        </w:rPr>
        <w:t>na</w:t>
      </w:r>
      <w:r w:rsidR="001958D0" w:rsidRPr="008C5426">
        <w:rPr>
          <w:rFonts w:ascii="Arial" w:hAnsi="Arial" w:cs="Arial"/>
          <w:b/>
          <w:color w:val="0070C0"/>
          <w:sz w:val="28"/>
          <w:szCs w:val="28"/>
        </w:rPr>
        <w:t> </w:t>
      </w:r>
      <w:r w:rsidR="006052F9" w:rsidRPr="008C5426">
        <w:rPr>
          <w:rFonts w:ascii="Arial" w:hAnsi="Arial" w:cs="Arial"/>
          <w:b/>
          <w:color w:val="0070C0"/>
          <w:sz w:val="28"/>
          <w:szCs w:val="28"/>
        </w:rPr>
        <w:t xml:space="preserve">podporu zdravotnického aplikovaného výzkumu a vývoje </w:t>
      </w:r>
    </w:p>
    <w:p w14:paraId="26DCC605" w14:textId="77777777" w:rsidR="00CC370F" w:rsidRPr="008C5426" w:rsidRDefault="000E131B" w:rsidP="001E1D3D">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 xml:space="preserve">na léta </w:t>
      </w:r>
      <w:r w:rsidR="006052F9" w:rsidRPr="008C5426">
        <w:rPr>
          <w:rFonts w:ascii="Arial" w:hAnsi="Arial" w:cs="Arial"/>
          <w:b/>
          <w:color w:val="0070C0"/>
          <w:sz w:val="28"/>
          <w:szCs w:val="28"/>
        </w:rPr>
        <w:t>202</w:t>
      </w:r>
      <w:r w:rsidR="001958D0" w:rsidRPr="008C5426">
        <w:rPr>
          <w:rFonts w:ascii="Arial" w:hAnsi="Arial" w:cs="Arial"/>
          <w:b/>
          <w:color w:val="0070C0"/>
          <w:sz w:val="28"/>
          <w:szCs w:val="28"/>
        </w:rPr>
        <w:t>4 - 2030</w:t>
      </w:r>
    </w:p>
    <w:p w14:paraId="7EA57D50" w14:textId="77777777" w:rsidR="001E1D3D" w:rsidRPr="001E1D3D" w:rsidRDefault="0078058C" w:rsidP="000D29F5">
      <w:pPr>
        <w:pStyle w:val="Normalodsazen"/>
        <w:numPr>
          <w:ilvl w:val="0"/>
          <w:numId w:val="21"/>
        </w:numPr>
        <w:spacing w:after="120" w:line="240" w:lineRule="auto"/>
        <w:ind w:left="1077" w:hanging="357"/>
        <w:rPr>
          <w:b/>
          <w:color w:val="0070C0"/>
          <w:sz w:val="24"/>
        </w:rPr>
      </w:pPr>
      <w:r w:rsidRPr="008C5426">
        <w:rPr>
          <w:b/>
          <w:color w:val="0070C0"/>
          <w:sz w:val="24"/>
        </w:rPr>
        <w:t>Způsob předložení návrhu</w:t>
      </w:r>
    </w:p>
    <w:p w14:paraId="2DC55B8D" w14:textId="3D589F2D" w:rsidR="00060C37" w:rsidRDefault="006052F9" w:rsidP="001E1D3D">
      <w:pPr>
        <w:spacing w:after="120"/>
        <w:jc w:val="both"/>
        <w:rPr>
          <w:rFonts w:ascii="Arial" w:hAnsi="Arial" w:cs="Arial"/>
          <w:szCs w:val="22"/>
        </w:rPr>
      </w:pPr>
      <w:r w:rsidRPr="008C5426">
        <w:rPr>
          <w:rFonts w:ascii="Arial" w:hAnsi="Arial" w:cs="Arial"/>
          <w:szCs w:val="22"/>
        </w:rPr>
        <w:t xml:space="preserve">Dopisem </w:t>
      </w:r>
      <w:r w:rsidR="0019343C" w:rsidRPr="008C5426">
        <w:rPr>
          <w:rFonts w:ascii="Arial" w:hAnsi="Arial" w:cs="Arial"/>
          <w:szCs w:val="22"/>
        </w:rPr>
        <w:t xml:space="preserve">ze dne </w:t>
      </w:r>
      <w:r w:rsidR="001958D0" w:rsidRPr="008C5426">
        <w:rPr>
          <w:rFonts w:ascii="Arial" w:hAnsi="Arial" w:cs="Arial"/>
          <w:szCs w:val="22"/>
        </w:rPr>
        <w:t>15. září</w:t>
      </w:r>
      <w:r w:rsidR="0019343C" w:rsidRPr="008C5426">
        <w:rPr>
          <w:rFonts w:ascii="Arial" w:hAnsi="Arial" w:cs="Arial"/>
          <w:szCs w:val="22"/>
        </w:rPr>
        <w:t xml:space="preserve"> 20</w:t>
      </w:r>
      <w:r w:rsidR="001958D0" w:rsidRPr="008C5426">
        <w:rPr>
          <w:rFonts w:ascii="Arial" w:hAnsi="Arial" w:cs="Arial"/>
          <w:szCs w:val="22"/>
        </w:rPr>
        <w:t>22</w:t>
      </w:r>
      <w:r w:rsidR="0019343C" w:rsidRPr="008C5426">
        <w:rPr>
          <w:rFonts w:ascii="Arial" w:hAnsi="Arial" w:cs="Arial"/>
          <w:szCs w:val="22"/>
        </w:rPr>
        <w:t xml:space="preserve"> č. j. </w:t>
      </w:r>
      <w:r w:rsidR="00B22DDC" w:rsidRPr="008C5426">
        <w:rPr>
          <w:rFonts w:ascii="Arial" w:hAnsi="Arial" w:cs="Arial"/>
          <w:szCs w:val="22"/>
        </w:rPr>
        <w:t xml:space="preserve">MZDR </w:t>
      </w:r>
      <w:r w:rsidR="001958D0" w:rsidRPr="008C5426">
        <w:rPr>
          <w:rFonts w:ascii="Arial" w:hAnsi="Arial" w:cs="Arial"/>
          <w:szCs w:val="22"/>
        </w:rPr>
        <w:t>25673</w:t>
      </w:r>
      <w:r w:rsidR="00B22DDC" w:rsidRPr="008C5426">
        <w:rPr>
          <w:rFonts w:ascii="Arial" w:hAnsi="Arial" w:cs="Arial"/>
          <w:szCs w:val="22"/>
        </w:rPr>
        <w:t>/20</w:t>
      </w:r>
      <w:r w:rsidR="001958D0" w:rsidRPr="008C5426">
        <w:rPr>
          <w:rFonts w:ascii="Arial" w:hAnsi="Arial" w:cs="Arial"/>
          <w:szCs w:val="22"/>
        </w:rPr>
        <w:t>22</w:t>
      </w:r>
      <w:r w:rsidR="00B22DDC" w:rsidRPr="008C5426">
        <w:rPr>
          <w:rFonts w:ascii="Arial" w:hAnsi="Arial" w:cs="Arial"/>
          <w:szCs w:val="22"/>
        </w:rPr>
        <w:t>-</w:t>
      </w:r>
      <w:r w:rsidR="001958D0" w:rsidRPr="008C5426">
        <w:rPr>
          <w:rFonts w:ascii="Arial" w:hAnsi="Arial" w:cs="Arial"/>
          <w:szCs w:val="22"/>
        </w:rPr>
        <w:t>2</w:t>
      </w:r>
      <w:r w:rsidR="00B22DDC" w:rsidRPr="008C5426">
        <w:rPr>
          <w:rFonts w:ascii="Arial" w:hAnsi="Arial" w:cs="Arial"/>
          <w:szCs w:val="22"/>
        </w:rPr>
        <w:t>/VLP</w:t>
      </w:r>
      <w:r w:rsidR="0019343C" w:rsidRPr="008C5426">
        <w:rPr>
          <w:rFonts w:ascii="Arial" w:hAnsi="Arial" w:cs="Arial"/>
          <w:szCs w:val="22"/>
        </w:rPr>
        <w:t xml:space="preserve"> </w:t>
      </w:r>
      <w:r w:rsidR="00AB5C14">
        <w:rPr>
          <w:rFonts w:ascii="Arial" w:hAnsi="Arial" w:cs="Arial"/>
          <w:szCs w:val="22"/>
        </w:rPr>
        <w:t>adresovaným</w:t>
      </w:r>
      <w:r w:rsidRPr="008C5426">
        <w:rPr>
          <w:rFonts w:ascii="Arial" w:hAnsi="Arial" w:cs="Arial"/>
          <w:szCs w:val="22"/>
        </w:rPr>
        <w:t xml:space="preserve"> </w:t>
      </w:r>
      <w:r w:rsidR="001958D0" w:rsidRPr="008C5426">
        <w:rPr>
          <w:rFonts w:ascii="Arial" w:hAnsi="Arial" w:cs="Arial"/>
          <w:szCs w:val="22"/>
        </w:rPr>
        <w:t xml:space="preserve">ministryni pro vědu, výzkum a inovace a předsedkyni Rady pro </w:t>
      </w:r>
      <w:r w:rsidR="00AB5C14">
        <w:rPr>
          <w:rFonts w:ascii="Arial" w:hAnsi="Arial" w:cs="Arial"/>
          <w:szCs w:val="22"/>
        </w:rPr>
        <w:t>výzkum, vývoj</w:t>
      </w:r>
      <w:r w:rsidR="001958D0" w:rsidRPr="008C5426">
        <w:rPr>
          <w:rFonts w:ascii="Arial" w:hAnsi="Arial" w:cs="Arial"/>
          <w:szCs w:val="22"/>
        </w:rPr>
        <w:t xml:space="preserve"> a inovace (dále jen „Rada“) Mgr. Helenu </w:t>
      </w:r>
      <w:proofErr w:type="spellStart"/>
      <w:r w:rsidR="001958D0" w:rsidRPr="008C5426">
        <w:rPr>
          <w:rFonts w:ascii="Arial" w:hAnsi="Arial" w:cs="Arial"/>
          <w:szCs w:val="22"/>
        </w:rPr>
        <w:t>Langšádlovou</w:t>
      </w:r>
      <w:proofErr w:type="spellEnd"/>
      <w:r w:rsidRPr="008C5426">
        <w:rPr>
          <w:rFonts w:ascii="Arial" w:hAnsi="Arial" w:cs="Arial"/>
          <w:szCs w:val="22"/>
        </w:rPr>
        <w:t xml:space="preserve"> předložil </w:t>
      </w:r>
      <w:r w:rsidR="001958D0" w:rsidRPr="008C5426">
        <w:rPr>
          <w:rFonts w:ascii="Arial" w:hAnsi="Arial" w:cs="Arial"/>
          <w:szCs w:val="22"/>
        </w:rPr>
        <w:t xml:space="preserve">místopředseda vlády a ministr zdravotnictví </w:t>
      </w:r>
      <w:r w:rsidR="00AC23A5" w:rsidRPr="00AC23A5">
        <w:rPr>
          <w:rFonts w:ascii="Arial" w:hAnsi="Arial" w:cs="Arial"/>
          <w:szCs w:val="22"/>
        </w:rPr>
        <w:t>prof. MUDr. Vlastimil Válek, CSc., MBA, EBIR</w:t>
      </w:r>
      <w:r w:rsidR="001958D0" w:rsidRPr="008C5426">
        <w:rPr>
          <w:rFonts w:ascii="Arial" w:hAnsi="Arial" w:cs="Arial"/>
          <w:szCs w:val="22"/>
        </w:rPr>
        <w:t xml:space="preserve"> </w:t>
      </w:r>
      <w:r w:rsidRPr="008C5426">
        <w:rPr>
          <w:rFonts w:ascii="Arial" w:hAnsi="Arial" w:cs="Arial"/>
          <w:szCs w:val="22"/>
        </w:rPr>
        <w:t xml:space="preserve">ke stanovisku Rady </w:t>
      </w:r>
      <w:r w:rsidR="00B22DDC" w:rsidRPr="008C5426">
        <w:rPr>
          <w:rFonts w:ascii="Arial" w:hAnsi="Arial" w:cs="Arial"/>
          <w:szCs w:val="22"/>
        </w:rPr>
        <w:t xml:space="preserve">návrh </w:t>
      </w:r>
      <w:r w:rsidR="00001AA2" w:rsidRPr="008C5426">
        <w:rPr>
          <w:rFonts w:ascii="Arial" w:hAnsi="Arial" w:cs="Arial"/>
          <w:szCs w:val="22"/>
        </w:rPr>
        <w:t>Program</w:t>
      </w:r>
      <w:r w:rsidR="00B22DDC" w:rsidRPr="008C5426">
        <w:rPr>
          <w:rFonts w:ascii="Arial" w:hAnsi="Arial" w:cs="Arial"/>
          <w:szCs w:val="22"/>
        </w:rPr>
        <w:t>u</w:t>
      </w:r>
      <w:r w:rsidR="00001AA2" w:rsidRPr="008C5426">
        <w:rPr>
          <w:rFonts w:ascii="Arial" w:hAnsi="Arial" w:cs="Arial"/>
          <w:szCs w:val="22"/>
        </w:rPr>
        <w:t xml:space="preserve"> </w:t>
      </w:r>
      <w:r w:rsidRPr="008C5426">
        <w:rPr>
          <w:rFonts w:ascii="Arial" w:hAnsi="Arial" w:cs="Arial"/>
          <w:szCs w:val="22"/>
        </w:rPr>
        <w:t>na</w:t>
      </w:r>
      <w:r w:rsidR="00B22DDC" w:rsidRPr="008C5426">
        <w:rPr>
          <w:rFonts w:ascii="Arial" w:hAnsi="Arial" w:cs="Arial"/>
          <w:szCs w:val="22"/>
        </w:rPr>
        <w:t> </w:t>
      </w:r>
      <w:r w:rsidRPr="008C5426">
        <w:rPr>
          <w:rFonts w:ascii="Arial" w:hAnsi="Arial" w:cs="Arial"/>
          <w:szCs w:val="22"/>
        </w:rPr>
        <w:t>podporu zdravotnického aplikovaného výzkumu a vývoje na léta 202</w:t>
      </w:r>
      <w:r w:rsidR="00AC23A5">
        <w:rPr>
          <w:rFonts w:ascii="Arial" w:hAnsi="Arial" w:cs="Arial"/>
          <w:szCs w:val="22"/>
        </w:rPr>
        <w:t>4</w:t>
      </w:r>
      <w:r w:rsidRPr="008C5426">
        <w:rPr>
          <w:rFonts w:ascii="Arial" w:hAnsi="Arial" w:cs="Arial"/>
          <w:szCs w:val="22"/>
        </w:rPr>
        <w:t xml:space="preserve"> </w:t>
      </w:r>
      <w:r w:rsidR="0019343C" w:rsidRPr="008C5426">
        <w:rPr>
          <w:rFonts w:ascii="Arial" w:hAnsi="Arial" w:cs="Arial"/>
          <w:szCs w:val="22"/>
        </w:rPr>
        <w:t>–</w:t>
      </w:r>
      <w:r w:rsidRPr="008C5426">
        <w:rPr>
          <w:rFonts w:ascii="Arial" w:hAnsi="Arial" w:cs="Arial"/>
          <w:szCs w:val="22"/>
        </w:rPr>
        <w:t xml:space="preserve"> </w:t>
      </w:r>
      <w:r w:rsidR="00B664F5" w:rsidRPr="008C5426">
        <w:rPr>
          <w:rFonts w:ascii="Arial" w:hAnsi="Arial" w:cs="Arial"/>
          <w:szCs w:val="22"/>
        </w:rPr>
        <w:t>20</w:t>
      </w:r>
      <w:r w:rsidR="00B664F5">
        <w:rPr>
          <w:rFonts w:ascii="Arial" w:hAnsi="Arial" w:cs="Arial"/>
          <w:szCs w:val="22"/>
        </w:rPr>
        <w:t>30</w:t>
      </w:r>
      <w:r w:rsidR="00B664F5" w:rsidRPr="008C5426">
        <w:rPr>
          <w:rFonts w:ascii="Arial" w:hAnsi="Arial" w:cs="Arial"/>
          <w:szCs w:val="22"/>
        </w:rPr>
        <w:t xml:space="preserve"> </w:t>
      </w:r>
      <w:r w:rsidR="00987147" w:rsidRPr="008C5426">
        <w:rPr>
          <w:rFonts w:ascii="Arial" w:hAnsi="Arial" w:cs="Arial"/>
          <w:szCs w:val="22"/>
        </w:rPr>
        <w:t>(dále jen „</w:t>
      </w:r>
      <w:r w:rsidR="001958D0" w:rsidRPr="008C5426">
        <w:rPr>
          <w:rFonts w:ascii="Arial" w:hAnsi="Arial" w:cs="Arial"/>
          <w:szCs w:val="22"/>
        </w:rPr>
        <w:t>P</w:t>
      </w:r>
      <w:r w:rsidR="00987147" w:rsidRPr="008C5426">
        <w:rPr>
          <w:rFonts w:ascii="Arial" w:hAnsi="Arial" w:cs="Arial"/>
          <w:szCs w:val="22"/>
        </w:rPr>
        <w:t>rogram“)</w:t>
      </w:r>
      <w:r w:rsidR="0019343C" w:rsidRPr="008C5426">
        <w:rPr>
          <w:rFonts w:ascii="Arial" w:hAnsi="Arial" w:cs="Arial"/>
          <w:szCs w:val="22"/>
        </w:rPr>
        <w:t>.</w:t>
      </w:r>
    </w:p>
    <w:p w14:paraId="075602DF" w14:textId="77777777" w:rsidR="008C5426" w:rsidRPr="0026232B" w:rsidRDefault="008C5426" w:rsidP="001E1D3D">
      <w:pPr>
        <w:pStyle w:val="Normalodsazen"/>
        <w:numPr>
          <w:ilvl w:val="0"/>
          <w:numId w:val="21"/>
        </w:numPr>
        <w:spacing w:after="120" w:line="240" w:lineRule="auto"/>
        <w:rPr>
          <w:b/>
          <w:color w:val="0070C0"/>
          <w:sz w:val="24"/>
        </w:rPr>
      </w:pPr>
      <w:r w:rsidRPr="008C5426">
        <w:rPr>
          <w:b/>
          <w:color w:val="0070C0"/>
          <w:sz w:val="24"/>
        </w:rPr>
        <w:t>K hodnocení návrhu Programu Radou</w:t>
      </w:r>
    </w:p>
    <w:p w14:paraId="09B8E5E7" w14:textId="77777777" w:rsidR="008C5426" w:rsidRPr="008C5426" w:rsidRDefault="008C5426" w:rsidP="001E1D3D">
      <w:pPr>
        <w:pStyle w:val="Zkladntext2"/>
        <w:spacing w:after="120"/>
        <w:jc w:val="both"/>
        <w:rPr>
          <w:rFonts w:ascii="Arial" w:hAnsi="Arial" w:cs="Arial"/>
          <w:szCs w:val="24"/>
        </w:rPr>
      </w:pPr>
      <w:r w:rsidRPr="00765BA0">
        <w:rPr>
          <w:rFonts w:ascii="Arial" w:hAnsi="Arial" w:cs="Arial"/>
          <w:szCs w:val="24"/>
        </w:rPr>
        <w:t xml:space="preserve">Rada posoudila návrh </w:t>
      </w:r>
      <w:r w:rsidR="0026232B">
        <w:rPr>
          <w:rFonts w:ascii="Arial" w:hAnsi="Arial" w:cs="Arial"/>
          <w:szCs w:val="24"/>
        </w:rPr>
        <w:t>P</w:t>
      </w:r>
      <w:r w:rsidRPr="00765BA0">
        <w:rPr>
          <w:rFonts w:ascii="Arial" w:hAnsi="Arial" w:cs="Arial"/>
          <w:szCs w:val="24"/>
        </w:rPr>
        <w:t>rogramu</w:t>
      </w:r>
      <w:r w:rsidR="0026232B">
        <w:rPr>
          <w:rFonts w:ascii="Arial" w:hAnsi="Arial" w:cs="Arial"/>
          <w:szCs w:val="24"/>
        </w:rPr>
        <w:t xml:space="preserve"> na svém </w:t>
      </w:r>
      <w:r w:rsidR="00AC23A5">
        <w:rPr>
          <w:rFonts w:ascii="Arial" w:hAnsi="Arial" w:cs="Arial"/>
          <w:szCs w:val="24"/>
        </w:rPr>
        <w:t>383</w:t>
      </w:r>
      <w:r w:rsidR="0026232B">
        <w:rPr>
          <w:rFonts w:ascii="Arial" w:hAnsi="Arial" w:cs="Arial"/>
          <w:szCs w:val="24"/>
        </w:rPr>
        <w:t xml:space="preserve">. zasedání dne </w:t>
      </w:r>
      <w:r w:rsidR="00AC23A5">
        <w:rPr>
          <w:rFonts w:ascii="Arial" w:hAnsi="Arial" w:cs="Arial"/>
          <w:szCs w:val="24"/>
        </w:rPr>
        <w:t>25</w:t>
      </w:r>
      <w:r w:rsidR="0026232B">
        <w:rPr>
          <w:rFonts w:ascii="Arial" w:hAnsi="Arial" w:cs="Arial"/>
          <w:szCs w:val="24"/>
        </w:rPr>
        <w:t xml:space="preserve">. </w:t>
      </w:r>
      <w:r w:rsidR="00AC23A5">
        <w:rPr>
          <w:rFonts w:ascii="Arial" w:hAnsi="Arial" w:cs="Arial"/>
          <w:szCs w:val="24"/>
        </w:rPr>
        <w:t>listopadu</w:t>
      </w:r>
      <w:r w:rsidR="0026232B">
        <w:rPr>
          <w:rFonts w:ascii="Arial" w:hAnsi="Arial" w:cs="Arial"/>
          <w:szCs w:val="24"/>
        </w:rPr>
        <w:t xml:space="preserve"> 2022, a to </w:t>
      </w:r>
      <w:r w:rsidRPr="00765BA0">
        <w:rPr>
          <w:rFonts w:ascii="Arial" w:hAnsi="Arial" w:cs="Arial"/>
          <w:szCs w:val="24"/>
        </w:rPr>
        <w:t xml:space="preserve"> podle</w:t>
      </w:r>
      <w:r>
        <w:rPr>
          <w:rFonts w:ascii="Arial" w:hAnsi="Arial" w:cs="Arial"/>
          <w:szCs w:val="24"/>
        </w:rPr>
        <w:t xml:space="preserve"> následujících dokumentů:</w:t>
      </w:r>
    </w:p>
    <w:p w14:paraId="15588DF0" w14:textId="77777777" w:rsidR="008C5426" w:rsidRDefault="008C5426" w:rsidP="001E1D3D">
      <w:pPr>
        <w:pStyle w:val="Odstavecseseznamem"/>
        <w:numPr>
          <w:ilvl w:val="0"/>
          <w:numId w:val="20"/>
        </w:numPr>
        <w:spacing w:after="120"/>
        <w:ind w:left="1077" w:hanging="357"/>
        <w:contextualSpacing w:val="0"/>
        <w:jc w:val="both"/>
        <w:rPr>
          <w:rFonts w:ascii="Arial" w:hAnsi="Arial" w:cs="Arial"/>
        </w:rPr>
      </w:pPr>
      <w:r>
        <w:rPr>
          <w:rFonts w:ascii="Arial" w:hAnsi="Arial" w:cs="Arial"/>
        </w:rPr>
        <w:t>z</w:t>
      </w:r>
      <w:r w:rsidRPr="00A07E2A">
        <w:rPr>
          <w:rFonts w:ascii="Arial" w:hAnsi="Arial" w:cs="Arial"/>
        </w:rPr>
        <w:t>ákona</w:t>
      </w:r>
      <w:r w:rsidRPr="00FA1461">
        <w:rPr>
          <w:rFonts w:ascii="Arial" w:hAnsi="Arial" w:cs="Arial"/>
        </w:rPr>
        <w:t xml:space="preserve"> č. 130/2002 Sb., o podpoře výzkumu, experimentálního vývoje a</w:t>
      </w:r>
      <w:r>
        <w:rPr>
          <w:rFonts w:ascii="Arial" w:hAnsi="Arial" w:cs="Arial"/>
        </w:rPr>
        <w:t> </w:t>
      </w:r>
      <w:r w:rsidRPr="00FA1461">
        <w:rPr>
          <w:rFonts w:ascii="Arial" w:hAnsi="Arial" w:cs="Arial"/>
        </w:rPr>
        <w:t>inovací z veřejných prostředků a o změně některých zákonů (zákon o</w:t>
      </w:r>
      <w:r>
        <w:rPr>
          <w:rFonts w:ascii="Arial" w:hAnsi="Arial" w:cs="Arial"/>
        </w:rPr>
        <w:t> </w:t>
      </w:r>
      <w:r w:rsidRPr="00FA1461">
        <w:rPr>
          <w:rFonts w:ascii="Arial" w:hAnsi="Arial" w:cs="Arial"/>
        </w:rPr>
        <w:t>podpoře výzkumu, experimentálního vývoje a inovací), ve znění pozdějších předpisů</w:t>
      </w:r>
      <w:r>
        <w:rPr>
          <w:rFonts w:ascii="Arial" w:hAnsi="Arial" w:cs="Arial"/>
        </w:rPr>
        <w:t>,</w:t>
      </w:r>
      <w:r w:rsidRPr="00FA1461">
        <w:rPr>
          <w:rFonts w:ascii="Arial" w:hAnsi="Arial" w:cs="Arial"/>
        </w:rPr>
        <w:t xml:space="preserve"> </w:t>
      </w:r>
    </w:p>
    <w:p w14:paraId="0149DA74" w14:textId="77777777" w:rsidR="008C5426" w:rsidRPr="008C5426" w:rsidRDefault="008C5426" w:rsidP="001E1D3D">
      <w:pPr>
        <w:pStyle w:val="Odstavecseseznamem"/>
        <w:numPr>
          <w:ilvl w:val="0"/>
          <w:numId w:val="20"/>
        </w:numPr>
        <w:spacing w:after="120"/>
        <w:jc w:val="both"/>
        <w:rPr>
          <w:rFonts w:ascii="Arial" w:hAnsi="Arial" w:cs="Arial"/>
        </w:rPr>
      </w:pPr>
      <w:r w:rsidRPr="008C5426">
        <w:rPr>
          <w:rFonts w:ascii="Arial" w:hAnsi="Arial" w:cs="Arial"/>
        </w:rPr>
        <w:t>M</w:t>
      </w:r>
      <w:r w:rsidRPr="008C5426">
        <w:rPr>
          <w:rFonts w:ascii="Arial" w:eastAsiaTheme="minorHAnsi" w:hAnsi="Arial" w:cs="Arial"/>
          <w:color w:val="000000"/>
          <w:lang w:eastAsia="en-US"/>
        </w:rPr>
        <w:t>etodiky hodnocení výzkumných organizací a hodnocení programů účelové podpory výzkumu, vývoje a inovací schválené usnesením vlády ze dne 8. února 2017 č. 107 (dále jen „Metodika M17+“),</w:t>
      </w:r>
    </w:p>
    <w:p w14:paraId="094E3257" w14:textId="77777777" w:rsidR="008C5426" w:rsidRPr="00BA3705" w:rsidRDefault="008C5426" w:rsidP="001E1D3D">
      <w:pPr>
        <w:pStyle w:val="Zkladntext2"/>
        <w:numPr>
          <w:ilvl w:val="0"/>
          <w:numId w:val="20"/>
        </w:numPr>
        <w:spacing w:after="120"/>
        <w:jc w:val="both"/>
        <w:rPr>
          <w:rFonts w:ascii="Arial" w:hAnsi="Arial" w:cs="Arial"/>
          <w:szCs w:val="24"/>
        </w:rPr>
      </w:pPr>
      <w:r w:rsidRPr="00BA3705">
        <w:rPr>
          <w:rFonts w:ascii="Arial" w:eastAsiaTheme="minorHAnsi" w:hAnsi="Arial" w:cs="Arial"/>
          <w:color w:val="000000"/>
          <w:szCs w:val="24"/>
          <w:lang w:eastAsia="en-US"/>
        </w:rPr>
        <w:t>Základní</w:t>
      </w:r>
      <w:r>
        <w:rPr>
          <w:rFonts w:ascii="Arial" w:eastAsiaTheme="minorHAnsi" w:hAnsi="Arial" w:cs="Arial"/>
          <w:color w:val="000000"/>
          <w:szCs w:val="24"/>
          <w:lang w:eastAsia="en-US"/>
        </w:rPr>
        <w:t>ch</w:t>
      </w:r>
      <w:r w:rsidRPr="00BA3705">
        <w:rPr>
          <w:rFonts w:ascii="Arial" w:eastAsiaTheme="minorHAnsi" w:hAnsi="Arial" w:cs="Arial"/>
          <w:color w:val="000000"/>
          <w:szCs w:val="24"/>
          <w:lang w:eastAsia="en-US"/>
        </w:rPr>
        <w:t xml:space="preserve"> princip</w:t>
      </w:r>
      <w:r>
        <w:rPr>
          <w:rFonts w:ascii="Arial" w:eastAsiaTheme="minorHAnsi" w:hAnsi="Arial" w:cs="Arial"/>
          <w:color w:val="000000"/>
          <w:szCs w:val="24"/>
          <w:lang w:eastAsia="en-US"/>
        </w:rPr>
        <w:t>ů</w:t>
      </w:r>
      <w:r w:rsidRPr="00BA3705">
        <w:rPr>
          <w:rFonts w:ascii="Arial" w:eastAsiaTheme="minorHAnsi" w:hAnsi="Arial" w:cs="Arial"/>
          <w:color w:val="000000"/>
          <w:szCs w:val="24"/>
          <w:lang w:eastAsia="en-US"/>
        </w:rPr>
        <w:t xml:space="preserve"> přípravy a hodnocení programů a skupin grantových projektů výzkumu, vývoje a inovací (pří</w:t>
      </w:r>
      <w:r>
        <w:rPr>
          <w:rFonts w:ascii="Arial" w:eastAsiaTheme="minorHAnsi" w:hAnsi="Arial" w:cs="Arial"/>
          <w:color w:val="000000"/>
          <w:szCs w:val="24"/>
          <w:lang w:eastAsia="en-US"/>
        </w:rPr>
        <w:t>loha k usnesení vlády ze dne 13. k</w:t>
      </w:r>
      <w:r w:rsidRPr="00BA3705">
        <w:rPr>
          <w:rFonts w:ascii="Arial" w:eastAsiaTheme="minorHAnsi" w:hAnsi="Arial" w:cs="Arial"/>
          <w:color w:val="000000"/>
          <w:szCs w:val="24"/>
          <w:lang w:eastAsia="en-US"/>
        </w:rPr>
        <w:t>větna 2015 č. 351)</w:t>
      </w:r>
      <w:r>
        <w:rPr>
          <w:rFonts w:ascii="Arial" w:eastAsiaTheme="minorHAnsi" w:hAnsi="Arial" w:cs="Arial"/>
          <w:color w:val="000000"/>
          <w:szCs w:val="24"/>
          <w:lang w:eastAsia="en-US"/>
        </w:rPr>
        <w:t>, (dále jen „Principy“)</w:t>
      </w:r>
      <w:r w:rsidRPr="00BA3705">
        <w:rPr>
          <w:rFonts w:ascii="Arial" w:eastAsiaTheme="minorHAnsi" w:hAnsi="Arial" w:cs="Arial"/>
          <w:color w:val="000000"/>
          <w:szCs w:val="24"/>
          <w:lang w:eastAsia="en-US"/>
        </w:rPr>
        <w:t>.</w:t>
      </w:r>
    </w:p>
    <w:p w14:paraId="17EDEECE" w14:textId="0ED3D4B1" w:rsidR="008C5426" w:rsidRDefault="008C5426" w:rsidP="001E1D3D">
      <w:pPr>
        <w:pStyle w:val="Zkladntext2"/>
        <w:numPr>
          <w:ilvl w:val="0"/>
          <w:numId w:val="20"/>
        </w:numPr>
        <w:spacing w:after="120"/>
        <w:jc w:val="both"/>
        <w:rPr>
          <w:rFonts w:ascii="Arial" w:hAnsi="Arial" w:cs="Arial"/>
          <w:szCs w:val="24"/>
        </w:rPr>
      </w:pPr>
      <w:r w:rsidRPr="00BA3705">
        <w:rPr>
          <w:rFonts w:ascii="Arial" w:hAnsi="Arial" w:cs="Arial"/>
          <w:szCs w:val="24"/>
        </w:rPr>
        <w:t>Národní politik</w:t>
      </w:r>
      <w:r>
        <w:rPr>
          <w:rFonts w:ascii="Arial" w:hAnsi="Arial" w:cs="Arial"/>
          <w:szCs w:val="24"/>
        </w:rPr>
        <w:t>y</w:t>
      </w:r>
      <w:r w:rsidRPr="00BA3705">
        <w:rPr>
          <w:rFonts w:ascii="Arial" w:hAnsi="Arial" w:cs="Arial"/>
          <w:szCs w:val="24"/>
        </w:rPr>
        <w:t xml:space="preserve"> výzkumu, vývoje a inovací</w:t>
      </w:r>
      <w:r>
        <w:rPr>
          <w:rFonts w:ascii="Arial" w:hAnsi="Arial" w:cs="Arial"/>
          <w:szCs w:val="24"/>
        </w:rPr>
        <w:t xml:space="preserve"> České republiky 2021+</w:t>
      </w:r>
      <w:r w:rsidRPr="00BA3705">
        <w:rPr>
          <w:rFonts w:ascii="Arial" w:hAnsi="Arial" w:cs="Arial"/>
          <w:szCs w:val="24"/>
        </w:rPr>
        <w:t>, schválen</w:t>
      </w:r>
      <w:r>
        <w:rPr>
          <w:rFonts w:ascii="Arial" w:hAnsi="Arial" w:cs="Arial"/>
          <w:szCs w:val="24"/>
        </w:rPr>
        <w:t>é</w:t>
      </w:r>
      <w:r w:rsidRPr="00BA3705">
        <w:rPr>
          <w:rFonts w:ascii="Arial" w:hAnsi="Arial" w:cs="Arial"/>
          <w:szCs w:val="24"/>
        </w:rPr>
        <w:t xml:space="preserve"> usnesením vlády ze dne 20. července 2020 č. 759</w:t>
      </w:r>
      <w:r w:rsidR="00AB5C14">
        <w:rPr>
          <w:rFonts w:ascii="Arial" w:hAnsi="Arial" w:cs="Arial"/>
          <w:szCs w:val="24"/>
        </w:rPr>
        <w:t xml:space="preserve"> </w:t>
      </w:r>
      <w:r w:rsidR="00AB5C14" w:rsidRPr="00BA3705">
        <w:rPr>
          <w:rFonts w:ascii="Arial" w:hAnsi="Arial" w:cs="Arial"/>
          <w:szCs w:val="24"/>
        </w:rPr>
        <w:t>(</w:t>
      </w:r>
      <w:r w:rsidR="00AB5C14">
        <w:rPr>
          <w:rFonts w:ascii="Arial" w:hAnsi="Arial" w:cs="Arial"/>
          <w:szCs w:val="24"/>
        </w:rPr>
        <w:t>dále jen „</w:t>
      </w:r>
      <w:r w:rsidR="00AB5C14" w:rsidRPr="00BA3705">
        <w:rPr>
          <w:rFonts w:ascii="Arial" w:hAnsi="Arial" w:cs="Arial"/>
          <w:szCs w:val="24"/>
        </w:rPr>
        <w:t xml:space="preserve">NP </w:t>
      </w:r>
      <w:proofErr w:type="spellStart"/>
      <w:r w:rsidR="00AB5C14" w:rsidRPr="00BA3705">
        <w:rPr>
          <w:rFonts w:ascii="Arial" w:hAnsi="Arial" w:cs="Arial"/>
          <w:szCs w:val="24"/>
        </w:rPr>
        <w:t>VaVaI</w:t>
      </w:r>
      <w:proofErr w:type="spellEnd"/>
      <w:r w:rsidR="00AB5C14" w:rsidRPr="00BA3705">
        <w:rPr>
          <w:rFonts w:ascii="Arial" w:hAnsi="Arial" w:cs="Arial"/>
          <w:szCs w:val="24"/>
        </w:rPr>
        <w:t xml:space="preserve"> 2021+</w:t>
      </w:r>
      <w:r w:rsidR="00AB5C14">
        <w:rPr>
          <w:rFonts w:ascii="Arial" w:hAnsi="Arial" w:cs="Arial"/>
          <w:szCs w:val="24"/>
        </w:rPr>
        <w:t>“</w:t>
      </w:r>
      <w:r w:rsidR="00AB5C14" w:rsidRPr="00BA3705">
        <w:rPr>
          <w:rFonts w:ascii="Arial" w:hAnsi="Arial" w:cs="Arial"/>
          <w:szCs w:val="24"/>
        </w:rPr>
        <w:t>)</w:t>
      </w:r>
      <w:r w:rsidRPr="00BA3705">
        <w:rPr>
          <w:rFonts w:ascii="Arial" w:hAnsi="Arial" w:cs="Arial"/>
          <w:szCs w:val="24"/>
        </w:rPr>
        <w:t>,</w:t>
      </w:r>
    </w:p>
    <w:p w14:paraId="1DEF007C" w14:textId="77777777" w:rsidR="008C5426" w:rsidRPr="00DE22D0" w:rsidRDefault="008C5426" w:rsidP="001E1D3D">
      <w:pPr>
        <w:pStyle w:val="Odstavecseseznamem"/>
        <w:numPr>
          <w:ilvl w:val="0"/>
          <w:numId w:val="20"/>
        </w:numPr>
        <w:spacing w:after="120"/>
        <w:contextualSpacing w:val="0"/>
        <w:jc w:val="both"/>
        <w:rPr>
          <w:rFonts w:ascii="Arial" w:hAnsi="Arial" w:cs="Arial"/>
        </w:rPr>
      </w:pPr>
      <w:r w:rsidRPr="00DE22D0">
        <w:rPr>
          <w:rFonts w:ascii="Arial" w:hAnsi="Arial" w:cs="Arial"/>
        </w:rPr>
        <w:t>Národní</w:t>
      </w:r>
      <w:r>
        <w:rPr>
          <w:rFonts w:ascii="Arial" w:hAnsi="Arial" w:cs="Arial"/>
        </w:rPr>
        <w:t>ch</w:t>
      </w:r>
      <w:r w:rsidRPr="00DE22D0">
        <w:rPr>
          <w:rFonts w:ascii="Arial" w:hAnsi="Arial" w:cs="Arial"/>
        </w:rPr>
        <w:t xml:space="preserve"> priorit orientovaného vý</w:t>
      </w:r>
      <w:r>
        <w:rPr>
          <w:rFonts w:ascii="Arial" w:hAnsi="Arial" w:cs="Arial"/>
        </w:rPr>
        <w:t>zkumu, experimentálního vývoje a </w:t>
      </w:r>
      <w:r w:rsidRPr="00DE22D0">
        <w:rPr>
          <w:rFonts w:ascii="Arial" w:hAnsi="Arial" w:cs="Arial"/>
        </w:rPr>
        <w:t>inovací schválený</w:t>
      </w:r>
      <w:r>
        <w:rPr>
          <w:rFonts w:ascii="Arial" w:hAnsi="Arial" w:cs="Arial"/>
        </w:rPr>
        <w:t>ch</w:t>
      </w:r>
      <w:r w:rsidRPr="00DE22D0">
        <w:rPr>
          <w:rFonts w:ascii="Arial" w:hAnsi="Arial" w:cs="Arial"/>
        </w:rPr>
        <w:t xml:space="preserve"> usnesením vlády ze dne 19. července 2012 č. 552</w:t>
      </w:r>
      <w:r>
        <w:rPr>
          <w:rFonts w:ascii="Arial" w:hAnsi="Arial" w:cs="Arial"/>
        </w:rPr>
        <w:t>,</w:t>
      </w:r>
    </w:p>
    <w:p w14:paraId="74F2543F" w14:textId="77777777" w:rsidR="008C5426" w:rsidRPr="00341788" w:rsidRDefault="008C5426" w:rsidP="001E1D3D">
      <w:pPr>
        <w:pStyle w:val="Odstavecseseznamem"/>
        <w:numPr>
          <w:ilvl w:val="0"/>
          <w:numId w:val="20"/>
        </w:numPr>
        <w:autoSpaceDE w:val="0"/>
        <w:autoSpaceDN w:val="0"/>
        <w:adjustRightInd w:val="0"/>
        <w:spacing w:after="120"/>
        <w:contextualSpacing w:val="0"/>
        <w:jc w:val="both"/>
        <w:rPr>
          <w:rFonts w:ascii="Arial" w:eastAsiaTheme="minorHAnsi" w:hAnsi="Arial" w:cs="Arial"/>
          <w:color w:val="000000"/>
          <w:lang w:eastAsia="en-US"/>
        </w:rPr>
      </w:pPr>
      <w:r w:rsidRPr="00DF7F81">
        <w:rPr>
          <w:rFonts w:ascii="Arial" w:hAnsi="Arial" w:cs="Arial"/>
        </w:rPr>
        <w:t xml:space="preserve">Nařízení Komise (EU) č. 651/2014 ze </w:t>
      </w:r>
      <w:r>
        <w:rPr>
          <w:rFonts w:ascii="Arial" w:hAnsi="Arial" w:cs="Arial"/>
        </w:rPr>
        <w:t>dne 17. června 2014, kterým se</w:t>
      </w:r>
      <w:r w:rsidRPr="00DF7F81">
        <w:rPr>
          <w:rFonts w:ascii="Arial" w:hAnsi="Arial" w:cs="Arial"/>
        </w:rPr>
        <w:t xml:space="preserve"> </w:t>
      </w:r>
      <w:r>
        <w:rPr>
          <w:rFonts w:ascii="Arial" w:hAnsi="Arial" w:cs="Arial"/>
        </w:rPr>
        <w:t>v </w:t>
      </w:r>
      <w:r w:rsidRPr="00DF7F81">
        <w:rPr>
          <w:rFonts w:ascii="Arial" w:hAnsi="Arial" w:cs="Arial"/>
        </w:rPr>
        <w:t>souladu s články 107 a 108 Smlouvy prohlašují určité kategorie podpory za slučitelné s vnitřním trhem – L 187/1 (</w:t>
      </w:r>
      <w:r>
        <w:rPr>
          <w:rFonts w:ascii="Arial" w:hAnsi="Arial" w:cs="Arial"/>
        </w:rPr>
        <w:t>dále jen „Nařízení Komise (EU)“)</w:t>
      </w:r>
      <w:r w:rsidRPr="00DF7F81">
        <w:rPr>
          <w:rFonts w:ascii="Arial" w:hAnsi="Arial" w:cs="Arial"/>
        </w:rPr>
        <w:t xml:space="preserve"> </w:t>
      </w:r>
      <w:r>
        <w:rPr>
          <w:rFonts w:ascii="Arial" w:hAnsi="Arial" w:cs="Arial"/>
        </w:rPr>
        <w:t>a </w:t>
      </w:r>
      <w:r w:rsidRPr="00DF7F81">
        <w:rPr>
          <w:rFonts w:ascii="Arial" w:hAnsi="Arial" w:cs="Arial"/>
        </w:rPr>
        <w:t>Sdělení</w:t>
      </w:r>
      <w:r>
        <w:rPr>
          <w:rFonts w:ascii="Arial" w:hAnsi="Arial" w:cs="Arial"/>
        </w:rPr>
        <w:t>m</w:t>
      </w:r>
      <w:r w:rsidRPr="00DF7F81">
        <w:rPr>
          <w:rFonts w:ascii="Arial" w:hAnsi="Arial" w:cs="Arial"/>
        </w:rPr>
        <w:t xml:space="preserve"> Komise – Rámec pro státní podporu výzkumu, vývoje a inovací - 2014/C 198/01 (dále jen „Rámec“).</w:t>
      </w:r>
    </w:p>
    <w:p w14:paraId="0F96EA1E" w14:textId="77777777" w:rsidR="0078058C" w:rsidRPr="0026232B" w:rsidRDefault="0099436E" w:rsidP="001E1D3D">
      <w:pPr>
        <w:pStyle w:val="Normalodsazen"/>
        <w:numPr>
          <w:ilvl w:val="0"/>
          <w:numId w:val="21"/>
        </w:numPr>
        <w:spacing w:after="120" w:line="240" w:lineRule="auto"/>
        <w:rPr>
          <w:b/>
          <w:color w:val="0070C0"/>
          <w:sz w:val="24"/>
        </w:rPr>
      </w:pPr>
      <w:r w:rsidRPr="0026232B">
        <w:rPr>
          <w:b/>
          <w:color w:val="0070C0"/>
          <w:sz w:val="24"/>
        </w:rPr>
        <w:t>Soulad se zákonem o podpoře výzkumu, experimentálního vývoje a</w:t>
      </w:r>
      <w:r w:rsidR="00991C33" w:rsidRPr="0026232B">
        <w:rPr>
          <w:b/>
          <w:color w:val="0070C0"/>
          <w:sz w:val="24"/>
        </w:rPr>
        <w:t> </w:t>
      </w:r>
      <w:r w:rsidRPr="0026232B">
        <w:rPr>
          <w:b/>
          <w:color w:val="0070C0"/>
          <w:sz w:val="24"/>
        </w:rPr>
        <w:t>inovací</w:t>
      </w:r>
      <w:r w:rsidR="0078058C" w:rsidRPr="0026232B">
        <w:rPr>
          <w:b/>
          <w:color w:val="0070C0"/>
          <w:sz w:val="24"/>
        </w:rPr>
        <w:t xml:space="preserve"> </w:t>
      </w:r>
    </w:p>
    <w:p w14:paraId="2BA02816" w14:textId="0A13ED63" w:rsidR="00991C33" w:rsidRPr="00991C33" w:rsidRDefault="00991C33" w:rsidP="001E1D3D">
      <w:pPr>
        <w:spacing w:after="120"/>
        <w:jc w:val="both"/>
        <w:rPr>
          <w:rFonts w:ascii="Arial" w:hAnsi="Arial" w:cs="Arial"/>
        </w:rPr>
      </w:pPr>
      <w:r w:rsidRPr="00991C33">
        <w:rPr>
          <w:rFonts w:ascii="Arial" w:hAnsi="Arial" w:cs="Arial"/>
        </w:rPr>
        <w:t xml:space="preserve">Rada hodnotí splnění požadavků na obsah </w:t>
      </w:r>
      <w:r w:rsidR="0026232B">
        <w:rPr>
          <w:rFonts w:ascii="Arial" w:hAnsi="Arial" w:cs="Arial"/>
        </w:rPr>
        <w:t>nového</w:t>
      </w:r>
      <w:r w:rsidRPr="00991C33">
        <w:rPr>
          <w:rFonts w:ascii="Arial" w:hAnsi="Arial" w:cs="Arial"/>
        </w:rPr>
        <w:t xml:space="preserve"> programu, stanovených § 5 odst. 2 zákona </w:t>
      </w:r>
      <w:r w:rsidR="00D9058B">
        <w:rPr>
          <w:rFonts w:ascii="Arial" w:hAnsi="Arial" w:cs="Arial"/>
        </w:rPr>
        <w:t xml:space="preserve">č. 130/2002 Sb., o </w:t>
      </w:r>
      <w:r w:rsidR="00AB5C14">
        <w:rPr>
          <w:rFonts w:ascii="Arial" w:hAnsi="Arial" w:cs="Arial"/>
        </w:rPr>
        <w:t xml:space="preserve">podpoře </w:t>
      </w:r>
      <w:r w:rsidR="00D9058B">
        <w:rPr>
          <w:rFonts w:ascii="Arial" w:hAnsi="Arial" w:cs="Arial"/>
        </w:rPr>
        <w:t>výzkumu, experimentální</w:t>
      </w:r>
      <w:r w:rsidR="00AB5C14">
        <w:rPr>
          <w:rFonts w:ascii="Arial" w:hAnsi="Arial" w:cs="Arial"/>
        </w:rPr>
        <w:t>ho</w:t>
      </w:r>
      <w:r w:rsidR="00D9058B">
        <w:rPr>
          <w:rFonts w:ascii="Arial" w:hAnsi="Arial" w:cs="Arial"/>
        </w:rPr>
        <w:t xml:space="preserve"> vývoj</w:t>
      </w:r>
      <w:r w:rsidR="00AB5C14">
        <w:rPr>
          <w:rFonts w:ascii="Arial" w:hAnsi="Arial" w:cs="Arial"/>
        </w:rPr>
        <w:t>e</w:t>
      </w:r>
      <w:r w:rsidR="00D9058B">
        <w:rPr>
          <w:rFonts w:ascii="Arial" w:hAnsi="Arial" w:cs="Arial"/>
        </w:rPr>
        <w:t xml:space="preserve"> a inovací</w:t>
      </w:r>
      <w:r w:rsidR="005736AB">
        <w:rPr>
          <w:rFonts w:ascii="Arial" w:hAnsi="Arial" w:cs="Arial"/>
        </w:rPr>
        <w:t xml:space="preserve"> </w:t>
      </w:r>
      <w:r w:rsidRPr="00991C33">
        <w:rPr>
          <w:rFonts w:ascii="Arial" w:hAnsi="Arial" w:cs="Arial"/>
        </w:rPr>
        <w:t>takto:</w:t>
      </w:r>
    </w:p>
    <w:p w14:paraId="3A2EADC2" w14:textId="77777777" w:rsidR="00991C33" w:rsidRPr="00991C33" w:rsidRDefault="00991C33" w:rsidP="001E1D3D">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14:paraId="2BCCB62E" w14:textId="77777777" w:rsidR="00991C33" w:rsidRPr="00991C33" w:rsidRDefault="00991C33" w:rsidP="001E1D3D">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Program na podporu zdravotnického aplikovaného výzkumu </w:t>
      </w:r>
      <w:r w:rsidRPr="008C5426">
        <w:rPr>
          <w:rFonts w:ascii="Arial" w:hAnsi="Arial" w:cs="Arial"/>
        </w:rPr>
        <w:t xml:space="preserve">a vývoje </w:t>
      </w:r>
      <w:r w:rsidR="0026232B">
        <w:rPr>
          <w:rFonts w:ascii="Arial" w:hAnsi="Arial" w:cs="Arial"/>
        </w:rPr>
        <w:t xml:space="preserve">na léta </w:t>
      </w:r>
      <w:r w:rsidRPr="008C5426">
        <w:rPr>
          <w:rFonts w:ascii="Arial" w:hAnsi="Arial" w:cs="Arial"/>
        </w:rPr>
        <w:t>202</w:t>
      </w:r>
      <w:r w:rsidR="0026232B">
        <w:rPr>
          <w:rFonts w:ascii="Arial" w:hAnsi="Arial" w:cs="Arial"/>
        </w:rPr>
        <w:t>4</w:t>
      </w:r>
      <w:r w:rsidRPr="008C5426">
        <w:rPr>
          <w:rFonts w:ascii="Arial" w:hAnsi="Arial" w:cs="Arial"/>
        </w:rPr>
        <w:t xml:space="preserve"> - 20</w:t>
      </w:r>
      <w:r w:rsidR="0026232B">
        <w:rPr>
          <w:rFonts w:ascii="Arial" w:hAnsi="Arial" w:cs="Arial"/>
        </w:rPr>
        <w:t>30</w:t>
      </w:r>
      <w:r w:rsidRPr="00991C33">
        <w:rPr>
          <w:rFonts w:ascii="Arial" w:hAnsi="Arial" w:cs="Arial"/>
        </w:rPr>
        <w:t xml:space="preserve"> </w:t>
      </w:r>
    </w:p>
    <w:p w14:paraId="6775E038" w14:textId="77777777" w:rsidR="00991C33" w:rsidRDefault="00991C33" w:rsidP="001E1D3D">
      <w:pPr>
        <w:pStyle w:val="Zkladntext2"/>
        <w:spacing w:after="120"/>
        <w:jc w:val="both"/>
        <w:outlineLvl w:val="0"/>
        <w:rPr>
          <w:rFonts w:ascii="Arial" w:hAnsi="Arial" w:cs="Arial"/>
          <w:i/>
          <w:szCs w:val="24"/>
        </w:rPr>
      </w:pPr>
      <w:r w:rsidRPr="0099436E">
        <w:rPr>
          <w:rFonts w:ascii="Arial" w:hAnsi="Arial" w:cs="Arial"/>
          <w:szCs w:val="24"/>
          <w:u w:val="single"/>
        </w:rPr>
        <w:lastRenderedPageBreak/>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 xml:space="preserve">: </w:t>
      </w:r>
      <w:r w:rsidR="00153BD8">
        <w:rPr>
          <w:rFonts w:ascii="Arial" w:hAnsi="Arial" w:cs="Arial"/>
          <w:szCs w:val="24"/>
        </w:rPr>
        <w:t>NW</w:t>
      </w:r>
    </w:p>
    <w:p w14:paraId="3027B88F" w14:textId="77777777" w:rsidR="00491F88" w:rsidRPr="00816844" w:rsidRDefault="00991C33" w:rsidP="001E1D3D">
      <w:pPr>
        <w:spacing w:after="120"/>
        <w:jc w:val="both"/>
        <w:rPr>
          <w:rFonts w:ascii="Arial" w:hAnsi="Arial" w:cs="Arial"/>
        </w:rPr>
      </w:pPr>
      <w:r w:rsidRPr="00816844">
        <w:rPr>
          <w:rFonts w:ascii="Arial" w:hAnsi="Arial" w:cs="Arial"/>
          <w:u w:val="single"/>
        </w:rPr>
        <w:t>Členění na podprogramy:</w:t>
      </w:r>
      <w:r w:rsidRPr="00816844">
        <w:rPr>
          <w:rFonts w:ascii="Arial" w:hAnsi="Arial" w:cs="Arial"/>
        </w:rPr>
        <w:t xml:space="preserve"> </w:t>
      </w:r>
      <w:r w:rsidR="00491F88" w:rsidRPr="00816844">
        <w:rPr>
          <w:rFonts w:ascii="Arial" w:hAnsi="Arial" w:cs="Arial"/>
        </w:rPr>
        <w:t>Program je členěn na dva podprogramy, kritériem pro</w:t>
      </w:r>
      <w:r w:rsidR="00816844">
        <w:rPr>
          <w:rFonts w:ascii="Arial" w:hAnsi="Arial" w:cs="Arial"/>
        </w:rPr>
        <w:t> </w:t>
      </w:r>
      <w:r w:rsidR="00491F88" w:rsidRPr="00816844">
        <w:rPr>
          <w:rFonts w:ascii="Arial" w:hAnsi="Arial" w:cs="Arial"/>
        </w:rPr>
        <w:t xml:space="preserve">rozdělení je věk řešitelů. </w:t>
      </w:r>
    </w:p>
    <w:p w14:paraId="7EE01538" w14:textId="77777777" w:rsidR="00491F88" w:rsidRPr="00816844" w:rsidRDefault="00491F88" w:rsidP="000D29F5">
      <w:pPr>
        <w:spacing w:before="60" w:after="60"/>
        <w:jc w:val="both"/>
        <w:rPr>
          <w:rFonts w:ascii="Arial" w:hAnsi="Arial" w:cs="Arial"/>
        </w:rPr>
      </w:pPr>
      <w:r w:rsidRPr="00816844">
        <w:rPr>
          <w:rFonts w:ascii="Arial" w:hAnsi="Arial" w:cs="Arial"/>
        </w:rPr>
        <w:t>Hlavním cílem Podprogramu 1 je rozvoj zdravotnického aplikovaného výzkumu v ČR s důraznějším zaměřením na zlepšení podmínek pro rozvoj mezinárodní spolupráce.</w:t>
      </w:r>
    </w:p>
    <w:p w14:paraId="759B0C49" w14:textId="77777777" w:rsidR="00491F88" w:rsidRPr="00816844" w:rsidRDefault="00491F88" w:rsidP="000D29F5">
      <w:pPr>
        <w:spacing w:before="60" w:after="60"/>
        <w:jc w:val="both"/>
        <w:rPr>
          <w:rFonts w:ascii="Arial" w:hAnsi="Arial" w:cs="Arial"/>
        </w:rPr>
      </w:pPr>
      <w:r w:rsidRPr="00816844">
        <w:rPr>
          <w:rFonts w:ascii="Arial" w:hAnsi="Arial" w:cs="Arial"/>
        </w:rPr>
        <w:t>Řešiteli projektů mohou být pouze fyzické osoby</w:t>
      </w:r>
      <w:r w:rsidR="00816844" w:rsidRPr="00816844">
        <w:rPr>
          <w:rFonts w:ascii="Arial" w:hAnsi="Arial" w:cs="Arial"/>
        </w:rPr>
        <w:t xml:space="preserve">, které </w:t>
      </w:r>
      <w:r w:rsidRPr="00816844">
        <w:rPr>
          <w:rFonts w:ascii="Arial" w:hAnsi="Arial" w:cs="Arial"/>
        </w:rPr>
        <w:t>v době podávání návrhu projektu do</w:t>
      </w:r>
      <w:r w:rsidR="00816844" w:rsidRPr="00816844">
        <w:rPr>
          <w:rFonts w:ascii="Arial" w:hAnsi="Arial" w:cs="Arial"/>
        </w:rPr>
        <w:t> </w:t>
      </w:r>
      <w:r w:rsidRPr="00816844">
        <w:rPr>
          <w:rFonts w:ascii="Arial" w:hAnsi="Arial" w:cs="Arial"/>
        </w:rPr>
        <w:t>veřejné soutěže m</w:t>
      </w:r>
      <w:r w:rsidR="00816844" w:rsidRPr="00816844">
        <w:rPr>
          <w:rFonts w:ascii="Arial" w:hAnsi="Arial" w:cs="Arial"/>
        </w:rPr>
        <w:t>ají</w:t>
      </w:r>
      <w:r w:rsidRPr="00816844">
        <w:rPr>
          <w:rFonts w:ascii="Arial" w:hAnsi="Arial" w:cs="Arial"/>
        </w:rPr>
        <w:t xml:space="preserve"> akademický titul Ph.D. nebo jeho ekvivalent.</w:t>
      </w:r>
      <w:r w:rsidR="00816844" w:rsidRPr="00816844">
        <w:rPr>
          <w:rStyle w:val="Znakapoznpodarou"/>
          <w:rFonts w:ascii="Arial" w:hAnsi="Arial" w:cs="Arial"/>
        </w:rPr>
        <w:footnoteReference w:id="2"/>
      </w:r>
    </w:p>
    <w:p w14:paraId="583351F7" w14:textId="77777777" w:rsidR="00491F88" w:rsidRPr="009A0D19" w:rsidRDefault="00491F88" w:rsidP="001E1D3D">
      <w:pPr>
        <w:jc w:val="both"/>
        <w:rPr>
          <w:rFonts w:ascii="Arial" w:hAnsi="Arial" w:cs="Arial"/>
        </w:rPr>
      </w:pPr>
      <w:r w:rsidRPr="009A0D19">
        <w:rPr>
          <w:rFonts w:ascii="Arial" w:hAnsi="Arial" w:cs="Arial"/>
        </w:rPr>
        <w:t>Z prostředků účelové podpory přidělené na tento Program bude na Podprogram 1 alokováno cca 90 %.</w:t>
      </w:r>
    </w:p>
    <w:p w14:paraId="43DC5DE7" w14:textId="77777777" w:rsidR="00491F88" w:rsidRPr="009A0D19" w:rsidRDefault="00491F88" w:rsidP="000D29F5">
      <w:pPr>
        <w:spacing w:before="60" w:after="60"/>
        <w:jc w:val="both"/>
        <w:rPr>
          <w:rFonts w:ascii="Arial" w:hAnsi="Arial" w:cs="Arial"/>
        </w:rPr>
      </w:pPr>
      <w:r w:rsidRPr="009A0D19">
        <w:rPr>
          <w:rFonts w:ascii="Arial" w:hAnsi="Arial" w:cs="Arial"/>
        </w:rPr>
        <w:t>Hlavním cílem Podprogramu 2 je pod</w:t>
      </w:r>
      <w:r w:rsidR="00816844" w:rsidRPr="009A0D19">
        <w:rPr>
          <w:rFonts w:ascii="Arial" w:hAnsi="Arial" w:cs="Arial"/>
        </w:rPr>
        <w:t xml:space="preserve">pora rozvoje mladých výzkumníků. </w:t>
      </w:r>
      <w:r w:rsidRPr="009A0D19">
        <w:rPr>
          <w:rFonts w:ascii="Arial" w:hAnsi="Arial" w:cs="Arial"/>
        </w:rPr>
        <w:t>V rámci Podprogramu 2 budou podporovány projekty, jejichž řešitel</w:t>
      </w:r>
      <w:r w:rsidR="00816844" w:rsidRPr="009A0D19">
        <w:rPr>
          <w:rFonts w:ascii="Arial" w:hAnsi="Arial" w:cs="Arial"/>
        </w:rPr>
        <w:t>i mohou</w:t>
      </w:r>
      <w:r w:rsidRPr="009A0D19">
        <w:rPr>
          <w:rFonts w:ascii="Arial" w:hAnsi="Arial" w:cs="Arial"/>
        </w:rPr>
        <w:t xml:space="preserve"> být jen fyzick</w:t>
      </w:r>
      <w:r w:rsidR="00816844" w:rsidRPr="009A0D19">
        <w:rPr>
          <w:rFonts w:ascii="Arial" w:hAnsi="Arial" w:cs="Arial"/>
        </w:rPr>
        <w:t>é</w:t>
      </w:r>
      <w:r w:rsidRPr="009A0D19">
        <w:rPr>
          <w:rFonts w:ascii="Arial" w:hAnsi="Arial" w:cs="Arial"/>
        </w:rPr>
        <w:t xml:space="preserve"> osob</w:t>
      </w:r>
      <w:r w:rsidR="00816844" w:rsidRPr="009A0D19">
        <w:rPr>
          <w:rFonts w:ascii="Arial" w:hAnsi="Arial" w:cs="Arial"/>
        </w:rPr>
        <w:t xml:space="preserve">y, </w:t>
      </w:r>
      <w:r w:rsidRPr="009A0D19">
        <w:rPr>
          <w:rFonts w:ascii="Arial" w:hAnsi="Arial" w:cs="Arial"/>
        </w:rPr>
        <w:t>kter</w:t>
      </w:r>
      <w:r w:rsidR="00816844" w:rsidRPr="009A0D19">
        <w:rPr>
          <w:rFonts w:ascii="Arial" w:hAnsi="Arial" w:cs="Arial"/>
        </w:rPr>
        <w:t>é</w:t>
      </w:r>
      <w:r w:rsidRPr="009A0D19">
        <w:rPr>
          <w:rFonts w:ascii="Arial" w:hAnsi="Arial" w:cs="Arial"/>
        </w:rPr>
        <w:t xml:space="preserve"> v době podání návrhu projektu do veřejné soutěže dosáhl</w:t>
      </w:r>
      <w:r w:rsidR="00816844" w:rsidRPr="009A0D19">
        <w:rPr>
          <w:rFonts w:ascii="Arial" w:hAnsi="Arial" w:cs="Arial"/>
        </w:rPr>
        <w:t>y</w:t>
      </w:r>
      <w:r w:rsidRPr="009A0D19">
        <w:rPr>
          <w:rFonts w:ascii="Arial" w:hAnsi="Arial" w:cs="Arial"/>
        </w:rPr>
        <w:t xml:space="preserve"> věku nejvýše 35 let a m</w:t>
      </w:r>
      <w:r w:rsidR="00816844" w:rsidRPr="009A0D19">
        <w:rPr>
          <w:rFonts w:ascii="Arial" w:hAnsi="Arial" w:cs="Arial"/>
        </w:rPr>
        <w:t>ají</w:t>
      </w:r>
      <w:r w:rsidRPr="009A0D19">
        <w:rPr>
          <w:rFonts w:ascii="Arial" w:hAnsi="Arial" w:cs="Arial"/>
        </w:rPr>
        <w:t xml:space="preserve"> akademický titul Ph.D. nebo jeho ekvivalent</w:t>
      </w:r>
      <w:r w:rsidR="009A0D19">
        <w:rPr>
          <w:rStyle w:val="Znakapoznpodarou"/>
          <w:rFonts w:ascii="Arial" w:hAnsi="Arial" w:cs="Arial"/>
        </w:rPr>
        <w:footnoteReference w:id="3"/>
      </w:r>
      <w:r w:rsidR="00816844" w:rsidRPr="009A0D19">
        <w:rPr>
          <w:rFonts w:ascii="Arial" w:hAnsi="Arial" w:cs="Arial"/>
        </w:rPr>
        <w:t>.</w:t>
      </w:r>
    </w:p>
    <w:p w14:paraId="780B3357" w14:textId="77777777" w:rsidR="00491F88" w:rsidRDefault="00491F88" w:rsidP="000D29F5">
      <w:pPr>
        <w:spacing w:before="60" w:after="60"/>
        <w:jc w:val="both"/>
        <w:rPr>
          <w:rFonts w:ascii="Arial" w:hAnsi="Arial" w:cs="Arial"/>
        </w:rPr>
      </w:pPr>
      <w:r w:rsidRPr="009A0D19">
        <w:rPr>
          <w:rFonts w:ascii="Arial" w:hAnsi="Arial" w:cs="Arial"/>
        </w:rPr>
        <w:t>Z prostředků účelové podpory přidělené na tento Program bude na projekty mladých vědců alokováno cca 10 %.</w:t>
      </w:r>
    </w:p>
    <w:p w14:paraId="60BD9B4C" w14:textId="487925E2" w:rsidR="009A0D19" w:rsidRPr="00B34399" w:rsidRDefault="009A0D19" w:rsidP="000D29F5">
      <w:pPr>
        <w:spacing w:before="60" w:after="60"/>
        <w:jc w:val="both"/>
        <w:rPr>
          <w:rFonts w:ascii="Arial" w:hAnsi="Arial" w:cs="Arial"/>
        </w:rPr>
      </w:pPr>
      <w:r w:rsidRPr="00637D93">
        <w:rPr>
          <w:rFonts w:ascii="Arial" w:hAnsi="Arial" w:cs="Arial"/>
          <w:u w:val="single"/>
        </w:rPr>
        <w:t>Termín vyhlášení a doba trvání programu:</w:t>
      </w:r>
      <w:r w:rsidR="00370A46">
        <w:rPr>
          <w:rFonts w:ascii="Arial" w:hAnsi="Arial" w:cs="Arial"/>
        </w:rPr>
        <w:t xml:space="preserve"> </w:t>
      </w:r>
      <w:r w:rsidRPr="00B34399">
        <w:rPr>
          <w:rFonts w:ascii="Arial" w:hAnsi="Arial" w:cs="Arial"/>
        </w:rPr>
        <w:t xml:space="preserve">Doba trvání Programu je stanovena v letech 2024 až 2030, tj. 7 let. Je plánováno vyhlášení celkem čtyř jednostupňových veřejných soutěží. </w:t>
      </w:r>
    </w:p>
    <w:p w14:paraId="64FB94D7" w14:textId="77777777" w:rsidR="009A0D19" w:rsidRDefault="009A0D19" w:rsidP="000D29F5">
      <w:pPr>
        <w:spacing w:before="60" w:after="60"/>
        <w:jc w:val="both"/>
        <w:rPr>
          <w:rFonts w:ascii="Arial" w:hAnsi="Arial" w:cs="Arial"/>
        </w:rPr>
      </w:pPr>
      <w:r w:rsidRPr="00B34399">
        <w:rPr>
          <w:rFonts w:ascii="Arial" w:hAnsi="Arial" w:cs="Arial"/>
        </w:rPr>
        <w:t xml:space="preserve">Veřejná soutěž ve výzkumu, vývoji a inovacích </w:t>
      </w:r>
      <w:r w:rsidR="00370A46">
        <w:rPr>
          <w:rFonts w:ascii="Arial" w:hAnsi="Arial" w:cs="Arial"/>
        </w:rPr>
        <w:t xml:space="preserve">(dále jen „veřejná soutěž“) </w:t>
      </w:r>
      <w:r w:rsidRPr="00B34399">
        <w:rPr>
          <w:rFonts w:ascii="Arial" w:hAnsi="Arial" w:cs="Arial"/>
        </w:rPr>
        <w:t>bude vyhlášena poprvé v roce 2023 se</w:t>
      </w:r>
      <w:r w:rsidR="00370A46">
        <w:rPr>
          <w:rFonts w:ascii="Arial" w:hAnsi="Arial" w:cs="Arial"/>
        </w:rPr>
        <w:t> </w:t>
      </w:r>
      <w:r w:rsidRPr="00B34399">
        <w:rPr>
          <w:rFonts w:ascii="Arial" w:hAnsi="Arial" w:cs="Arial"/>
        </w:rPr>
        <w:t>zahájením poskytování podpory v roce 2024. Následně je plánováno každoroční vyhlášení veřejných soutěží v letech 2024, 2025 a</w:t>
      </w:r>
      <w:r w:rsidR="00370A46">
        <w:rPr>
          <w:rFonts w:ascii="Arial" w:hAnsi="Arial" w:cs="Arial"/>
        </w:rPr>
        <w:t> </w:t>
      </w:r>
      <w:r w:rsidRPr="00B34399">
        <w:rPr>
          <w:rFonts w:ascii="Arial" w:hAnsi="Arial" w:cs="Arial"/>
        </w:rPr>
        <w:t>2026, se zahájením poskytování podpory v letech 2025, 2026 a 2027</w:t>
      </w:r>
      <w:r w:rsidR="00355E9D">
        <w:rPr>
          <w:rFonts w:ascii="Arial" w:hAnsi="Arial" w:cs="Arial"/>
        </w:rPr>
        <w:t>. D</w:t>
      </w:r>
      <w:r w:rsidRPr="00B34399">
        <w:rPr>
          <w:rFonts w:ascii="Arial" w:hAnsi="Arial" w:cs="Arial"/>
        </w:rPr>
        <w:t xml:space="preserve">o veřejné soutěže vyhlášené v roce 2026 se budou moci přihlásit projekty s maximální délkou trvání čtyři roky tak, aby projekty byly ukončeny nejpozději do 31. prosince 2030. </w:t>
      </w:r>
    </w:p>
    <w:p w14:paraId="2289DAF8" w14:textId="77777777" w:rsidR="00370A46" w:rsidRDefault="00370A46" w:rsidP="001E1D3D">
      <w:pPr>
        <w:pStyle w:val="Zkladntext"/>
        <w:numPr>
          <w:ilvl w:val="0"/>
          <w:numId w:val="2"/>
        </w:numPr>
        <w:jc w:val="both"/>
        <w:rPr>
          <w:rFonts w:ascii="Arial" w:hAnsi="Arial" w:cs="Arial"/>
          <w:szCs w:val="22"/>
          <w:u w:val="single"/>
        </w:rPr>
      </w:pPr>
      <w:r w:rsidRPr="001A65AF">
        <w:rPr>
          <w:rFonts w:ascii="Arial" w:hAnsi="Arial" w:cs="Arial"/>
          <w:szCs w:val="22"/>
          <w:u w:val="single"/>
        </w:rPr>
        <w:t>celkové výdaje na uskutečnění programu, popřípadě podprogramů, z toho výdaje z veřejných prostředků s uvedením výdajů státního rozpočtu, a jejich členění v jednotlivých letech:</w:t>
      </w:r>
    </w:p>
    <w:p w14:paraId="1DA20DEC" w14:textId="77777777" w:rsidR="00934DE6" w:rsidRDefault="00934DE6" w:rsidP="000D29F5">
      <w:pPr>
        <w:spacing w:before="60" w:after="60"/>
        <w:jc w:val="both"/>
      </w:pPr>
      <w:r w:rsidRPr="00934DE6">
        <w:rPr>
          <w:rFonts w:ascii="Arial" w:hAnsi="Arial" w:cs="Arial"/>
        </w:rPr>
        <w:t>Celkové výdaje za dobu trvání Programu v letech 2024 až 2030 se předpokládají ve</w:t>
      </w:r>
      <w:r>
        <w:rPr>
          <w:rFonts w:ascii="Arial" w:hAnsi="Arial" w:cs="Arial"/>
        </w:rPr>
        <w:t> </w:t>
      </w:r>
      <w:r w:rsidRPr="00934DE6">
        <w:rPr>
          <w:rFonts w:ascii="Arial" w:hAnsi="Arial" w:cs="Arial"/>
        </w:rPr>
        <w:t>výši 6 050 mil. Kč, z toho 5 500 mil. Kč bude financováno ze státního rozpočtu na</w:t>
      </w:r>
      <w:r w:rsidR="00355E9D">
        <w:rPr>
          <w:rFonts w:ascii="Arial" w:hAnsi="Arial" w:cs="Arial"/>
        </w:rPr>
        <w:t> </w:t>
      </w:r>
      <w:r w:rsidRPr="00934DE6">
        <w:rPr>
          <w:rFonts w:ascii="Arial" w:hAnsi="Arial" w:cs="Arial"/>
        </w:rPr>
        <w:t>výzkum, vývoj a inovace. Financování Programu bude realizováno podle možností státního rozpočtu.</w:t>
      </w:r>
      <w:r w:rsidRPr="00DA432B">
        <w:t xml:space="preserve"> </w:t>
      </w:r>
    </w:p>
    <w:p w14:paraId="6CFCE88E" w14:textId="77777777" w:rsidR="00934DE6" w:rsidRPr="00934DE6" w:rsidRDefault="00934DE6" w:rsidP="000D29F5">
      <w:pPr>
        <w:spacing w:before="60" w:after="60"/>
        <w:ind w:left="360"/>
        <w:jc w:val="both"/>
        <w:rPr>
          <w:rFonts w:ascii="Arial" w:hAnsi="Arial" w:cs="Arial"/>
          <w:b/>
        </w:rPr>
      </w:pPr>
      <w:r w:rsidRPr="00934DE6">
        <w:rPr>
          <w:rFonts w:ascii="Arial" w:hAnsi="Arial" w:cs="Arial"/>
          <w:b/>
        </w:rPr>
        <w:t>Celkové výdaje na Program a výdaje ze státního rozpočtu (v mil. Kč)</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5"/>
        <w:gridCol w:w="826"/>
        <w:gridCol w:w="826"/>
        <w:gridCol w:w="826"/>
        <w:gridCol w:w="826"/>
        <w:gridCol w:w="826"/>
        <w:gridCol w:w="826"/>
        <w:gridCol w:w="826"/>
        <w:gridCol w:w="1234"/>
      </w:tblGrid>
      <w:tr w:rsidR="00934DE6" w:rsidRPr="00934DE6" w14:paraId="4115B294" w14:textId="77777777" w:rsidTr="00F97C83">
        <w:tc>
          <w:tcPr>
            <w:tcW w:w="1985" w:type="dxa"/>
            <w:shd w:val="clear" w:color="auto" w:fill="E6E6E6"/>
            <w:vAlign w:val="center"/>
          </w:tcPr>
          <w:p w14:paraId="3D7276EA" w14:textId="77777777" w:rsidR="00934DE6" w:rsidRPr="00934DE6" w:rsidRDefault="00934DE6" w:rsidP="000D29F5">
            <w:pPr>
              <w:spacing w:before="60"/>
              <w:jc w:val="center"/>
              <w:rPr>
                <w:rFonts w:ascii="Arial" w:hAnsi="Arial" w:cs="Arial"/>
                <w:b/>
              </w:rPr>
            </w:pPr>
            <w:r w:rsidRPr="00934DE6">
              <w:rPr>
                <w:rFonts w:ascii="Arial" w:hAnsi="Arial" w:cs="Arial"/>
                <w:b/>
              </w:rPr>
              <w:t>rok</w:t>
            </w:r>
          </w:p>
        </w:tc>
        <w:tc>
          <w:tcPr>
            <w:tcW w:w="851" w:type="dxa"/>
            <w:shd w:val="clear" w:color="auto" w:fill="E6E6E6"/>
            <w:vAlign w:val="center"/>
          </w:tcPr>
          <w:p w14:paraId="6B48B510" w14:textId="77777777" w:rsidR="00934DE6" w:rsidRPr="00934DE6" w:rsidRDefault="00934DE6" w:rsidP="000D29F5">
            <w:pPr>
              <w:spacing w:before="60"/>
              <w:jc w:val="center"/>
              <w:rPr>
                <w:rFonts w:ascii="Arial" w:hAnsi="Arial" w:cs="Arial"/>
                <w:b/>
              </w:rPr>
            </w:pPr>
            <w:r w:rsidRPr="00934DE6">
              <w:rPr>
                <w:rFonts w:ascii="Arial" w:hAnsi="Arial" w:cs="Arial"/>
                <w:b/>
              </w:rPr>
              <w:t>2024</w:t>
            </w:r>
          </w:p>
        </w:tc>
        <w:tc>
          <w:tcPr>
            <w:tcW w:w="851" w:type="dxa"/>
            <w:shd w:val="clear" w:color="auto" w:fill="E6E6E6"/>
            <w:vAlign w:val="center"/>
          </w:tcPr>
          <w:p w14:paraId="5F5720A5" w14:textId="77777777" w:rsidR="00934DE6" w:rsidRPr="00934DE6" w:rsidRDefault="00934DE6" w:rsidP="000D29F5">
            <w:pPr>
              <w:spacing w:before="60"/>
              <w:jc w:val="center"/>
              <w:rPr>
                <w:rFonts w:ascii="Arial" w:hAnsi="Arial" w:cs="Arial"/>
              </w:rPr>
            </w:pPr>
            <w:r w:rsidRPr="00934DE6">
              <w:rPr>
                <w:rFonts w:ascii="Arial" w:hAnsi="Arial" w:cs="Arial"/>
                <w:b/>
              </w:rPr>
              <w:t>2025</w:t>
            </w:r>
          </w:p>
        </w:tc>
        <w:tc>
          <w:tcPr>
            <w:tcW w:w="851" w:type="dxa"/>
            <w:shd w:val="clear" w:color="auto" w:fill="E6E6E6"/>
            <w:vAlign w:val="center"/>
          </w:tcPr>
          <w:p w14:paraId="2C8C4145" w14:textId="77777777" w:rsidR="00934DE6" w:rsidRPr="00934DE6" w:rsidRDefault="00934DE6" w:rsidP="000D29F5">
            <w:pPr>
              <w:spacing w:before="60"/>
              <w:jc w:val="center"/>
              <w:rPr>
                <w:rFonts w:ascii="Arial" w:hAnsi="Arial" w:cs="Arial"/>
                <w:b/>
              </w:rPr>
            </w:pPr>
            <w:r w:rsidRPr="00934DE6">
              <w:rPr>
                <w:rFonts w:ascii="Arial" w:hAnsi="Arial" w:cs="Arial"/>
                <w:b/>
              </w:rPr>
              <w:t>2026</w:t>
            </w:r>
          </w:p>
        </w:tc>
        <w:tc>
          <w:tcPr>
            <w:tcW w:w="851" w:type="dxa"/>
            <w:shd w:val="clear" w:color="auto" w:fill="E6E6E6"/>
            <w:vAlign w:val="center"/>
          </w:tcPr>
          <w:p w14:paraId="1BB0BA0D" w14:textId="77777777" w:rsidR="00934DE6" w:rsidRPr="00934DE6" w:rsidRDefault="00934DE6" w:rsidP="000D29F5">
            <w:pPr>
              <w:spacing w:before="60"/>
              <w:jc w:val="center"/>
              <w:rPr>
                <w:rFonts w:ascii="Arial" w:hAnsi="Arial" w:cs="Arial"/>
                <w:b/>
              </w:rPr>
            </w:pPr>
            <w:r w:rsidRPr="00934DE6">
              <w:rPr>
                <w:rFonts w:ascii="Arial" w:hAnsi="Arial" w:cs="Arial"/>
                <w:b/>
              </w:rPr>
              <w:t>2027</w:t>
            </w:r>
          </w:p>
        </w:tc>
        <w:tc>
          <w:tcPr>
            <w:tcW w:w="851" w:type="dxa"/>
            <w:shd w:val="clear" w:color="auto" w:fill="E6E6E6"/>
            <w:vAlign w:val="center"/>
          </w:tcPr>
          <w:p w14:paraId="65DE5139" w14:textId="77777777" w:rsidR="00934DE6" w:rsidRPr="00934DE6" w:rsidRDefault="00934DE6" w:rsidP="000D29F5">
            <w:pPr>
              <w:spacing w:before="60"/>
              <w:jc w:val="center"/>
              <w:rPr>
                <w:rFonts w:ascii="Arial" w:hAnsi="Arial" w:cs="Arial"/>
                <w:b/>
              </w:rPr>
            </w:pPr>
            <w:r w:rsidRPr="00934DE6">
              <w:rPr>
                <w:rFonts w:ascii="Arial" w:hAnsi="Arial" w:cs="Arial"/>
                <w:b/>
              </w:rPr>
              <w:t>2028</w:t>
            </w:r>
          </w:p>
        </w:tc>
        <w:tc>
          <w:tcPr>
            <w:tcW w:w="851" w:type="dxa"/>
            <w:shd w:val="clear" w:color="auto" w:fill="E6E6E6"/>
            <w:vAlign w:val="center"/>
          </w:tcPr>
          <w:p w14:paraId="1CDEE302" w14:textId="77777777" w:rsidR="00934DE6" w:rsidRPr="00934DE6" w:rsidRDefault="00934DE6" w:rsidP="000D29F5">
            <w:pPr>
              <w:spacing w:before="60"/>
              <w:jc w:val="center"/>
              <w:rPr>
                <w:rFonts w:ascii="Arial" w:hAnsi="Arial" w:cs="Arial"/>
                <w:b/>
              </w:rPr>
            </w:pPr>
            <w:r w:rsidRPr="00934DE6">
              <w:rPr>
                <w:rFonts w:ascii="Arial" w:hAnsi="Arial" w:cs="Arial"/>
                <w:b/>
              </w:rPr>
              <w:t>2029</w:t>
            </w:r>
          </w:p>
        </w:tc>
        <w:tc>
          <w:tcPr>
            <w:tcW w:w="851" w:type="dxa"/>
            <w:shd w:val="clear" w:color="auto" w:fill="E6E6E6"/>
            <w:vAlign w:val="center"/>
          </w:tcPr>
          <w:p w14:paraId="2DB77B66" w14:textId="77777777" w:rsidR="00934DE6" w:rsidRPr="00934DE6" w:rsidRDefault="00934DE6" w:rsidP="000D29F5">
            <w:pPr>
              <w:spacing w:before="60"/>
              <w:jc w:val="center"/>
              <w:rPr>
                <w:rFonts w:ascii="Arial" w:hAnsi="Arial" w:cs="Arial"/>
                <w:b/>
              </w:rPr>
            </w:pPr>
            <w:r w:rsidRPr="00934DE6">
              <w:rPr>
                <w:rFonts w:ascii="Arial" w:hAnsi="Arial" w:cs="Arial"/>
                <w:b/>
              </w:rPr>
              <w:t>2030</w:t>
            </w:r>
          </w:p>
        </w:tc>
        <w:tc>
          <w:tcPr>
            <w:tcW w:w="1276" w:type="dxa"/>
            <w:shd w:val="clear" w:color="auto" w:fill="E6E6E6"/>
            <w:vAlign w:val="center"/>
          </w:tcPr>
          <w:p w14:paraId="7305D051" w14:textId="77777777" w:rsidR="00934DE6" w:rsidRPr="00934DE6" w:rsidRDefault="00934DE6" w:rsidP="000D29F5">
            <w:pPr>
              <w:spacing w:before="60"/>
              <w:jc w:val="center"/>
              <w:rPr>
                <w:rFonts w:ascii="Arial" w:hAnsi="Arial" w:cs="Arial"/>
                <w:b/>
              </w:rPr>
            </w:pPr>
            <w:r w:rsidRPr="00934DE6">
              <w:rPr>
                <w:rFonts w:ascii="Arial" w:hAnsi="Arial" w:cs="Arial"/>
                <w:b/>
              </w:rPr>
              <w:t>celkem</w:t>
            </w:r>
          </w:p>
        </w:tc>
      </w:tr>
      <w:tr w:rsidR="00934DE6" w:rsidRPr="00934DE6" w14:paraId="57160554" w14:textId="77777777" w:rsidTr="00F97C83">
        <w:tc>
          <w:tcPr>
            <w:tcW w:w="1985" w:type="dxa"/>
            <w:shd w:val="clear" w:color="auto" w:fill="auto"/>
            <w:vAlign w:val="center"/>
          </w:tcPr>
          <w:p w14:paraId="7870BB0B" w14:textId="77777777" w:rsidR="00934DE6" w:rsidRPr="00934DE6" w:rsidRDefault="00934DE6" w:rsidP="000D29F5">
            <w:pPr>
              <w:spacing w:before="60"/>
              <w:rPr>
                <w:rFonts w:ascii="Arial" w:hAnsi="Arial" w:cs="Arial"/>
              </w:rPr>
            </w:pPr>
            <w:r w:rsidRPr="00934DE6">
              <w:rPr>
                <w:rFonts w:ascii="Arial" w:hAnsi="Arial" w:cs="Arial"/>
              </w:rPr>
              <w:t>Celkové výdaje</w:t>
            </w:r>
          </w:p>
        </w:tc>
        <w:tc>
          <w:tcPr>
            <w:tcW w:w="851" w:type="dxa"/>
            <w:shd w:val="clear" w:color="auto" w:fill="auto"/>
            <w:vAlign w:val="bottom"/>
          </w:tcPr>
          <w:p w14:paraId="17C488B0" w14:textId="77777777" w:rsidR="00934DE6" w:rsidRPr="00934DE6" w:rsidRDefault="00934DE6" w:rsidP="000D29F5">
            <w:pPr>
              <w:spacing w:before="60"/>
              <w:jc w:val="center"/>
              <w:rPr>
                <w:rFonts w:ascii="Arial" w:hAnsi="Arial" w:cs="Arial"/>
              </w:rPr>
            </w:pPr>
            <w:r w:rsidRPr="00934DE6">
              <w:rPr>
                <w:rFonts w:ascii="Arial" w:hAnsi="Arial" w:cs="Arial"/>
              </w:rPr>
              <w:t>330</w:t>
            </w:r>
          </w:p>
        </w:tc>
        <w:tc>
          <w:tcPr>
            <w:tcW w:w="851" w:type="dxa"/>
            <w:shd w:val="clear" w:color="auto" w:fill="auto"/>
            <w:vAlign w:val="bottom"/>
          </w:tcPr>
          <w:p w14:paraId="69BC8CCB" w14:textId="77777777" w:rsidR="00934DE6" w:rsidRPr="00934DE6" w:rsidRDefault="00934DE6" w:rsidP="000D29F5">
            <w:pPr>
              <w:spacing w:before="60"/>
              <w:jc w:val="center"/>
              <w:rPr>
                <w:rFonts w:ascii="Arial" w:hAnsi="Arial" w:cs="Arial"/>
              </w:rPr>
            </w:pPr>
            <w:r w:rsidRPr="00934DE6">
              <w:rPr>
                <w:rFonts w:ascii="Arial" w:hAnsi="Arial" w:cs="Arial"/>
              </w:rPr>
              <w:t>825</w:t>
            </w:r>
          </w:p>
        </w:tc>
        <w:tc>
          <w:tcPr>
            <w:tcW w:w="851" w:type="dxa"/>
            <w:shd w:val="clear" w:color="auto" w:fill="auto"/>
            <w:vAlign w:val="bottom"/>
          </w:tcPr>
          <w:p w14:paraId="0172452E" w14:textId="77777777" w:rsidR="00934DE6" w:rsidRPr="00934DE6" w:rsidRDefault="00934DE6" w:rsidP="000D29F5">
            <w:pPr>
              <w:spacing w:before="60"/>
              <w:jc w:val="center"/>
              <w:rPr>
                <w:rFonts w:ascii="Arial" w:hAnsi="Arial" w:cs="Arial"/>
              </w:rPr>
            </w:pPr>
            <w:r w:rsidRPr="00934DE6">
              <w:rPr>
                <w:rFonts w:ascii="Arial" w:hAnsi="Arial" w:cs="Arial"/>
              </w:rPr>
              <w:t>1155</w:t>
            </w:r>
          </w:p>
        </w:tc>
        <w:tc>
          <w:tcPr>
            <w:tcW w:w="851" w:type="dxa"/>
            <w:shd w:val="clear" w:color="auto" w:fill="auto"/>
            <w:vAlign w:val="bottom"/>
          </w:tcPr>
          <w:p w14:paraId="17D4ABBD" w14:textId="77777777" w:rsidR="00934DE6" w:rsidRPr="00934DE6" w:rsidRDefault="00934DE6" w:rsidP="000D29F5">
            <w:pPr>
              <w:spacing w:before="60"/>
              <w:jc w:val="center"/>
              <w:rPr>
                <w:rFonts w:ascii="Arial" w:hAnsi="Arial" w:cs="Arial"/>
              </w:rPr>
            </w:pPr>
            <w:r w:rsidRPr="00934DE6">
              <w:rPr>
                <w:rFonts w:ascii="Arial" w:hAnsi="Arial" w:cs="Arial"/>
              </w:rPr>
              <w:t>1430</w:t>
            </w:r>
          </w:p>
        </w:tc>
        <w:tc>
          <w:tcPr>
            <w:tcW w:w="851" w:type="dxa"/>
            <w:shd w:val="clear" w:color="auto" w:fill="auto"/>
            <w:vAlign w:val="bottom"/>
          </w:tcPr>
          <w:p w14:paraId="54CD23B6" w14:textId="77777777" w:rsidR="00934DE6" w:rsidRPr="00934DE6" w:rsidRDefault="00934DE6" w:rsidP="000D29F5">
            <w:pPr>
              <w:spacing w:before="60"/>
              <w:jc w:val="center"/>
              <w:rPr>
                <w:rFonts w:ascii="Arial" w:hAnsi="Arial" w:cs="Arial"/>
              </w:rPr>
            </w:pPr>
            <w:r w:rsidRPr="00934DE6">
              <w:rPr>
                <w:rFonts w:ascii="Arial" w:hAnsi="Arial" w:cs="Arial"/>
              </w:rPr>
              <w:t>1155</w:t>
            </w:r>
          </w:p>
        </w:tc>
        <w:tc>
          <w:tcPr>
            <w:tcW w:w="851" w:type="dxa"/>
            <w:shd w:val="clear" w:color="auto" w:fill="auto"/>
            <w:vAlign w:val="bottom"/>
          </w:tcPr>
          <w:p w14:paraId="5CDFEF58" w14:textId="77777777" w:rsidR="00934DE6" w:rsidRPr="00934DE6" w:rsidRDefault="00934DE6" w:rsidP="000D29F5">
            <w:pPr>
              <w:spacing w:before="60"/>
              <w:jc w:val="center"/>
              <w:rPr>
                <w:rFonts w:ascii="Arial" w:hAnsi="Arial" w:cs="Arial"/>
              </w:rPr>
            </w:pPr>
            <w:r w:rsidRPr="00934DE6">
              <w:rPr>
                <w:rFonts w:ascii="Arial" w:hAnsi="Arial" w:cs="Arial"/>
              </w:rPr>
              <w:t>770</w:t>
            </w:r>
          </w:p>
        </w:tc>
        <w:tc>
          <w:tcPr>
            <w:tcW w:w="851" w:type="dxa"/>
            <w:shd w:val="clear" w:color="auto" w:fill="auto"/>
            <w:vAlign w:val="bottom"/>
          </w:tcPr>
          <w:p w14:paraId="15EDEC9F" w14:textId="77777777" w:rsidR="00934DE6" w:rsidRPr="00934DE6" w:rsidRDefault="00934DE6" w:rsidP="000D29F5">
            <w:pPr>
              <w:spacing w:before="60"/>
              <w:jc w:val="center"/>
              <w:rPr>
                <w:rFonts w:ascii="Arial" w:hAnsi="Arial" w:cs="Arial"/>
              </w:rPr>
            </w:pPr>
            <w:r w:rsidRPr="00934DE6">
              <w:rPr>
                <w:rFonts w:ascii="Arial" w:hAnsi="Arial" w:cs="Arial"/>
              </w:rPr>
              <w:t>385</w:t>
            </w:r>
          </w:p>
        </w:tc>
        <w:tc>
          <w:tcPr>
            <w:tcW w:w="1276" w:type="dxa"/>
            <w:shd w:val="clear" w:color="auto" w:fill="auto"/>
            <w:vAlign w:val="bottom"/>
          </w:tcPr>
          <w:p w14:paraId="639B4795" w14:textId="77777777" w:rsidR="00934DE6" w:rsidRPr="00934DE6" w:rsidRDefault="00934DE6" w:rsidP="000D29F5">
            <w:pPr>
              <w:spacing w:before="60"/>
              <w:jc w:val="center"/>
              <w:rPr>
                <w:rFonts w:ascii="Arial" w:hAnsi="Arial" w:cs="Arial"/>
              </w:rPr>
            </w:pPr>
            <w:r w:rsidRPr="00934DE6">
              <w:rPr>
                <w:rFonts w:ascii="Arial" w:hAnsi="Arial" w:cs="Arial"/>
              </w:rPr>
              <w:t>6050</w:t>
            </w:r>
          </w:p>
        </w:tc>
      </w:tr>
      <w:tr w:rsidR="00934DE6" w:rsidRPr="00934DE6" w14:paraId="6C80EE43" w14:textId="77777777" w:rsidTr="00F97C83">
        <w:tc>
          <w:tcPr>
            <w:tcW w:w="1985" w:type="dxa"/>
            <w:shd w:val="clear" w:color="auto" w:fill="auto"/>
            <w:vAlign w:val="center"/>
          </w:tcPr>
          <w:p w14:paraId="02D75E6E" w14:textId="77777777" w:rsidR="00934DE6" w:rsidRPr="00934DE6" w:rsidRDefault="00934DE6" w:rsidP="000D29F5">
            <w:pPr>
              <w:spacing w:before="60"/>
              <w:rPr>
                <w:rFonts w:ascii="Arial" w:hAnsi="Arial" w:cs="Arial"/>
              </w:rPr>
            </w:pPr>
            <w:r w:rsidRPr="00934DE6">
              <w:rPr>
                <w:rFonts w:ascii="Arial" w:hAnsi="Arial" w:cs="Arial"/>
              </w:rPr>
              <w:t>Výdaje státního rozpočtu</w:t>
            </w:r>
          </w:p>
        </w:tc>
        <w:tc>
          <w:tcPr>
            <w:tcW w:w="851" w:type="dxa"/>
            <w:shd w:val="clear" w:color="auto" w:fill="auto"/>
            <w:vAlign w:val="center"/>
          </w:tcPr>
          <w:p w14:paraId="1B4E5F8E" w14:textId="77777777" w:rsidR="00934DE6" w:rsidRPr="00934DE6" w:rsidRDefault="00934DE6" w:rsidP="000D29F5">
            <w:pPr>
              <w:spacing w:before="60"/>
              <w:jc w:val="center"/>
              <w:rPr>
                <w:rFonts w:ascii="Arial" w:hAnsi="Arial" w:cs="Arial"/>
              </w:rPr>
            </w:pPr>
            <w:r w:rsidRPr="00934DE6">
              <w:rPr>
                <w:rFonts w:ascii="Arial" w:hAnsi="Arial" w:cs="Arial"/>
              </w:rPr>
              <w:t>300</w:t>
            </w:r>
          </w:p>
        </w:tc>
        <w:tc>
          <w:tcPr>
            <w:tcW w:w="851" w:type="dxa"/>
            <w:shd w:val="clear" w:color="auto" w:fill="auto"/>
            <w:vAlign w:val="center"/>
          </w:tcPr>
          <w:p w14:paraId="28B489E8" w14:textId="77777777" w:rsidR="00934DE6" w:rsidRPr="00934DE6" w:rsidRDefault="00934DE6" w:rsidP="000D29F5">
            <w:pPr>
              <w:spacing w:before="60"/>
              <w:jc w:val="center"/>
              <w:rPr>
                <w:rFonts w:ascii="Arial" w:hAnsi="Arial" w:cs="Arial"/>
              </w:rPr>
            </w:pPr>
            <w:r w:rsidRPr="00934DE6">
              <w:rPr>
                <w:rFonts w:ascii="Arial" w:hAnsi="Arial" w:cs="Arial"/>
              </w:rPr>
              <w:t>750</w:t>
            </w:r>
          </w:p>
        </w:tc>
        <w:tc>
          <w:tcPr>
            <w:tcW w:w="851" w:type="dxa"/>
            <w:shd w:val="clear" w:color="auto" w:fill="auto"/>
            <w:vAlign w:val="center"/>
          </w:tcPr>
          <w:p w14:paraId="311B400E" w14:textId="77777777" w:rsidR="00934DE6" w:rsidRPr="00934DE6" w:rsidRDefault="00934DE6" w:rsidP="000D29F5">
            <w:pPr>
              <w:spacing w:before="60"/>
              <w:jc w:val="center"/>
              <w:rPr>
                <w:rFonts w:ascii="Arial" w:hAnsi="Arial" w:cs="Arial"/>
              </w:rPr>
            </w:pPr>
            <w:r w:rsidRPr="00934DE6">
              <w:rPr>
                <w:rFonts w:ascii="Arial" w:hAnsi="Arial" w:cs="Arial"/>
              </w:rPr>
              <w:t>1050</w:t>
            </w:r>
          </w:p>
        </w:tc>
        <w:tc>
          <w:tcPr>
            <w:tcW w:w="851" w:type="dxa"/>
            <w:shd w:val="clear" w:color="auto" w:fill="auto"/>
            <w:vAlign w:val="center"/>
          </w:tcPr>
          <w:p w14:paraId="7D752A74" w14:textId="77777777" w:rsidR="00934DE6" w:rsidRPr="00934DE6" w:rsidRDefault="00934DE6" w:rsidP="000D29F5">
            <w:pPr>
              <w:spacing w:before="60"/>
              <w:jc w:val="center"/>
              <w:rPr>
                <w:rFonts w:ascii="Arial" w:hAnsi="Arial" w:cs="Arial"/>
              </w:rPr>
            </w:pPr>
            <w:r w:rsidRPr="00934DE6">
              <w:rPr>
                <w:rFonts w:ascii="Arial" w:hAnsi="Arial" w:cs="Arial"/>
              </w:rPr>
              <w:t>1300</w:t>
            </w:r>
          </w:p>
        </w:tc>
        <w:tc>
          <w:tcPr>
            <w:tcW w:w="851" w:type="dxa"/>
            <w:shd w:val="clear" w:color="auto" w:fill="auto"/>
            <w:vAlign w:val="center"/>
          </w:tcPr>
          <w:p w14:paraId="12EAAE63" w14:textId="77777777" w:rsidR="00934DE6" w:rsidRPr="00934DE6" w:rsidRDefault="00934DE6" w:rsidP="000D29F5">
            <w:pPr>
              <w:spacing w:before="60"/>
              <w:jc w:val="center"/>
              <w:rPr>
                <w:rFonts w:ascii="Arial" w:hAnsi="Arial" w:cs="Arial"/>
              </w:rPr>
            </w:pPr>
            <w:r w:rsidRPr="00934DE6">
              <w:rPr>
                <w:rFonts w:ascii="Arial" w:hAnsi="Arial" w:cs="Arial"/>
              </w:rPr>
              <w:t>1050</w:t>
            </w:r>
          </w:p>
        </w:tc>
        <w:tc>
          <w:tcPr>
            <w:tcW w:w="851" w:type="dxa"/>
            <w:shd w:val="clear" w:color="auto" w:fill="auto"/>
            <w:vAlign w:val="center"/>
          </w:tcPr>
          <w:p w14:paraId="5030C463" w14:textId="77777777" w:rsidR="00934DE6" w:rsidRPr="00934DE6" w:rsidRDefault="00934DE6" w:rsidP="000D29F5">
            <w:pPr>
              <w:spacing w:before="60"/>
              <w:jc w:val="center"/>
              <w:rPr>
                <w:rFonts w:ascii="Arial" w:hAnsi="Arial" w:cs="Arial"/>
              </w:rPr>
            </w:pPr>
            <w:r w:rsidRPr="00934DE6">
              <w:rPr>
                <w:rFonts w:ascii="Arial" w:hAnsi="Arial" w:cs="Arial"/>
              </w:rPr>
              <w:t>700</w:t>
            </w:r>
          </w:p>
        </w:tc>
        <w:tc>
          <w:tcPr>
            <w:tcW w:w="851" w:type="dxa"/>
            <w:shd w:val="clear" w:color="auto" w:fill="auto"/>
            <w:vAlign w:val="center"/>
          </w:tcPr>
          <w:p w14:paraId="79EADB2F" w14:textId="77777777" w:rsidR="00934DE6" w:rsidRPr="00934DE6" w:rsidRDefault="00934DE6" w:rsidP="000D29F5">
            <w:pPr>
              <w:spacing w:before="60"/>
              <w:jc w:val="center"/>
              <w:rPr>
                <w:rFonts w:ascii="Arial" w:hAnsi="Arial" w:cs="Arial"/>
              </w:rPr>
            </w:pPr>
            <w:r w:rsidRPr="00934DE6">
              <w:rPr>
                <w:rFonts w:ascii="Arial" w:hAnsi="Arial" w:cs="Arial"/>
              </w:rPr>
              <w:t>350</w:t>
            </w:r>
          </w:p>
        </w:tc>
        <w:tc>
          <w:tcPr>
            <w:tcW w:w="1276" w:type="dxa"/>
            <w:shd w:val="clear" w:color="auto" w:fill="auto"/>
            <w:vAlign w:val="center"/>
          </w:tcPr>
          <w:p w14:paraId="41E79661" w14:textId="77777777" w:rsidR="00934DE6" w:rsidRPr="00934DE6" w:rsidRDefault="00934DE6" w:rsidP="000D29F5">
            <w:pPr>
              <w:spacing w:before="60"/>
              <w:jc w:val="center"/>
              <w:rPr>
                <w:rFonts w:ascii="Arial" w:hAnsi="Arial" w:cs="Arial"/>
              </w:rPr>
            </w:pPr>
            <w:r w:rsidRPr="00934DE6">
              <w:rPr>
                <w:rFonts w:ascii="Arial" w:hAnsi="Arial" w:cs="Arial"/>
              </w:rPr>
              <w:t>5500</w:t>
            </w:r>
          </w:p>
        </w:tc>
      </w:tr>
      <w:tr w:rsidR="00934DE6" w:rsidRPr="00934DE6" w:rsidDel="0047508A" w14:paraId="470F7496" w14:textId="77777777" w:rsidTr="00F97C83">
        <w:tc>
          <w:tcPr>
            <w:tcW w:w="1985" w:type="dxa"/>
            <w:shd w:val="clear" w:color="auto" w:fill="auto"/>
            <w:vAlign w:val="center"/>
          </w:tcPr>
          <w:p w14:paraId="2941772E" w14:textId="77777777" w:rsidR="00934DE6" w:rsidRPr="00934DE6" w:rsidRDefault="00934DE6" w:rsidP="000D29F5">
            <w:pPr>
              <w:spacing w:before="60"/>
              <w:rPr>
                <w:rFonts w:ascii="Arial" w:hAnsi="Arial" w:cs="Arial"/>
              </w:rPr>
            </w:pPr>
            <w:r w:rsidRPr="00934DE6">
              <w:rPr>
                <w:rFonts w:ascii="Arial" w:hAnsi="Arial" w:cs="Arial"/>
              </w:rPr>
              <w:t>Neveřejné zdroje</w:t>
            </w:r>
          </w:p>
        </w:tc>
        <w:tc>
          <w:tcPr>
            <w:tcW w:w="851" w:type="dxa"/>
            <w:shd w:val="clear" w:color="auto" w:fill="auto"/>
            <w:vAlign w:val="bottom"/>
          </w:tcPr>
          <w:p w14:paraId="4F85D67C" w14:textId="77777777" w:rsidR="00934DE6" w:rsidRPr="00934DE6" w:rsidDel="0047508A" w:rsidRDefault="00934DE6" w:rsidP="000D29F5">
            <w:pPr>
              <w:spacing w:before="60"/>
              <w:jc w:val="center"/>
              <w:rPr>
                <w:rFonts w:ascii="Arial" w:hAnsi="Arial" w:cs="Arial"/>
              </w:rPr>
            </w:pPr>
            <w:r w:rsidRPr="00934DE6">
              <w:rPr>
                <w:rFonts w:ascii="Arial" w:hAnsi="Arial" w:cs="Arial"/>
              </w:rPr>
              <w:t>30</w:t>
            </w:r>
          </w:p>
        </w:tc>
        <w:tc>
          <w:tcPr>
            <w:tcW w:w="851" w:type="dxa"/>
            <w:shd w:val="clear" w:color="auto" w:fill="auto"/>
            <w:vAlign w:val="bottom"/>
          </w:tcPr>
          <w:p w14:paraId="5C82246B" w14:textId="77777777" w:rsidR="00934DE6" w:rsidRPr="00934DE6" w:rsidDel="0047508A" w:rsidRDefault="00934DE6" w:rsidP="000D29F5">
            <w:pPr>
              <w:spacing w:before="60"/>
              <w:jc w:val="center"/>
              <w:rPr>
                <w:rFonts w:ascii="Arial" w:hAnsi="Arial" w:cs="Arial"/>
              </w:rPr>
            </w:pPr>
            <w:r w:rsidRPr="00934DE6">
              <w:rPr>
                <w:rFonts w:ascii="Arial" w:hAnsi="Arial" w:cs="Arial"/>
              </w:rPr>
              <w:t>75</w:t>
            </w:r>
          </w:p>
        </w:tc>
        <w:tc>
          <w:tcPr>
            <w:tcW w:w="851" w:type="dxa"/>
            <w:shd w:val="clear" w:color="auto" w:fill="auto"/>
            <w:vAlign w:val="bottom"/>
          </w:tcPr>
          <w:p w14:paraId="07BC00C1" w14:textId="77777777" w:rsidR="00934DE6" w:rsidRPr="00934DE6" w:rsidDel="0047508A" w:rsidRDefault="00934DE6" w:rsidP="000D29F5">
            <w:pPr>
              <w:spacing w:before="60"/>
              <w:jc w:val="center"/>
              <w:rPr>
                <w:rFonts w:ascii="Arial" w:hAnsi="Arial" w:cs="Arial"/>
              </w:rPr>
            </w:pPr>
            <w:r w:rsidRPr="00934DE6">
              <w:rPr>
                <w:rFonts w:ascii="Arial" w:hAnsi="Arial" w:cs="Arial"/>
              </w:rPr>
              <w:t>105</w:t>
            </w:r>
          </w:p>
        </w:tc>
        <w:tc>
          <w:tcPr>
            <w:tcW w:w="851" w:type="dxa"/>
            <w:shd w:val="clear" w:color="auto" w:fill="auto"/>
            <w:vAlign w:val="bottom"/>
          </w:tcPr>
          <w:p w14:paraId="5275A475" w14:textId="77777777" w:rsidR="00934DE6" w:rsidRPr="00934DE6" w:rsidRDefault="00934DE6" w:rsidP="000D29F5">
            <w:pPr>
              <w:spacing w:before="60"/>
              <w:jc w:val="center"/>
              <w:rPr>
                <w:rFonts w:ascii="Arial" w:hAnsi="Arial" w:cs="Arial"/>
              </w:rPr>
            </w:pPr>
            <w:r w:rsidRPr="00934DE6">
              <w:rPr>
                <w:rFonts w:ascii="Arial" w:hAnsi="Arial" w:cs="Arial"/>
              </w:rPr>
              <w:t>130</w:t>
            </w:r>
          </w:p>
        </w:tc>
        <w:tc>
          <w:tcPr>
            <w:tcW w:w="851" w:type="dxa"/>
            <w:shd w:val="clear" w:color="auto" w:fill="auto"/>
            <w:vAlign w:val="bottom"/>
          </w:tcPr>
          <w:p w14:paraId="06330D20" w14:textId="77777777" w:rsidR="00934DE6" w:rsidRPr="00934DE6" w:rsidRDefault="00934DE6" w:rsidP="000D29F5">
            <w:pPr>
              <w:spacing w:before="60"/>
              <w:jc w:val="center"/>
              <w:rPr>
                <w:rFonts w:ascii="Arial" w:hAnsi="Arial" w:cs="Arial"/>
              </w:rPr>
            </w:pPr>
            <w:r w:rsidRPr="00934DE6">
              <w:rPr>
                <w:rFonts w:ascii="Arial" w:hAnsi="Arial" w:cs="Arial"/>
              </w:rPr>
              <w:t>105</w:t>
            </w:r>
          </w:p>
        </w:tc>
        <w:tc>
          <w:tcPr>
            <w:tcW w:w="851" w:type="dxa"/>
            <w:shd w:val="clear" w:color="auto" w:fill="auto"/>
            <w:vAlign w:val="bottom"/>
          </w:tcPr>
          <w:p w14:paraId="6F8B3853" w14:textId="77777777" w:rsidR="00934DE6" w:rsidRPr="00934DE6" w:rsidRDefault="00934DE6" w:rsidP="000D29F5">
            <w:pPr>
              <w:spacing w:before="60"/>
              <w:jc w:val="center"/>
              <w:rPr>
                <w:rFonts w:ascii="Arial" w:hAnsi="Arial" w:cs="Arial"/>
              </w:rPr>
            </w:pPr>
            <w:r w:rsidRPr="00934DE6">
              <w:rPr>
                <w:rFonts w:ascii="Arial" w:hAnsi="Arial" w:cs="Arial"/>
              </w:rPr>
              <w:t>70</w:t>
            </w:r>
          </w:p>
        </w:tc>
        <w:tc>
          <w:tcPr>
            <w:tcW w:w="851" w:type="dxa"/>
            <w:shd w:val="clear" w:color="auto" w:fill="auto"/>
            <w:vAlign w:val="bottom"/>
          </w:tcPr>
          <w:p w14:paraId="4AFCAEBB" w14:textId="77777777" w:rsidR="00934DE6" w:rsidRPr="00934DE6" w:rsidRDefault="00934DE6" w:rsidP="000D29F5">
            <w:pPr>
              <w:spacing w:before="60"/>
              <w:jc w:val="center"/>
              <w:rPr>
                <w:rFonts w:ascii="Arial" w:hAnsi="Arial" w:cs="Arial"/>
              </w:rPr>
            </w:pPr>
            <w:r w:rsidRPr="00934DE6">
              <w:rPr>
                <w:rFonts w:ascii="Arial" w:hAnsi="Arial" w:cs="Arial"/>
              </w:rPr>
              <w:t>35</w:t>
            </w:r>
          </w:p>
        </w:tc>
        <w:tc>
          <w:tcPr>
            <w:tcW w:w="1276" w:type="dxa"/>
            <w:shd w:val="clear" w:color="auto" w:fill="auto"/>
            <w:vAlign w:val="bottom"/>
          </w:tcPr>
          <w:p w14:paraId="5AC80909" w14:textId="77777777" w:rsidR="00934DE6" w:rsidRPr="00934DE6" w:rsidDel="0047508A" w:rsidRDefault="00934DE6" w:rsidP="000D29F5">
            <w:pPr>
              <w:spacing w:before="60"/>
              <w:jc w:val="center"/>
              <w:rPr>
                <w:rFonts w:ascii="Arial" w:hAnsi="Arial" w:cs="Arial"/>
              </w:rPr>
            </w:pPr>
            <w:r w:rsidRPr="00934DE6">
              <w:rPr>
                <w:rFonts w:ascii="Arial" w:hAnsi="Arial" w:cs="Arial"/>
              </w:rPr>
              <w:t>550</w:t>
            </w:r>
          </w:p>
        </w:tc>
      </w:tr>
    </w:tbl>
    <w:p w14:paraId="36F881EC" w14:textId="77777777" w:rsidR="00491F88" w:rsidRPr="00934DE6" w:rsidRDefault="00491F88" w:rsidP="000D29F5">
      <w:pPr>
        <w:pStyle w:val="Odstavecseseznamem"/>
        <w:spacing w:before="60" w:after="60"/>
        <w:rPr>
          <w:rFonts w:ascii="Arial" w:hAnsi="Arial" w:cs="Arial"/>
          <w:color w:val="000000"/>
          <w:highlight w:val="yellow"/>
          <w:shd w:val="clear" w:color="auto" w:fill="FFFFFF"/>
        </w:rPr>
      </w:pPr>
      <w:r w:rsidRPr="00934DE6">
        <w:rPr>
          <w:rFonts w:ascii="Arial" w:hAnsi="Arial" w:cs="Arial"/>
          <w:b/>
        </w:rPr>
        <w:lastRenderedPageBreak/>
        <w:t>Výdaje na Podprogram 1 (v mil. Kč)</w:t>
      </w:r>
    </w:p>
    <w:tbl>
      <w:tblPr>
        <w:tblW w:w="856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1575"/>
      </w:tblGrid>
      <w:tr w:rsidR="00491F88" w:rsidRPr="00934DE6" w14:paraId="639A59C7" w14:textId="77777777" w:rsidTr="00934DE6">
        <w:tc>
          <w:tcPr>
            <w:tcW w:w="1729" w:type="dxa"/>
            <w:shd w:val="clear" w:color="auto" w:fill="E6E6E6"/>
            <w:vAlign w:val="center"/>
          </w:tcPr>
          <w:p w14:paraId="769D15FE" w14:textId="77777777" w:rsidR="00491F88" w:rsidRPr="00934DE6" w:rsidRDefault="00491F88" w:rsidP="000D29F5">
            <w:pPr>
              <w:spacing w:before="60"/>
              <w:jc w:val="center"/>
              <w:rPr>
                <w:rFonts w:ascii="Arial" w:hAnsi="Arial" w:cs="Arial"/>
                <w:b/>
              </w:rPr>
            </w:pPr>
            <w:r w:rsidRPr="00934DE6">
              <w:rPr>
                <w:rFonts w:ascii="Arial" w:hAnsi="Arial" w:cs="Arial"/>
                <w:b/>
              </w:rPr>
              <w:t>rok</w:t>
            </w:r>
          </w:p>
        </w:tc>
        <w:tc>
          <w:tcPr>
            <w:tcW w:w="751" w:type="dxa"/>
            <w:shd w:val="clear" w:color="auto" w:fill="E6E6E6"/>
            <w:vAlign w:val="center"/>
          </w:tcPr>
          <w:p w14:paraId="0361BA9F" w14:textId="77777777" w:rsidR="00491F88" w:rsidRPr="00934DE6" w:rsidRDefault="00491F88" w:rsidP="000D29F5">
            <w:pPr>
              <w:spacing w:before="60"/>
              <w:jc w:val="center"/>
              <w:rPr>
                <w:rFonts w:ascii="Arial" w:hAnsi="Arial" w:cs="Arial"/>
                <w:b/>
              </w:rPr>
            </w:pPr>
            <w:r w:rsidRPr="00934DE6">
              <w:rPr>
                <w:rFonts w:ascii="Arial" w:hAnsi="Arial" w:cs="Arial"/>
                <w:b/>
              </w:rPr>
              <w:t>2024</w:t>
            </w:r>
          </w:p>
        </w:tc>
        <w:tc>
          <w:tcPr>
            <w:tcW w:w="751" w:type="dxa"/>
            <w:shd w:val="clear" w:color="auto" w:fill="E6E6E6"/>
            <w:vAlign w:val="center"/>
          </w:tcPr>
          <w:p w14:paraId="5741174A" w14:textId="77777777" w:rsidR="00491F88" w:rsidRPr="00934DE6" w:rsidRDefault="00491F88" w:rsidP="000D29F5">
            <w:pPr>
              <w:spacing w:before="60"/>
              <w:jc w:val="center"/>
              <w:rPr>
                <w:rFonts w:ascii="Arial" w:hAnsi="Arial" w:cs="Arial"/>
              </w:rPr>
            </w:pPr>
            <w:r w:rsidRPr="00934DE6">
              <w:rPr>
                <w:rFonts w:ascii="Arial" w:hAnsi="Arial" w:cs="Arial"/>
                <w:b/>
              </w:rPr>
              <w:t>2025</w:t>
            </w:r>
          </w:p>
        </w:tc>
        <w:tc>
          <w:tcPr>
            <w:tcW w:w="751" w:type="dxa"/>
            <w:shd w:val="clear" w:color="auto" w:fill="E6E6E6"/>
            <w:vAlign w:val="center"/>
          </w:tcPr>
          <w:p w14:paraId="77274E31" w14:textId="77777777" w:rsidR="00491F88" w:rsidRPr="00934DE6" w:rsidRDefault="00491F88" w:rsidP="000D29F5">
            <w:pPr>
              <w:spacing w:before="60"/>
              <w:jc w:val="center"/>
              <w:rPr>
                <w:rFonts w:ascii="Arial" w:hAnsi="Arial" w:cs="Arial"/>
                <w:b/>
              </w:rPr>
            </w:pPr>
            <w:r w:rsidRPr="00934DE6">
              <w:rPr>
                <w:rFonts w:ascii="Arial" w:hAnsi="Arial" w:cs="Arial"/>
                <w:b/>
              </w:rPr>
              <w:t>2026</w:t>
            </w:r>
          </w:p>
        </w:tc>
        <w:tc>
          <w:tcPr>
            <w:tcW w:w="751" w:type="dxa"/>
            <w:shd w:val="clear" w:color="auto" w:fill="E6E6E6"/>
            <w:vAlign w:val="center"/>
          </w:tcPr>
          <w:p w14:paraId="39EFA59D" w14:textId="77777777" w:rsidR="00491F88" w:rsidRPr="00934DE6" w:rsidRDefault="00491F88" w:rsidP="000D29F5">
            <w:pPr>
              <w:spacing w:before="60"/>
              <w:jc w:val="center"/>
              <w:rPr>
                <w:rFonts w:ascii="Arial" w:hAnsi="Arial" w:cs="Arial"/>
                <w:b/>
              </w:rPr>
            </w:pPr>
            <w:r w:rsidRPr="00934DE6">
              <w:rPr>
                <w:rFonts w:ascii="Arial" w:hAnsi="Arial" w:cs="Arial"/>
                <w:b/>
              </w:rPr>
              <w:t>2027</w:t>
            </w:r>
          </w:p>
        </w:tc>
        <w:tc>
          <w:tcPr>
            <w:tcW w:w="752" w:type="dxa"/>
            <w:shd w:val="clear" w:color="auto" w:fill="E6E6E6"/>
            <w:vAlign w:val="center"/>
          </w:tcPr>
          <w:p w14:paraId="39B13C98" w14:textId="77777777" w:rsidR="00491F88" w:rsidRPr="00934DE6" w:rsidRDefault="00491F88" w:rsidP="000D29F5">
            <w:pPr>
              <w:spacing w:before="60"/>
              <w:jc w:val="center"/>
              <w:rPr>
                <w:rFonts w:ascii="Arial" w:hAnsi="Arial" w:cs="Arial"/>
                <w:b/>
              </w:rPr>
            </w:pPr>
            <w:r w:rsidRPr="00934DE6">
              <w:rPr>
                <w:rFonts w:ascii="Arial" w:hAnsi="Arial" w:cs="Arial"/>
                <w:b/>
              </w:rPr>
              <w:t>2028</w:t>
            </w:r>
          </w:p>
        </w:tc>
        <w:tc>
          <w:tcPr>
            <w:tcW w:w="751" w:type="dxa"/>
            <w:shd w:val="clear" w:color="auto" w:fill="E6E6E6"/>
            <w:vAlign w:val="center"/>
          </w:tcPr>
          <w:p w14:paraId="5F6E74C6" w14:textId="77777777" w:rsidR="00491F88" w:rsidRPr="00934DE6" w:rsidRDefault="00491F88" w:rsidP="000D29F5">
            <w:pPr>
              <w:spacing w:before="60"/>
              <w:jc w:val="center"/>
              <w:rPr>
                <w:rFonts w:ascii="Arial" w:hAnsi="Arial" w:cs="Arial"/>
                <w:b/>
              </w:rPr>
            </w:pPr>
            <w:r w:rsidRPr="00934DE6">
              <w:rPr>
                <w:rFonts w:ascii="Arial" w:hAnsi="Arial" w:cs="Arial"/>
                <w:b/>
              </w:rPr>
              <w:t>2029</w:t>
            </w:r>
          </w:p>
        </w:tc>
        <w:tc>
          <w:tcPr>
            <w:tcW w:w="751" w:type="dxa"/>
            <w:shd w:val="clear" w:color="auto" w:fill="E6E6E6"/>
            <w:vAlign w:val="center"/>
          </w:tcPr>
          <w:p w14:paraId="2B82BCCD" w14:textId="77777777" w:rsidR="00491F88" w:rsidRPr="00934DE6" w:rsidRDefault="00491F88" w:rsidP="000D29F5">
            <w:pPr>
              <w:spacing w:before="60"/>
              <w:jc w:val="center"/>
              <w:rPr>
                <w:rFonts w:ascii="Arial" w:hAnsi="Arial" w:cs="Arial"/>
                <w:b/>
              </w:rPr>
            </w:pPr>
            <w:r w:rsidRPr="00934DE6">
              <w:rPr>
                <w:rFonts w:ascii="Arial" w:hAnsi="Arial" w:cs="Arial"/>
                <w:b/>
              </w:rPr>
              <w:t>2030</w:t>
            </w:r>
          </w:p>
        </w:tc>
        <w:tc>
          <w:tcPr>
            <w:tcW w:w="1575" w:type="dxa"/>
            <w:shd w:val="clear" w:color="auto" w:fill="E6E6E6"/>
            <w:vAlign w:val="center"/>
          </w:tcPr>
          <w:p w14:paraId="5191DB64" w14:textId="77777777" w:rsidR="00491F88" w:rsidRPr="00934DE6" w:rsidRDefault="00491F88" w:rsidP="000D29F5">
            <w:pPr>
              <w:spacing w:before="60"/>
              <w:jc w:val="center"/>
              <w:rPr>
                <w:rFonts w:ascii="Arial" w:hAnsi="Arial" w:cs="Arial"/>
                <w:b/>
              </w:rPr>
            </w:pPr>
            <w:r w:rsidRPr="00934DE6">
              <w:rPr>
                <w:rFonts w:ascii="Arial" w:hAnsi="Arial" w:cs="Arial"/>
                <w:b/>
              </w:rPr>
              <w:t>celkem</w:t>
            </w:r>
          </w:p>
        </w:tc>
      </w:tr>
      <w:tr w:rsidR="00491F88" w:rsidRPr="00934DE6" w14:paraId="4D09C18A" w14:textId="77777777" w:rsidTr="00934DE6">
        <w:tc>
          <w:tcPr>
            <w:tcW w:w="1729" w:type="dxa"/>
            <w:shd w:val="clear" w:color="auto" w:fill="auto"/>
            <w:vAlign w:val="center"/>
          </w:tcPr>
          <w:p w14:paraId="337307F4" w14:textId="77777777" w:rsidR="00491F88" w:rsidRPr="00934DE6" w:rsidRDefault="00491F88" w:rsidP="000D29F5">
            <w:pPr>
              <w:spacing w:before="60"/>
              <w:rPr>
                <w:rFonts w:ascii="Arial" w:hAnsi="Arial" w:cs="Arial"/>
              </w:rPr>
            </w:pPr>
            <w:r w:rsidRPr="00934DE6">
              <w:rPr>
                <w:rFonts w:ascii="Arial" w:hAnsi="Arial" w:cs="Arial"/>
              </w:rPr>
              <w:t>Celkové výdaje</w:t>
            </w:r>
          </w:p>
        </w:tc>
        <w:tc>
          <w:tcPr>
            <w:tcW w:w="751" w:type="dxa"/>
            <w:shd w:val="clear" w:color="auto" w:fill="auto"/>
            <w:vAlign w:val="bottom"/>
          </w:tcPr>
          <w:p w14:paraId="5F04DB41" w14:textId="77777777" w:rsidR="00491F88" w:rsidRPr="00934DE6" w:rsidRDefault="00491F88" w:rsidP="000D29F5">
            <w:pPr>
              <w:spacing w:before="60"/>
              <w:jc w:val="center"/>
              <w:rPr>
                <w:rFonts w:ascii="Arial" w:hAnsi="Arial" w:cs="Arial"/>
              </w:rPr>
            </w:pPr>
            <w:r w:rsidRPr="00934DE6">
              <w:rPr>
                <w:rFonts w:ascii="Arial" w:hAnsi="Arial" w:cs="Arial"/>
              </w:rPr>
              <w:t>297</w:t>
            </w:r>
          </w:p>
        </w:tc>
        <w:tc>
          <w:tcPr>
            <w:tcW w:w="751" w:type="dxa"/>
            <w:shd w:val="clear" w:color="auto" w:fill="auto"/>
            <w:vAlign w:val="bottom"/>
          </w:tcPr>
          <w:p w14:paraId="585C2E9E" w14:textId="77777777" w:rsidR="00491F88" w:rsidRPr="00934DE6" w:rsidRDefault="00491F88" w:rsidP="000D29F5">
            <w:pPr>
              <w:spacing w:before="60"/>
              <w:jc w:val="center"/>
              <w:rPr>
                <w:rFonts w:ascii="Arial" w:hAnsi="Arial" w:cs="Arial"/>
              </w:rPr>
            </w:pPr>
            <w:r w:rsidRPr="00934DE6">
              <w:rPr>
                <w:rFonts w:ascii="Arial" w:hAnsi="Arial" w:cs="Arial"/>
              </w:rPr>
              <w:t>743</w:t>
            </w:r>
          </w:p>
        </w:tc>
        <w:tc>
          <w:tcPr>
            <w:tcW w:w="751" w:type="dxa"/>
            <w:shd w:val="clear" w:color="auto" w:fill="auto"/>
            <w:vAlign w:val="bottom"/>
          </w:tcPr>
          <w:p w14:paraId="637553B7" w14:textId="77777777" w:rsidR="00491F88" w:rsidRPr="00934DE6" w:rsidRDefault="00491F88" w:rsidP="000D29F5">
            <w:pPr>
              <w:spacing w:before="60"/>
              <w:jc w:val="center"/>
              <w:rPr>
                <w:rFonts w:ascii="Arial" w:hAnsi="Arial" w:cs="Arial"/>
              </w:rPr>
            </w:pPr>
            <w:r w:rsidRPr="00934DE6">
              <w:rPr>
                <w:rFonts w:ascii="Arial" w:hAnsi="Arial" w:cs="Arial"/>
              </w:rPr>
              <w:t>1039</w:t>
            </w:r>
          </w:p>
        </w:tc>
        <w:tc>
          <w:tcPr>
            <w:tcW w:w="751" w:type="dxa"/>
            <w:shd w:val="clear" w:color="auto" w:fill="auto"/>
            <w:vAlign w:val="bottom"/>
          </w:tcPr>
          <w:p w14:paraId="27197809" w14:textId="77777777" w:rsidR="00491F88" w:rsidRPr="00934DE6" w:rsidRDefault="00491F88" w:rsidP="000D29F5">
            <w:pPr>
              <w:spacing w:before="60"/>
              <w:jc w:val="center"/>
              <w:rPr>
                <w:rFonts w:ascii="Arial" w:hAnsi="Arial" w:cs="Arial"/>
              </w:rPr>
            </w:pPr>
            <w:r w:rsidRPr="00934DE6">
              <w:rPr>
                <w:rFonts w:ascii="Arial" w:hAnsi="Arial" w:cs="Arial"/>
              </w:rPr>
              <w:t>1287</w:t>
            </w:r>
          </w:p>
        </w:tc>
        <w:tc>
          <w:tcPr>
            <w:tcW w:w="752" w:type="dxa"/>
            <w:shd w:val="clear" w:color="auto" w:fill="auto"/>
            <w:vAlign w:val="bottom"/>
          </w:tcPr>
          <w:p w14:paraId="171EC1F8" w14:textId="77777777" w:rsidR="00491F88" w:rsidRPr="00934DE6" w:rsidRDefault="00491F88" w:rsidP="000D29F5">
            <w:pPr>
              <w:spacing w:before="60"/>
              <w:jc w:val="center"/>
              <w:rPr>
                <w:rFonts w:ascii="Arial" w:hAnsi="Arial" w:cs="Arial"/>
              </w:rPr>
            </w:pPr>
            <w:r w:rsidRPr="00934DE6">
              <w:rPr>
                <w:rFonts w:ascii="Arial" w:hAnsi="Arial" w:cs="Arial"/>
              </w:rPr>
              <w:t>1039</w:t>
            </w:r>
          </w:p>
        </w:tc>
        <w:tc>
          <w:tcPr>
            <w:tcW w:w="751" w:type="dxa"/>
            <w:shd w:val="clear" w:color="auto" w:fill="auto"/>
            <w:vAlign w:val="bottom"/>
          </w:tcPr>
          <w:p w14:paraId="120412A0" w14:textId="77777777" w:rsidR="00491F88" w:rsidRPr="00934DE6" w:rsidRDefault="00491F88" w:rsidP="000D29F5">
            <w:pPr>
              <w:spacing w:before="60"/>
              <w:jc w:val="center"/>
              <w:rPr>
                <w:rFonts w:ascii="Arial" w:hAnsi="Arial" w:cs="Arial"/>
              </w:rPr>
            </w:pPr>
            <w:r w:rsidRPr="00934DE6">
              <w:rPr>
                <w:rFonts w:ascii="Arial" w:hAnsi="Arial" w:cs="Arial"/>
              </w:rPr>
              <w:t>693</w:t>
            </w:r>
          </w:p>
        </w:tc>
        <w:tc>
          <w:tcPr>
            <w:tcW w:w="751" w:type="dxa"/>
            <w:shd w:val="clear" w:color="auto" w:fill="auto"/>
            <w:vAlign w:val="bottom"/>
          </w:tcPr>
          <w:p w14:paraId="414B3B33" w14:textId="77777777" w:rsidR="00491F88" w:rsidRPr="00934DE6" w:rsidRDefault="00491F88" w:rsidP="000D29F5">
            <w:pPr>
              <w:spacing w:before="60"/>
              <w:jc w:val="center"/>
              <w:rPr>
                <w:rFonts w:ascii="Arial" w:hAnsi="Arial" w:cs="Arial"/>
              </w:rPr>
            </w:pPr>
            <w:r w:rsidRPr="00934DE6">
              <w:rPr>
                <w:rFonts w:ascii="Arial" w:hAnsi="Arial" w:cs="Arial"/>
              </w:rPr>
              <w:t>347</w:t>
            </w:r>
          </w:p>
        </w:tc>
        <w:tc>
          <w:tcPr>
            <w:tcW w:w="1575" w:type="dxa"/>
            <w:shd w:val="clear" w:color="auto" w:fill="auto"/>
            <w:vAlign w:val="bottom"/>
          </w:tcPr>
          <w:p w14:paraId="7E2ADA68" w14:textId="77777777" w:rsidR="00491F88" w:rsidRPr="00934DE6" w:rsidRDefault="00491F88" w:rsidP="000D29F5">
            <w:pPr>
              <w:spacing w:before="60"/>
              <w:jc w:val="center"/>
              <w:rPr>
                <w:rFonts w:ascii="Arial" w:hAnsi="Arial" w:cs="Arial"/>
              </w:rPr>
            </w:pPr>
            <w:r w:rsidRPr="00934DE6">
              <w:rPr>
                <w:rFonts w:ascii="Arial" w:hAnsi="Arial" w:cs="Arial"/>
              </w:rPr>
              <w:t>5445</w:t>
            </w:r>
          </w:p>
        </w:tc>
      </w:tr>
      <w:tr w:rsidR="00491F88" w:rsidRPr="00934DE6" w14:paraId="301B915D" w14:textId="77777777" w:rsidTr="00934DE6">
        <w:tc>
          <w:tcPr>
            <w:tcW w:w="1729" w:type="dxa"/>
            <w:shd w:val="clear" w:color="auto" w:fill="auto"/>
            <w:vAlign w:val="center"/>
          </w:tcPr>
          <w:p w14:paraId="0A52AB6B" w14:textId="77777777" w:rsidR="00491F88" w:rsidRPr="00934DE6" w:rsidRDefault="00491F88" w:rsidP="000D29F5">
            <w:pPr>
              <w:spacing w:before="60"/>
              <w:rPr>
                <w:rFonts w:ascii="Arial" w:hAnsi="Arial" w:cs="Arial"/>
              </w:rPr>
            </w:pPr>
            <w:r w:rsidRPr="00934DE6">
              <w:rPr>
                <w:rFonts w:ascii="Arial" w:hAnsi="Arial" w:cs="Arial"/>
              </w:rPr>
              <w:t>Výdaje státního rozpočtu</w:t>
            </w:r>
          </w:p>
        </w:tc>
        <w:tc>
          <w:tcPr>
            <w:tcW w:w="751" w:type="dxa"/>
            <w:shd w:val="clear" w:color="auto" w:fill="auto"/>
            <w:vAlign w:val="center"/>
          </w:tcPr>
          <w:p w14:paraId="2086EB02" w14:textId="77777777" w:rsidR="00491F88" w:rsidRPr="00934DE6" w:rsidRDefault="00491F88" w:rsidP="000D29F5">
            <w:pPr>
              <w:spacing w:before="60"/>
              <w:jc w:val="center"/>
              <w:rPr>
                <w:rFonts w:ascii="Arial" w:hAnsi="Arial" w:cs="Arial"/>
              </w:rPr>
            </w:pPr>
            <w:r w:rsidRPr="00934DE6">
              <w:rPr>
                <w:rFonts w:ascii="Arial" w:hAnsi="Arial" w:cs="Arial"/>
              </w:rPr>
              <w:t>270</w:t>
            </w:r>
          </w:p>
        </w:tc>
        <w:tc>
          <w:tcPr>
            <w:tcW w:w="751" w:type="dxa"/>
            <w:shd w:val="clear" w:color="auto" w:fill="auto"/>
            <w:vAlign w:val="center"/>
          </w:tcPr>
          <w:p w14:paraId="72F27BF9" w14:textId="77777777" w:rsidR="00491F88" w:rsidRPr="00934DE6" w:rsidRDefault="00491F88" w:rsidP="000D29F5">
            <w:pPr>
              <w:spacing w:before="60"/>
              <w:jc w:val="center"/>
              <w:rPr>
                <w:rFonts w:ascii="Arial" w:hAnsi="Arial" w:cs="Arial"/>
              </w:rPr>
            </w:pPr>
            <w:r w:rsidRPr="00934DE6">
              <w:rPr>
                <w:rFonts w:ascii="Arial" w:hAnsi="Arial" w:cs="Arial"/>
              </w:rPr>
              <w:t>675</w:t>
            </w:r>
          </w:p>
        </w:tc>
        <w:tc>
          <w:tcPr>
            <w:tcW w:w="751" w:type="dxa"/>
            <w:shd w:val="clear" w:color="auto" w:fill="auto"/>
            <w:vAlign w:val="center"/>
          </w:tcPr>
          <w:p w14:paraId="5B8AEDE6" w14:textId="77777777" w:rsidR="00491F88" w:rsidRPr="00934DE6" w:rsidRDefault="00491F88" w:rsidP="000D29F5">
            <w:pPr>
              <w:spacing w:before="60"/>
              <w:jc w:val="center"/>
              <w:rPr>
                <w:rFonts w:ascii="Arial" w:hAnsi="Arial" w:cs="Arial"/>
              </w:rPr>
            </w:pPr>
            <w:r w:rsidRPr="00934DE6">
              <w:rPr>
                <w:rFonts w:ascii="Arial" w:hAnsi="Arial" w:cs="Arial"/>
              </w:rPr>
              <w:t>945</w:t>
            </w:r>
          </w:p>
        </w:tc>
        <w:tc>
          <w:tcPr>
            <w:tcW w:w="751" w:type="dxa"/>
            <w:shd w:val="clear" w:color="auto" w:fill="auto"/>
            <w:vAlign w:val="center"/>
          </w:tcPr>
          <w:p w14:paraId="7BD586DD" w14:textId="77777777" w:rsidR="00491F88" w:rsidRPr="00934DE6" w:rsidRDefault="00491F88" w:rsidP="000D29F5">
            <w:pPr>
              <w:spacing w:before="60"/>
              <w:jc w:val="center"/>
              <w:rPr>
                <w:rFonts w:ascii="Arial" w:hAnsi="Arial" w:cs="Arial"/>
              </w:rPr>
            </w:pPr>
            <w:r w:rsidRPr="00934DE6">
              <w:rPr>
                <w:rFonts w:ascii="Arial" w:hAnsi="Arial" w:cs="Arial"/>
              </w:rPr>
              <w:t>1170</w:t>
            </w:r>
          </w:p>
        </w:tc>
        <w:tc>
          <w:tcPr>
            <w:tcW w:w="752" w:type="dxa"/>
            <w:shd w:val="clear" w:color="auto" w:fill="auto"/>
            <w:vAlign w:val="center"/>
          </w:tcPr>
          <w:p w14:paraId="49A3C538" w14:textId="77777777" w:rsidR="00491F88" w:rsidRPr="00934DE6" w:rsidRDefault="00491F88" w:rsidP="000D29F5">
            <w:pPr>
              <w:spacing w:before="60"/>
              <w:jc w:val="center"/>
              <w:rPr>
                <w:rFonts w:ascii="Arial" w:hAnsi="Arial" w:cs="Arial"/>
              </w:rPr>
            </w:pPr>
            <w:r w:rsidRPr="00934DE6">
              <w:rPr>
                <w:rFonts w:ascii="Arial" w:hAnsi="Arial" w:cs="Arial"/>
              </w:rPr>
              <w:t>945</w:t>
            </w:r>
          </w:p>
        </w:tc>
        <w:tc>
          <w:tcPr>
            <w:tcW w:w="751" w:type="dxa"/>
            <w:shd w:val="clear" w:color="auto" w:fill="auto"/>
            <w:vAlign w:val="center"/>
          </w:tcPr>
          <w:p w14:paraId="2AD1D5C7" w14:textId="77777777" w:rsidR="00491F88" w:rsidRPr="00934DE6" w:rsidRDefault="00491F88" w:rsidP="000D29F5">
            <w:pPr>
              <w:spacing w:before="60"/>
              <w:jc w:val="center"/>
              <w:rPr>
                <w:rFonts w:ascii="Arial" w:hAnsi="Arial" w:cs="Arial"/>
              </w:rPr>
            </w:pPr>
            <w:r w:rsidRPr="00934DE6">
              <w:rPr>
                <w:rFonts w:ascii="Arial" w:hAnsi="Arial" w:cs="Arial"/>
              </w:rPr>
              <w:t>630</w:t>
            </w:r>
          </w:p>
        </w:tc>
        <w:tc>
          <w:tcPr>
            <w:tcW w:w="751" w:type="dxa"/>
            <w:shd w:val="clear" w:color="auto" w:fill="auto"/>
            <w:vAlign w:val="center"/>
          </w:tcPr>
          <w:p w14:paraId="4F03045D" w14:textId="77777777" w:rsidR="00491F88" w:rsidRPr="00934DE6" w:rsidRDefault="00491F88" w:rsidP="000D29F5">
            <w:pPr>
              <w:spacing w:before="60"/>
              <w:jc w:val="center"/>
              <w:rPr>
                <w:rFonts w:ascii="Arial" w:hAnsi="Arial" w:cs="Arial"/>
              </w:rPr>
            </w:pPr>
            <w:r w:rsidRPr="00934DE6">
              <w:rPr>
                <w:rFonts w:ascii="Arial" w:hAnsi="Arial" w:cs="Arial"/>
              </w:rPr>
              <w:t>315</w:t>
            </w:r>
          </w:p>
        </w:tc>
        <w:tc>
          <w:tcPr>
            <w:tcW w:w="1575" w:type="dxa"/>
            <w:shd w:val="clear" w:color="auto" w:fill="auto"/>
            <w:vAlign w:val="center"/>
          </w:tcPr>
          <w:p w14:paraId="41CB5228" w14:textId="77777777" w:rsidR="00491F88" w:rsidRPr="00934DE6" w:rsidRDefault="00491F88" w:rsidP="000D29F5">
            <w:pPr>
              <w:spacing w:before="60"/>
              <w:jc w:val="center"/>
              <w:rPr>
                <w:rFonts w:ascii="Arial" w:hAnsi="Arial" w:cs="Arial"/>
              </w:rPr>
            </w:pPr>
            <w:r w:rsidRPr="00934DE6">
              <w:rPr>
                <w:rFonts w:ascii="Arial" w:hAnsi="Arial" w:cs="Arial"/>
              </w:rPr>
              <w:t>4950</w:t>
            </w:r>
          </w:p>
        </w:tc>
      </w:tr>
      <w:tr w:rsidR="00491F88" w:rsidRPr="00934DE6" w:rsidDel="0047508A" w14:paraId="6891C4D0" w14:textId="77777777" w:rsidTr="00934DE6">
        <w:tc>
          <w:tcPr>
            <w:tcW w:w="1729" w:type="dxa"/>
            <w:shd w:val="clear" w:color="auto" w:fill="auto"/>
            <w:vAlign w:val="center"/>
          </w:tcPr>
          <w:p w14:paraId="2CA4658B" w14:textId="77777777" w:rsidR="00491F88" w:rsidRPr="00934DE6" w:rsidRDefault="00491F88" w:rsidP="000D29F5">
            <w:pPr>
              <w:spacing w:before="60"/>
              <w:rPr>
                <w:rFonts w:ascii="Arial" w:hAnsi="Arial" w:cs="Arial"/>
              </w:rPr>
            </w:pPr>
            <w:r w:rsidRPr="00934DE6">
              <w:rPr>
                <w:rFonts w:ascii="Arial" w:hAnsi="Arial" w:cs="Arial"/>
              </w:rPr>
              <w:t>Neveřejné zdroje</w:t>
            </w:r>
          </w:p>
        </w:tc>
        <w:tc>
          <w:tcPr>
            <w:tcW w:w="751" w:type="dxa"/>
            <w:shd w:val="clear" w:color="auto" w:fill="auto"/>
            <w:vAlign w:val="bottom"/>
          </w:tcPr>
          <w:p w14:paraId="39D84749" w14:textId="77777777" w:rsidR="00491F88" w:rsidRPr="00934DE6" w:rsidDel="0047508A" w:rsidRDefault="00491F88" w:rsidP="000D29F5">
            <w:pPr>
              <w:spacing w:before="60"/>
              <w:jc w:val="center"/>
              <w:rPr>
                <w:rFonts w:ascii="Arial" w:hAnsi="Arial" w:cs="Arial"/>
              </w:rPr>
            </w:pPr>
            <w:r w:rsidRPr="00934DE6">
              <w:rPr>
                <w:rFonts w:ascii="Arial" w:hAnsi="Arial" w:cs="Arial"/>
              </w:rPr>
              <w:t>27</w:t>
            </w:r>
          </w:p>
        </w:tc>
        <w:tc>
          <w:tcPr>
            <w:tcW w:w="751" w:type="dxa"/>
            <w:shd w:val="clear" w:color="auto" w:fill="auto"/>
            <w:vAlign w:val="bottom"/>
          </w:tcPr>
          <w:p w14:paraId="3933816E" w14:textId="77777777" w:rsidR="00491F88" w:rsidRPr="00934DE6" w:rsidDel="0047508A" w:rsidRDefault="00491F88" w:rsidP="000D29F5">
            <w:pPr>
              <w:spacing w:before="60"/>
              <w:jc w:val="center"/>
              <w:rPr>
                <w:rFonts w:ascii="Arial" w:hAnsi="Arial" w:cs="Arial"/>
              </w:rPr>
            </w:pPr>
            <w:r w:rsidRPr="00934DE6">
              <w:rPr>
                <w:rFonts w:ascii="Arial" w:hAnsi="Arial" w:cs="Arial"/>
              </w:rPr>
              <w:t>68</w:t>
            </w:r>
          </w:p>
        </w:tc>
        <w:tc>
          <w:tcPr>
            <w:tcW w:w="751" w:type="dxa"/>
            <w:shd w:val="clear" w:color="auto" w:fill="auto"/>
            <w:vAlign w:val="bottom"/>
          </w:tcPr>
          <w:p w14:paraId="07F91E80" w14:textId="77777777" w:rsidR="00491F88" w:rsidRPr="00934DE6" w:rsidDel="0047508A" w:rsidRDefault="00491F88" w:rsidP="000D29F5">
            <w:pPr>
              <w:spacing w:before="60"/>
              <w:jc w:val="center"/>
              <w:rPr>
                <w:rFonts w:ascii="Arial" w:hAnsi="Arial" w:cs="Arial"/>
              </w:rPr>
            </w:pPr>
            <w:r w:rsidRPr="00934DE6">
              <w:rPr>
                <w:rFonts w:ascii="Arial" w:hAnsi="Arial" w:cs="Arial"/>
              </w:rPr>
              <w:t>94</w:t>
            </w:r>
          </w:p>
        </w:tc>
        <w:tc>
          <w:tcPr>
            <w:tcW w:w="751" w:type="dxa"/>
            <w:shd w:val="clear" w:color="auto" w:fill="auto"/>
            <w:vAlign w:val="bottom"/>
          </w:tcPr>
          <w:p w14:paraId="7B13B730" w14:textId="77777777" w:rsidR="00491F88" w:rsidRPr="00934DE6" w:rsidRDefault="00491F88" w:rsidP="000D29F5">
            <w:pPr>
              <w:spacing w:before="60"/>
              <w:jc w:val="center"/>
              <w:rPr>
                <w:rFonts w:ascii="Arial" w:hAnsi="Arial" w:cs="Arial"/>
              </w:rPr>
            </w:pPr>
            <w:r w:rsidRPr="00934DE6">
              <w:rPr>
                <w:rFonts w:ascii="Arial" w:hAnsi="Arial" w:cs="Arial"/>
              </w:rPr>
              <w:t>117</w:t>
            </w:r>
          </w:p>
        </w:tc>
        <w:tc>
          <w:tcPr>
            <w:tcW w:w="752" w:type="dxa"/>
            <w:shd w:val="clear" w:color="auto" w:fill="auto"/>
            <w:vAlign w:val="bottom"/>
          </w:tcPr>
          <w:p w14:paraId="3E67B076" w14:textId="77777777" w:rsidR="00491F88" w:rsidRPr="00934DE6" w:rsidRDefault="00491F88" w:rsidP="000D29F5">
            <w:pPr>
              <w:spacing w:before="60"/>
              <w:jc w:val="center"/>
              <w:rPr>
                <w:rFonts w:ascii="Arial" w:hAnsi="Arial" w:cs="Arial"/>
              </w:rPr>
            </w:pPr>
            <w:r w:rsidRPr="00934DE6">
              <w:rPr>
                <w:rFonts w:ascii="Arial" w:hAnsi="Arial" w:cs="Arial"/>
              </w:rPr>
              <w:t>94</w:t>
            </w:r>
          </w:p>
        </w:tc>
        <w:tc>
          <w:tcPr>
            <w:tcW w:w="751" w:type="dxa"/>
            <w:shd w:val="clear" w:color="auto" w:fill="auto"/>
            <w:vAlign w:val="bottom"/>
          </w:tcPr>
          <w:p w14:paraId="2AE97ACE" w14:textId="77777777" w:rsidR="00491F88" w:rsidRPr="00934DE6" w:rsidRDefault="00491F88" w:rsidP="000D29F5">
            <w:pPr>
              <w:spacing w:before="60"/>
              <w:jc w:val="center"/>
              <w:rPr>
                <w:rFonts w:ascii="Arial" w:hAnsi="Arial" w:cs="Arial"/>
              </w:rPr>
            </w:pPr>
            <w:r w:rsidRPr="00934DE6">
              <w:rPr>
                <w:rFonts w:ascii="Arial" w:hAnsi="Arial" w:cs="Arial"/>
              </w:rPr>
              <w:t>63</w:t>
            </w:r>
          </w:p>
        </w:tc>
        <w:tc>
          <w:tcPr>
            <w:tcW w:w="751" w:type="dxa"/>
            <w:shd w:val="clear" w:color="auto" w:fill="auto"/>
            <w:vAlign w:val="bottom"/>
          </w:tcPr>
          <w:p w14:paraId="5A1905CE" w14:textId="77777777" w:rsidR="00491F88" w:rsidRPr="00934DE6" w:rsidRDefault="00491F88" w:rsidP="000D29F5">
            <w:pPr>
              <w:spacing w:before="60"/>
              <w:jc w:val="center"/>
              <w:rPr>
                <w:rFonts w:ascii="Arial" w:hAnsi="Arial" w:cs="Arial"/>
              </w:rPr>
            </w:pPr>
            <w:r w:rsidRPr="00934DE6">
              <w:rPr>
                <w:rFonts w:ascii="Arial" w:hAnsi="Arial" w:cs="Arial"/>
              </w:rPr>
              <w:t>32</w:t>
            </w:r>
          </w:p>
        </w:tc>
        <w:tc>
          <w:tcPr>
            <w:tcW w:w="1575" w:type="dxa"/>
            <w:shd w:val="clear" w:color="auto" w:fill="auto"/>
            <w:vAlign w:val="bottom"/>
          </w:tcPr>
          <w:p w14:paraId="0D0088EE" w14:textId="77777777" w:rsidR="00491F88" w:rsidRPr="00934DE6" w:rsidDel="0047508A" w:rsidRDefault="00491F88" w:rsidP="000D29F5">
            <w:pPr>
              <w:spacing w:before="60"/>
              <w:jc w:val="center"/>
              <w:rPr>
                <w:rFonts w:ascii="Arial" w:hAnsi="Arial" w:cs="Arial"/>
              </w:rPr>
            </w:pPr>
            <w:r w:rsidRPr="00934DE6">
              <w:rPr>
                <w:rFonts w:ascii="Arial" w:hAnsi="Arial" w:cs="Arial"/>
              </w:rPr>
              <w:t>495</w:t>
            </w:r>
          </w:p>
        </w:tc>
      </w:tr>
    </w:tbl>
    <w:p w14:paraId="3B383BCD" w14:textId="77777777" w:rsidR="00491F88" w:rsidRPr="00934DE6" w:rsidRDefault="00491F88" w:rsidP="000D29F5">
      <w:pPr>
        <w:keepNext/>
        <w:spacing w:before="240" w:after="60"/>
        <w:jc w:val="both"/>
        <w:rPr>
          <w:rFonts w:ascii="Arial" w:hAnsi="Arial" w:cs="Arial"/>
          <w:b/>
        </w:rPr>
      </w:pPr>
      <w:r w:rsidRPr="00934DE6">
        <w:rPr>
          <w:rFonts w:ascii="Arial" w:hAnsi="Arial" w:cs="Arial"/>
          <w:b/>
        </w:rPr>
        <w:t>Výdaje na Podprogram 2 (v mil. Kč)</w:t>
      </w:r>
    </w:p>
    <w:tbl>
      <w:tblPr>
        <w:tblW w:w="856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1575"/>
      </w:tblGrid>
      <w:tr w:rsidR="00491F88" w:rsidRPr="00934DE6" w14:paraId="36EE42A2" w14:textId="77777777" w:rsidTr="00934DE6">
        <w:tc>
          <w:tcPr>
            <w:tcW w:w="1729" w:type="dxa"/>
            <w:shd w:val="clear" w:color="auto" w:fill="E6E6E6"/>
            <w:vAlign w:val="center"/>
          </w:tcPr>
          <w:p w14:paraId="775AF1F3" w14:textId="77777777" w:rsidR="00491F88" w:rsidRPr="00934DE6" w:rsidRDefault="00491F88" w:rsidP="000D29F5">
            <w:pPr>
              <w:spacing w:before="60"/>
              <w:jc w:val="center"/>
              <w:rPr>
                <w:rFonts w:ascii="Arial" w:hAnsi="Arial" w:cs="Arial"/>
                <w:b/>
              </w:rPr>
            </w:pPr>
            <w:r w:rsidRPr="00934DE6">
              <w:rPr>
                <w:rFonts w:ascii="Arial" w:hAnsi="Arial" w:cs="Arial"/>
                <w:b/>
              </w:rPr>
              <w:t>rok</w:t>
            </w:r>
          </w:p>
        </w:tc>
        <w:tc>
          <w:tcPr>
            <w:tcW w:w="751" w:type="dxa"/>
            <w:shd w:val="clear" w:color="auto" w:fill="E6E6E6"/>
            <w:vAlign w:val="center"/>
          </w:tcPr>
          <w:p w14:paraId="7700E63E" w14:textId="77777777" w:rsidR="00491F88" w:rsidRPr="00934DE6" w:rsidRDefault="00491F88" w:rsidP="000D29F5">
            <w:pPr>
              <w:spacing w:before="60"/>
              <w:jc w:val="center"/>
              <w:rPr>
                <w:rFonts w:ascii="Arial" w:hAnsi="Arial" w:cs="Arial"/>
                <w:b/>
              </w:rPr>
            </w:pPr>
            <w:r w:rsidRPr="00934DE6">
              <w:rPr>
                <w:rFonts w:ascii="Arial" w:hAnsi="Arial" w:cs="Arial"/>
                <w:b/>
              </w:rPr>
              <w:t>2024</w:t>
            </w:r>
          </w:p>
        </w:tc>
        <w:tc>
          <w:tcPr>
            <w:tcW w:w="751" w:type="dxa"/>
            <w:shd w:val="clear" w:color="auto" w:fill="E6E6E6"/>
            <w:vAlign w:val="center"/>
          </w:tcPr>
          <w:p w14:paraId="788DD92C" w14:textId="77777777" w:rsidR="00491F88" w:rsidRPr="00934DE6" w:rsidRDefault="00491F88" w:rsidP="000D29F5">
            <w:pPr>
              <w:spacing w:before="60"/>
              <w:jc w:val="center"/>
              <w:rPr>
                <w:rFonts w:ascii="Arial" w:hAnsi="Arial" w:cs="Arial"/>
              </w:rPr>
            </w:pPr>
            <w:r w:rsidRPr="00934DE6">
              <w:rPr>
                <w:rFonts w:ascii="Arial" w:hAnsi="Arial" w:cs="Arial"/>
                <w:b/>
              </w:rPr>
              <w:t>2025</w:t>
            </w:r>
          </w:p>
        </w:tc>
        <w:tc>
          <w:tcPr>
            <w:tcW w:w="751" w:type="dxa"/>
            <w:shd w:val="clear" w:color="auto" w:fill="E6E6E6"/>
            <w:vAlign w:val="center"/>
          </w:tcPr>
          <w:p w14:paraId="74D1688A" w14:textId="77777777" w:rsidR="00491F88" w:rsidRPr="00934DE6" w:rsidRDefault="00491F88" w:rsidP="000D29F5">
            <w:pPr>
              <w:spacing w:before="60"/>
              <w:jc w:val="center"/>
              <w:rPr>
                <w:rFonts w:ascii="Arial" w:hAnsi="Arial" w:cs="Arial"/>
                <w:b/>
              </w:rPr>
            </w:pPr>
            <w:r w:rsidRPr="00934DE6">
              <w:rPr>
                <w:rFonts w:ascii="Arial" w:hAnsi="Arial" w:cs="Arial"/>
                <w:b/>
              </w:rPr>
              <w:t>2026</w:t>
            </w:r>
          </w:p>
        </w:tc>
        <w:tc>
          <w:tcPr>
            <w:tcW w:w="751" w:type="dxa"/>
            <w:shd w:val="clear" w:color="auto" w:fill="E6E6E6"/>
            <w:vAlign w:val="center"/>
          </w:tcPr>
          <w:p w14:paraId="20A46434" w14:textId="77777777" w:rsidR="00491F88" w:rsidRPr="00934DE6" w:rsidRDefault="00491F88" w:rsidP="000D29F5">
            <w:pPr>
              <w:spacing w:before="60"/>
              <w:jc w:val="center"/>
              <w:rPr>
                <w:rFonts w:ascii="Arial" w:hAnsi="Arial" w:cs="Arial"/>
                <w:b/>
              </w:rPr>
            </w:pPr>
            <w:r w:rsidRPr="00934DE6">
              <w:rPr>
                <w:rFonts w:ascii="Arial" w:hAnsi="Arial" w:cs="Arial"/>
                <w:b/>
              </w:rPr>
              <w:t>2027</w:t>
            </w:r>
          </w:p>
        </w:tc>
        <w:tc>
          <w:tcPr>
            <w:tcW w:w="752" w:type="dxa"/>
            <w:shd w:val="clear" w:color="auto" w:fill="E6E6E6"/>
            <w:vAlign w:val="center"/>
          </w:tcPr>
          <w:p w14:paraId="5DA4F249" w14:textId="77777777" w:rsidR="00491F88" w:rsidRPr="00934DE6" w:rsidRDefault="00491F88" w:rsidP="000D29F5">
            <w:pPr>
              <w:spacing w:before="60"/>
              <w:jc w:val="center"/>
              <w:rPr>
                <w:rFonts w:ascii="Arial" w:hAnsi="Arial" w:cs="Arial"/>
                <w:b/>
              </w:rPr>
            </w:pPr>
            <w:r w:rsidRPr="00934DE6">
              <w:rPr>
                <w:rFonts w:ascii="Arial" w:hAnsi="Arial" w:cs="Arial"/>
                <w:b/>
              </w:rPr>
              <w:t>2028</w:t>
            </w:r>
          </w:p>
        </w:tc>
        <w:tc>
          <w:tcPr>
            <w:tcW w:w="751" w:type="dxa"/>
            <w:shd w:val="clear" w:color="auto" w:fill="E6E6E6"/>
            <w:vAlign w:val="center"/>
          </w:tcPr>
          <w:p w14:paraId="1BEFBABB" w14:textId="77777777" w:rsidR="00491F88" w:rsidRPr="00934DE6" w:rsidRDefault="00491F88" w:rsidP="000D29F5">
            <w:pPr>
              <w:spacing w:before="60"/>
              <w:jc w:val="center"/>
              <w:rPr>
                <w:rFonts w:ascii="Arial" w:hAnsi="Arial" w:cs="Arial"/>
                <w:b/>
              </w:rPr>
            </w:pPr>
            <w:r w:rsidRPr="00934DE6">
              <w:rPr>
                <w:rFonts w:ascii="Arial" w:hAnsi="Arial" w:cs="Arial"/>
                <w:b/>
              </w:rPr>
              <w:t>2029</w:t>
            </w:r>
          </w:p>
        </w:tc>
        <w:tc>
          <w:tcPr>
            <w:tcW w:w="751" w:type="dxa"/>
            <w:shd w:val="clear" w:color="auto" w:fill="E6E6E6"/>
            <w:vAlign w:val="center"/>
          </w:tcPr>
          <w:p w14:paraId="56DB541A" w14:textId="77777777" w:rsidR="00491F88" w:rsidRPr="00934DE6" w:rsidRDefault="00491F88" w:rsidP="000D29F5">
            <w:pPr>
              <w:spacing w:before="60"/>
              <w:jc w:val="center"/>
              <w:rPr>
                <w:rFonts w:ascii="Arial" w:hAnsi="Arial" w:cs="Arial"/>
                <w:b/>
              </w:rPr>
            </w:pPr>
            <w:r w:rsidRPr="00934DE6">
              <w:rPr>
                <w:rFonts w:ascii="Arial" w:hAnsi="Arial" w:cs="Arial"/>
                <w:b/>
              </w:rPr>
              <w:t>2030</w:t>
            </w:r>
          </w:p>
        </w:tc>
        <w:tc>
          <w:tcPr>
            <w:tcW w:w="1575" w:type="dxa"/>
            <w:shd w:val="clear" w:color="auto" w:fill="E6E6E6"/>
            <w:vAlign w:val="center"/>
          </w:tcPr>
          <w:p w14:paraId="37363DD1" w14:textId="77777777" w:rsidR="00491F88" w:rsidRPr="00934DE6" w:rsidRDefault="00491F88" w:rsidP="000D29F5">
            <w:pPr>
              <w:spacing w:before="60"/>
              <w:jc w:val="center"/>
              <w:rPr>
                <w:rFonts w:ascii="Arial" w:hAnsi="Arial" w:cs="Arial"/>
                <w:b/>
              </w:rPr>
            </w:pPr>
            <w:r w:rsidRPr="00934DE6">
              <w:rPr>
                <w:rFonts w:ascii="Arial" w:hAnsi="Arial" w:cs="Arial"/>
                <w:b/>
              </w:rPr>
              <w:t>celkem</w:t>
            </w:r>
          </w:p>
        </w:tc>
      </w:tr>
      <w:tr w:rsidR="00491F88" w:rsidRPr="00934DE6" w14:paraId="52607C2F" w14:textId="77777777" w:rsidTr="00934DE6">
        <w:tc>
          <w:tcPr>
            <w:tcW w:w="1729" w:type="dxa"/>
            <w:shd w:val="clear" w:color="auto" w:fill="auto"/>
            <w:vAlign w:val="center"/>
          </w:tcPr>
          <w:p w14:paraId="6D7F142B" w14:textId="77777777" w:rsidR="00491F88" w:rsidRPr="00934DE6" w:rsidRDefault="00491F88" w:rsidP="000D29F5">
            <w:pPr>
              <w:spacing w:before="60"/>
              <w:rPr>
                <w:rFonts w:ascii="Arial" w:hAnsi="Arial" w:cs="Arial"/>
              </w:rPr>
            </w:pPr>
            <w:r w:rsidRPr="00934DE6">
              <w:rPr>
                <w:rFonts w:ascii="Arial" w:hAnsi="Arial" w:cs="Arial"/>
              </w:rPr>
              <w:t>Celkové výdaje</w:t>
            </w:r>
          </w:p>
        </w:tc>
        <w:tc>
          <w:tcPr>
            <w:tcW w:w="751" w:type="dxa"/>
            <w:shd w:val="clear" w:color="auto" w:fill="auto"/>
            <w:vAlign w:val="bottom"/>
          </w:tcPr>
          <w:p w14:paraId="3F35B539" w14:textId="77777777" w:rsidR="00491F88" w:rsidRPr="00934DE6" w:rsidRDefault="00491F88" w:rsidP="000D29F5">
            <w:pPr>
              <w:spacing w:before="60"/>
              <w:jc w:val="center"/>
              <w:rPr>
                <w:rFonts w:ascii="Arial" w:hAnsi="Arial" w:cs="Arial"/>
              </w:rPr>
            </w:pPr>
            <w:r w:rsidRPr="00934DE6">
              <w:rPr>
                <w:rFonts w:ascii="Arial" w:hAnsi="Arial" w:cs="Arial"/>
              </w:rPr>
              <w:t>33</w:t>
            </w:r>
          </w:p>
        </w:tc>
        <w:tc>
          <w:tcPr>
            <w:tcW w:w="751" w:type="dxa"/>
            <w:shd w:val="clear" w:color="auto" w:fill="auto"/>
            <w:vAlign w:val="bottom"/>
          </w:tcPr>
          <w:p w14:paraId="0A763270" w14:textId="77777777" w:rsidR="00491F88" w:rsidRPr="00934DE6" w:rsidRDefault="00491F88" w:rsidP="000D29F5">
            <w:pPr>
              <w:spacing w:before="60"/>
              <w:jc w:val="center"/>
              <w:rPr>
                <w:rFonts w:ascii="Arial" w:hAnsi="Arial" w:cs="Arial"/>
              </w:rPr>
            </w:pPr>
            <w:r w:rsidRPr="00934DE6">
              <w:rPr>
                <w:rFonts w:ascii="Arial" w:hAnsi="Arial" w:cs="Arial"/>
              </w:rPr>
              <w:t>82</w:t>
            </w:r>
          </w:p>
        </w:tc>
        <w:tc>
          <w:tcPr>
            <w:tcW w:w="751" w:type="dxa"/>
            <w:shd w:val="clear" w:color="auto" w:fill="auto"/>
            <w:vAlign w:val="bottom"/>
          </w:tcPr>
          <w:p w14:paraId="7379A749" w14:textId="77777777" w:rsidR="00491F88" w:rsidRPr="00934DE6" w:rsidRDefault="00491F88" w:rsidP="000D29F5">
            <w:pPr>
              <w:spacing w:before="60"/>
              <w:jc w:val="center"/>
              <w:rPr>
                <w:rFonts w:ascii="Arial" w:hAnsi="Arial" w:cs="Arial"/>
              </w:rPr>
            </w:pPr>
            <w:r w:rsidRPr="00934DE6">
              <w:rPr>
                <w:rFonts w:ascii="Arial" w:hAnsi="Arial" w:cs="Arial"/>
              </w:rPr>
              <w:t>116</w:t>
            </w:r>
          </w:p>
        </w:tc>
        <w:tc>
          <w:tcPr>
            <w:tcW w:w="751" w:type="dxa"/>
            <w:shd w:val="clear" w:color="auto" w:fill="auto"/>
            <w:vAlign w:val="bottom"/>
          </w:tcPr>
          <w:p w14:paraId="1D1388FE" w14:textId="77777777" w:rsidR="00491F88" w:rsidRPr="00934DE6" w:rsidRDefault="00491F88" w:rsidP="000D29F5">
            <w:pPr>
              <w:spacing w:before="60"/>
              <w:jc w:val="center"/>
              <w:rPr>
                <w:rFonts w:ascii="Arial" w:hAnsi="Arial" w:cs="Arial"/>
              </w:rPr>
            </w:pPr>
            <w:r w:rsidRPr="00934DE6">
              <w:rPr>
                <w:rFonts w:ascii="Arial" w:hAnsi="Arial" w:cs="Arial"/>
              </w:rPr>
              <w:t>143</w:t>
            </w:r>
          </w:p>
        </w:tc>
        <w:tc>
          <w:tcPr>
            <w:tcW w:w="752" w:type="dxa"/>
            <w:shd w:val="clear" w:color="auto" w:fill="auto"/>
            <w:vAlign w:val="bottom"/>
          </w:tcPr>
          <w:p w14:paraId="117B3A4A" w14:textId="77777777" w:rsidR="00491F88" w:rsidRPr="00934DE6" w:rsidRDefault="00491F88" w:rsidP="000D29F5">
            <w:pPr>
              <w:spacing w:before="60"/>
              <w:jc w:val="center"/>
              <w:rPr>
                <w:rFonts w:ascii="Arial" w:hAnsi="Arial" w:cs="Arial"/>
              </w:rPr>
            </w:pPr>
            <w:r w:rsidRPr="00934DE6">
              <w:rPr>
                <w:rFonts w:ascii="Arial" w:hAnsi="Arial" w:cs="Arial"/>
              </w:rPr>
              <w:t>116</w:t>
            </w:r>
          </w:p>
        </w:tc>
        <w:tc>
          <w:tcPr>
            <w:tcW w:w="751" w:type="dxa"/>
            <w:shd w:val="clear" w:color="auto" w:fill="auto"/>
            <w:vAlign w:val="bottom"/>
          </w:tcPr>
          <w:p w14:paraId="3F77DD55" w14:textId="77777777" w:rsidR="00491F88" w:rsidRPr="00934DE6" w:rsidRDefault="00491F88" w:rsidP="000D29F5">
            <w:pPr>
              <w:spacing w:before="60"/>
              <w:jc w:val="center"/>
              <w:rPr>
                <w:rFonts w:ascii="Arial" w:hAnsi="Arial" w:cs="Arial"/>
              </w:rPr>
            </w:pPr>
            <w:r w:rsidRPr="00934DE6">
              <w:rPr>
                <w:rFonts w:ascii="Arial" w:hAnsi="Arial" w:cs="Arial"/>
              </w:rPr>
              <w:t>77</w:t>
            </w:r>
          </w:p>
        </w:tc>
        <w:tc>
          <w:tcPr>
            <w:tcW w:w="751" w:type="dxa"/>
            <w:shd w:val="clear" w:color="auto" w:fill="auto"/>
            <w:vAlign w:val="bottom"/>
          </w:tcPr>
          <w:p w14:paraId="7472E569" w14:textId="77777777" w:rsidR="00491F88" w:rsidRPr="00934DE6" w:rsidRDefault="00491F88" w:rsidP="000D29F5">
            <w:pPr>
              <w:spacing w:before="60"/>
              <w:jc w:val="center"/>
              <w:rPr>
                <w:rFonts w:ascii="Arial" w:hAnsi="Arial" w:cs="Arial"/>
              </w:rPr>
            </w:pPr>
            <w:r w:rsidRPr="00934DE6">
              <w:rPr>
                <w:rFonts w:ascii="Arial" w:hAnsi="Arial" w:cs="Arial"/>
              </w:rPr>
              <w:t>38</w:t>
            </w:r>
          </w:p>
        </w:tc>
        <w:tc>
          <w:tcPr>
            <w:tcW w:w="1575" w:type="dxa"/>
            <w:shd w:val="clear" w:color="auto" w:fill="auto"/>
            <w:vAlign w:val="bottom"/>
          </w:tcPr>
          <w:p w14:paraId="76D7DDAF" w14:textId="77777777" w:rsidR="00491F88" w:rsidRPr="00934DE6" w:rsidRDefault="00491F88" w:rsidP="000D29F5">
            <w:pPr>
              <w:spacing w:before="60"/>
              <w:jc w:val="center"/>
              <w:rPr>
                <w:rFonts w:ascii="Arial" w:hAnsi="Arial" w:cs="Arial"/>
              </w:rPr>
            </w:pPr>
            <w:r w:rsidRPr="00934DE6">
              <w:rPr>
                <w:rFonts w:ascii="Arial" w:hAnsi="Arial" w:cs="Arial"/>
              </w:rPr>
              <w:t>605</w:t>
            </w:r>
          </w:p>
        </w:tc>
      </w:tr>
      <w:tr w:rsidR="00491F88" w:rsidRPr="00934DE6" w14:paraId="53B90764" w14:textId="77777777" w:rsidTr="00934DE6">
        <w:tc>
          <w:tcPr>
            <w:tcW w:w="1729" w:type="dxa"/>
            <w:shd w:val="clear" w:color="auto" w:fill="auto"/>
            <w:vAlign w:val="center"/>
          </w:tcPr>
          <w:p w14:paraId="5A88E96B" w14:textId="77777777" w:rsidR="00491F88" w:rsidRPr="00934DE6" w:rsidRDefault="00491F88" w:rsidP="000D29F5">
            <w:pPr>
              <w:spacing w:before="60"/>
              <w:rPr>
                <w:rFonts w:ascii="Arial" w:hAnsi="Arial" w:cs="Arial"/>
              </w:rPr>
            </w:pPr>
            <w:r w:rsidRPr="00934DE6">
              <w:rPr>
                <w:rFonts w:ascii="Arial" w:hAnsi="Arial" w:cs="Arial"/>
              </w:rPr>
              <w:t>Výdaje státního rozpočtu</w:t>
            </w:r>
          </w:p>
        </w:tc>
        <w:tc>
          <w:tcPr>
            <w:tcW w:w="751" w:type="dxa"/>
            <w:shd w:val="clear" w:color="auto" w:fill="auto"/>
            <w:vAlign w:val="center"/>
          </w:tcPr>
          <w:p w14:paraId="516F9F9D" w14:textId="77777777" w:rsidR="00491F88" w:rsidRPr="00934DE6" w:rsidRDefault="00491F88" w:rsidP="000D29F5">
            <w:pPr>
              <w:spacing w:before="60"/>
              <w:jc w:val="center"/>
              <w:rPr>
                <w:rFonts w:ascii="Arial" w:hAnsi="Arial" w:cs="Arial"/>
              </w:rPr>
            </w:pPr>
            <w:r w:rsidRPr="00934DE6">
              <w:rPr>
                <w:rFonts w:ascii="Arial" w:hAnsi="Arial" w:cs="Arial"/>
              </w:rPr>
              <w:t>30</w:t>
            </w:r>
          </w:p>
        </w:tc>
        <w:tc>
          <w:tcPr>
            <w:tcW w:w="751" w:type="dxa"/>
            <w:shd w:val="clear" w:color="auto" w:fill="auto"/>
            <w:vAlign w:val="center"/>
          </w:tcPr>
          <w:p w14:paraId="424B1989" w14:textId="77777777" w:rsidR="00491F88" w:rsidRPr="00934DE6" w:rsidRDefault="00491F88" w:rsidP="000D29F5">
            <w:pPr>
              <w:spacing w:before="60"/>
              <w:jc w:val="center"/>
              <w:rPr>
                <w:rFonts w:ascii="Arial" w:hAnsi="Arial" w:cs="Arial"/>
              </w:rPr>
            </w:pPr>
            <w:r w:rsidRPr="00934DE6">
              <w:rPr>
                <w:rFonts w:ascii="Arial" w:hAnsi="Arial" w:cs="Arial"/>
              </w:rPr>
              <w:t>75</w:t>
            </w:r>
          </w:p>
        </w:tc>
        <w:tc>
          <w:tcPr>
            <w:tcW w:w="751" w:type="dxa"/>
            <w:shd w:val="clear" w:color="auto" w:fill="auto"/>
            <w:vAlign w:val="center"/>
          </w:tcPr>
          <w:p w14:paraId="561F6BE5" w14:textId="77777777" w:rsidR="00491F88" w:rsidRPr="00934DE6" w:rsidRDefault="00491F88" w:rsidP="000D29F5">
            <w:pPr>
              <w:spacing w:before="60"/>
              <w:jc w:val="center"/>
              <w:rPr>
                <w:rFonts w:ascii="Arial" w:hAnsi="Arial" w:cs="Arial"/>
              </w:rPr>
            </w:pPr>
            <w:r w:rsidRPr="00934DE6">
              <w:rPr>
                <w:rFonts w:ascii="Arial" w:hAnsi="Arial" w:cs="Arial"/>
              </w:rPr>
              <w:t>105</w:t>
            </w:r>
          </w:p>
        </w:tc>
        <w:tc>
          <w:tcPr>
            <w:tcW w:w="751" w:type="dxa"/>
            <w:shd w:val="clear" w:color="auto" w:fill="auto"/>
            <w:vAlign w:val="center"/>
          </w:tcPr>
          <w:p w14:paraId="0E7B02D7" w14:textId="77777777" w:rsidR="00491F88" w:rsidRPr="00934DE6" w:rsidRDefault="00491F88" w:rsidP="000D29F5">
            <w:pPr>
              <w:spacing w:before="60"/>
              <w:jc w:val="center"/>
              <w:rPr>
                <w:rFonts w:ascii="Arial" w:hAnsi="Arial" w:cs="Arial"/>
              </w:rPr>
            </w:pPr>
            <w:r w:rsidRPr="00934DE6">
              <w:rPr>
                <w:rFonts w:ascii="Arial" w:hAnsi="Arial" w:cs="Arial"/>
              </w:rPr>
              <w:t>130</w:t>
            </w:r>
          </w:p>
        </w:tc>
        <w:tc>
          <w:tcPr>
            <w:tcW w:w="752" w:type="dxa"/>
            <w:shd w:val="clear" w:color="auto" w:fill="auto"/>
            <w:vAlign w:val="center"/>
          </w:tcPr>
          <w:p w14:paraId="2028B2FF" w14:textId="77777777" w:rsidR="00491F88" w:rsidRPr="00934DE6" w:rsidRDefault="00491F88" w:rsidP="000D29F5">
            <w:pPr>
              <w:spacing w:before="60"/>
              <w:jc w:val="center"/>
              <w:rPr>
                <w:rFonts w:ascii="Arial" w:hAnsi="Arial" w:cs="Arial"/>
              </w:rPr>
            </w:pPr>
            <w:r w:rsidRPr="00934DE6">
              <w:rPr>
                <w:rFonts w:ascii="Arial" w:hAnsi="Arial" w:cs="Arial"/>
              </w:rPr>
              <w:t>105</w:t>
            </w:r>
          </w:p>
        </w:tc>
        <w:tc>
          <w:tcPr>
            <w:tcW w:w="751" w:type="dxa"/>
            <w:shd w:val="clear" w:color="auto" w:fill="auto"/>
            <w:vAlign w:val="center"/>
          </w:tcPr>
          <w:p w14:paraId="54679FA7" w14:textId="77777777" w:rsidR="00491F88" w:rsidRPr="00934DE6" w:rsidRDefault="00491F88" w:rsidP="000D29F5">
            <w:pPr>
              <w:spacing w:before="60"/>
              <w:jc w:val="center"/>
              <w:rPr>
                <w:rFonts w:ascii="Arial" w:hAnsi="Arial" w:cs="Arial"/>
              </w:rPr>
            </w:pPr>
            <w:r w:rsidRPr="00934DE6">
              <w:rPr>
                <w:rFonts w:ascii="Arial" w:hAnsi="Arial" w:cs="Arial"/>
              </w:rPr>
              <w:t>70</w:t>
            </w:r>
          </w:p>
        </w:tc>
        <w:tc>
          <w:tcPr>
            <w:tcW w:w="751" w:type="dxa"/>
            <w:shd w:val="clear" w:color="auto" w:fill="auto"/>
            <w:vAlign w:val="center"/>
          </w:tcPr>
          <w:p w14:paraId="26649A4B" w14:textId="77777777" w:rsidR="00491F88" w:rsidRPr="00934DE6" w:rsidRDefault="00491F88" w:rsidP="000D29F5">
            <w:pPr>
              <w:spacing w:before="60"/>
              <w:jc w:val="center"/>
              <w:rPr>
                <w:rFonts w:ascii="Arial" w:hAnsi="Arial" w:cs="Arial"/>
              </w:rPr>
            </w:pPr>
            <w:r w:rsidRPr="00934DE6">
              <w:rPr>
                <w:rFonts w:ascii="Arial" w:hAnsi="Arial" w:cs="Arial"/>
              </w:rPr>
              <w:t>35</w:t>
            </w:r>
          </w:p>
        </w:tc>
        <w:tc>
          <w:tcPr>
            <w:tcW w:w="1575" w:type="dxa"/>
            <w:shd w:val="clear" w:color="auto" w:fill="auto"/>
            <w:vAlign w:val="center"/>
          </w:tcPr>
          <w:p w14:paraId="7C7FF3CD" w14:textId="77777777" w:rsidR="00491F88" w:rsidRPr="00934DE6" w:rsidRDefault="00491F88" w:rsidP="000D29F5">
            <w:pPr>
              <w:spacing w:before="60"/>
              <w:jc w:val="center"/>
              <w:rPr>
                <w:rFonts w:ascii="Arial" w:hAnsi="Arial" w:cs="Arial"/>
              </w:rPr>
            </w:pPr>
            <w:r w:rsidRPr="00934DE6">
              <w:rPr>
                <w:rFonts w:ascii="Arial" w:hAnsi="Arial" w:cs="Arial"/>
              </w:rPr>
              <w:t>550</w:t>
            </w:r>
          </w:p>
        </w:tc>
      </w:tr>
      <w:tr w:rsidR="00491F88" w:rsidRPr="00934DE6" w:rsidDel="0047508A" w14:paraId="59B38C43" w14:textId="77777777" w:rsidTr="00934DE6">
        <w:tc>
          <w:tcPr>
            <w:tcW w:w="1729" w:type="dxa"/>
            <w:shd w:val="clear" w:color="auto" w:fill="auto"/>
            <w:vAlign w:val="center"/>
          </w:tcPr>
          <w:p w14:paraId="7C5D7458" w14:textId="77777777" w:rsidR="00491F88" w:rsidRPr="00934DE6" w:rsidRDefault="00491F88" w:rsidP="000D29F5">
            <w:pPr>
              <w:spacing w:before="60"/>
              <w:rPr>
                <w:rFonts w:ascii="Arial" w:hAnsi="Arial" w:cs="Arial"/>
              </w:rPr>
            </w:pPr>
            <w:r w:rsidRPr="00934DE6">
              <w:rPr>
                <w:rFonts w:ascii="Arial" w:hAnsi="Arial" w:cs="Arial"/>
              </w:rPr>
              <w:t>Neveřejné zdroje</w:t>
            </w:r>
          </w:p>
        </w:tc>
        <w:tc>
          <w:tcPr>
            <w:tcW w:w="751" w:type="dxa"/>
            <w:shd w:val="clear" w:color="auto" w:fill="auto"/>
            <w:vAlign w:val="bottom"/>
          </w:tcPr>
          <w:p w14:paraId="28455F30" w14:textId="77777777" w:rsidR="00491F88" w:rsidRPr="00934DE6" w:rsidDel="0047508A" w:rsidRDefault="00491F88" w:rsidP="000D29F5">
            <w:pPr>
              <w:spacing w:before="60"/>
              <w:jc w:val="center"/>
              <w:rPr>
                <w:rFonts w:ascii="Arial" w:hAnsi="Arial" w:cs="Arial"/>
              </w:rPr>
            </w:pPr>
            <w:r w:rsidRPr="00934DE6">
              <w:rPr>
                <w:rFonts w:ascii="Arial" w:hAnsi="Arial" w:cs="Arial"/>
              </w:rPr>
              <w:t>3</w:t>
            </w:r>
          </w:p>
        </w:tc>
        <w:tc>
          <w:tcPr>
            <w:tcW w:w="751" w:type="dxa"/>
            <w:shd w:val="clear" w:color="auto" w:fill="auto"/>
            <w:vAlign w:val="bottom"/>
          </w:tcPr>
          <w:p w14:paraId="08617ACD" w14:textId="77777777" w:rsidR="00491F88" w:rsidRPr="00934DE6" w:rsidDel="0047508A" w:rsidRDefault="00491F88" w:rsidP="000D29F5">
            <w:pPr>
              <w:spacing w:before="60"/>
              <w:jc w:val="center"/>
              <w:rPr>
                <w:rFonts w:ascii="Arial" w:hAnsi="Arial" w:cs="Arial"/>
              </w:rPr>
            </w:pPr>
            <w:r w:rsidRPr="00934DE6">
              <w:rPr>
                <w:rFonts w:ascii="Arial" w:hAnsi="Arial" w:cs="Arial"/>
              </w:rPr>
              <w:t>7</w:t>
            </w:r>
          </w:p>
        </w:tc>
        <w:tc>
          <w:tcPr>
            <w:tcW w:w="751" w:type="dxa"/>
            <w:shd w:val="clear" w:color="auto" w:fill="auto"/>
            <w:vAlign w:val="bottom"/>
          </w:tcPr>
          <w:p w14:paraId="1EB0AD18" w14:textId="77777777" w:rsidR="00491F88" w:rsidRPr="00934DE6" w:rsidDel="0047508A" w:rsidRDefault="00491F88" w:rsidP="000D29F5">
            <w:pPr>
              <w:spacing w:before="60"/>
              <w:jc w:val="center"/>
              <w:rPr>
                <w:rFonts w:ascii="Arial" w:hAnsi="Arial" w:cs="Arial"/>
              </w:rPr>
            </w:pPr>
            <w:r w:rsidRPr="00934DE6">
              <w:rPr>
                <w:rFonts w:ascii="Arial" w:hAnsi="Arial" w:cs="Arial"/>
              </w:rPr>
              <w:t>11</w:t>
            </w:r>
          </w:p>
        </w:tc>
        <w:tc>
          <w:tcPr>
            <w:tcW w:w="751" w:type="dxa"/>
            <w:shd w:val="clear" w:color="auto" w:fill="auto"/>
            <w:vAlign w:val="bottom"/>
          </w:tcPr>
          <w:p w14:paraId="7AED220B" w14:textId="77777777" w:rsidR="00491F88" w:rsidRPr="00934DE6" w:rsidRDefault="00491F88" w:rsidP="000D29F5">
            <w:pPr>
              <w:spacing w:before="60"/>
              <w:jc w:val="center"/>
              <w:rPr>
                <w:rFonts w:ascii="Arial" w:hAnsi="Arial" w:cs="Arial"/>
              </w:rPr>
            </w:pPr>
            <w:r w:rsidRPr="00934DE6">
              <w:rPr>
                <w:rFonts w:ascii="Arial" w:hAnsi="Arial" w:cs="Arial"/>
              </w:rPr>
              <w:t>13</w:t>
            </w:r>
          </w:p>
        </w:tc>
        <w:tc>
          <w:tcPr>
            <w:tcW w:w="752" w:type="dxa"/>
            <w:shd w:val="clear" w:color="auto" w:fill="auto"/>
            <w:vAlign w:val="bottom"/>
          </w:tcPr>
          <w:p w14:paraId="76400644" w14:textId="77777777" w:rsidR="00491F88" w:rsidRPr="00934DE6" w:rsidRDefault="00491F88" w:rsidP="000D29F5">
            <w:pPr>
              <w:spacing w:before="60"/>
              <w:jc w:val="center"/>
              <w:rPr>
                <w:rFonts w:ascii="Arial" w:hAnsi="Arial" w:cs="Arial"/>
              </w:rPr>
            </w:pPr>
            <w:r w:rsidRPr="00934DE6">
              <w:rPr>
                <w:rFonts w:ascii="Arial" w:hAnsi="Arial" w:cs="Arial"/>
              </w:rPr>
              <w:t>11</w:t>
            </w:r>
          </w:p>
        </w:tc>
        <w:tc>
          <w:tcPr>
            <w:tcW w:w="751" w:type="dxa"/>
            <w:shd w:val="clear" w:color="auto" w:fill="auto"/>
            <w:vAlign w:val="bottom"/>
          </w:tcPr>
          <w:p w14:paraId="113D4BBA" w14:textId="77777777" w:rsidR="00491F88" w:rsidRPr="00934DE6" w:rsidRDefault="00491F88" w:rsidP="000D29F5">
            <w:pPr>
              <w:spacing w:before="60"/>
              <w:jc w:val="center"/>
              <w:rPr>
                <w:rFonts w:ascii="Arial" w:hAnsi="Arial" w:cs="Arial"/>
              </w:rPr>
            </w:pPr>
            <w:r w:rsidRPr="00934DE6">
              <w:rPr>
                <w:rFonts w:ascii="Arial" w:hAnsi="Arial" w:cs="Arial"/>
              </w:rPr>
              <w:t>7</w:t>
            </w:r>
          </w:p>
        </w:tc>
        <w:tc>
          <w:tcPr>
            <w:tcW w:w="751" w:type="dxa"/>
            <w:shd w:val="clear" w:color="auto" w:fill="auto"/>
            <w:vAlign w:val="bottom"/>
          </w:tcPr>
          <w:p w14:paraId="778EDD22" w14:textId="77777777" w:rsidR="00491F88" w:rsidRPr="00934DE6" w:rsidRDefault="00491F88" w:rsidP="000D29F5">
            <w:pPr>
              <w:spacing w:before="60"/>
              <w:jc w:val="center"/>
              <w:rPr>
                <w:rFonts w:ascii="Arial" w:hAnsi="Arial" w:cs="Arial"/>
              </w:rPr>
            </w:pPr>
            <w:r w:rsidRPr="00934DE6">
              <w:rPr>
                <w:rFonts w:ascii="Arial" w:hAnsi="Arial" w:cs="Arial"/>
              </w:rPr>
              <w:t>3</w:t>
            </w:r>
          </w:p>
        </w:tc>
        <w:tc>
          <w:tcPr>
            <w:tcW w:w="1575" w:type="dxa"/>
            <w:shd w:val="clear" w:color="auto" w:fill="auto"/>
            <w:vAlign w:val="bottom"/>
          </w:tcPr>
          <w:p w14:paraId="3EC654E4" w14:textId="77777777" w:rsidR="00491F88" w:rsidRPr="00934DE6" w:rsidDel="0047508A" w:rsidRDefault="00491F88" w:rsidP="000D29F5">
            <w:pPr>
              <w:spacing w:before="60"/>
              <w:jc w:val="center"/>
              <w:rPr>
                <w:rFonts w:ascii="Arial" w:hAnsi="Arial" w:cs="Arial"/>
              </w:rPr>
            </w:pPr>
            <w:r w:rsidRPr="00934DE6">
              <w:rPr>
                <w:rFonts w:ascii="Arial" w:hAnsi="Arial" w:cs="Arial"/>
              </w:rPr>
              <w:t>55</w:t>
            </w:r>
          </w:p>
        </w:tc>
      </w:tr>
    </w:tbl>
    <w:p w14:paraId="5818D396" w14:textId="77777777" w:rsidR="00491F88" w:rsidRPr="00A91A83" w:rsidRDefault="00491F88" w:rsidP="001E1D3D"/>
    <w:p w14:paraId="4B79F4E3" w14:textId="77777777" w:rsidR="00330661" w:rsidRDefault="00330661" w:rsidP="001E1D3D">
      <w:pPr>
        <w:pStyle w:val="Zkladntext"/>
        <w:numPr>
          <w:ilvl w:val="0"/>
          <w:numId w:val="2"/>
        </w:numPr>
        <w:spacing w:before="120"/>
        <w:jc w:val="both"/>
        <w:rPr>
          <w:rFonts w:ascii="Arial" w:hAnsi="Arial" w:cs="Arial"/>
          <w:szCs w:val="22"/>
          <w:u w:val="single"/>
        </w:rPr>
      </w:pPr>
      <w:r w:rsidRPr="001A65AF">
        <w:rPr>
          <w:rFonts w:ascii="Arial" w:hAnsi="Arial" w:cs="Arial"/>
          <w:szCs w:val="22"/>
          <w:u w:val="single"/>
        </w:rPr>
        <w:t>vymezení způsobilých nákladů, nejvyšší povolenou intenzitu podpory a její odůvodnění a další povinnosti stanovené přímo použitelnými předpisy Evropské unie:</w:t>
      </w:r>
    </w:p>
    <w:p w14:paraId="20B488AD" w14:textId="77777777" w:rsidR="00330661" w:rsidRDefault="00330661" w:rsidP="000D29F5">
      <w:pPr>
        <w:spacing w:before="60" w:after="60"/>
        <w:jc w:val="both"/>
        <w:rPr>
          <w:rFonts w:ascii="Arial" w:hAnsi="Arial" w:cs="Arial"/>
        </w:rPr>
      </w:pPr>
      <w:r w:rsidRPr="00330661">
        <w:rPr>
          <w:rFonts w:ascii="Arial" w:hAnsi="Arial" w:cs="Arial"/>
        </w:rPr>
        <w:t>Způsobilé náklady jsou definovány v části 14 návrhu Programu. Způsobilými náklady jsou takové náklady nebo výdaje ve výzkumu, vývoji a inovacích, které mohou být příjemcem vynaloženy na činnosti ve výzkumu, vývoji a inovacích, nebo v souvislosti s nimi.</w:t>
      </w:r>
    </w:p>
    <w:p w14:paraId="48EC1104" w14:textId="77777777" w:rsidR="00873E61" w:rsidRPr="00F16E2B" w:rsidRDefault="00873E61" w:rsidP="000D29F5">
      <w:pPr>
        <w:spacing w:before="60" w:after="60"/>
        <w:jc w:val="both"/>
        <w:rPr>
          <w:rFonts w:ascii="Arial" w:hAnsi="Arial" w:cs="Arial"/>
          <w:i/>
        </w:rPr>
      </w:pPr>
      <w:r w:rsidRPr="00F16E2B">
        <w:rPr>
          <w:rFonts w:ascii="Arial" w:hAnsi="Arial" w:cs="Arial"/>
        </w:rPr>
        <w:t xml:space="preserve">Nejvyšší povolená intenzita podpory na jeden projekt může být v souladu se zákonem </w:t>
      </w:r>
      <w:r w:rsidR="00F16E2B" w:rsidRPr="00F16E2B">
        <w:rPr>
          <w:rFonts w:ascii="Arial" w:hAnsi="Arial" w:cs="Arial"/>
        </w:rPr>
        <w:t>o výzkumu, experimentálním vývoji a inovacích</w:t>
      </w:r>
      <w:r w:rsidRPr="00F16E2B">
        <w:rPr>
          <w:rFonts w:ascii="Arial" w:hAnsi="Arial" w:cs="Arial"/>
        </w:rPr>
        <w:t xml:space="preserve"> a </w:t>
      </w:r>
      <w:r w:rsidR="00F16E2B" w:rsidRPr="00F16E2B">
        <w:rPr>
          <w:rFonts w:ascii="Arial" w:hAnsi="Arial" w:cs="Arial"/>
        </w:rPr>
        <w:t>N</w:t>
      </w:r>
      <w:r w:rsidRPr="00F16E2B">
        <w:rPr>
          <w:rFonts w:ascii="Arial" w:hAnsi="Arial" w:cs="Arial"/>
        </w:rPr>
        <w:t>ařízením Komise</w:t>
      </w:r>
      <w:r w:rsidR="00F16E2B" w:rsidRPr="00F16E2B">
        <w:rPr>
          <w:rFonts w:ascii="Arial" w:hAnsi="Arial" w:cs="Arial"/>
        </w:rPr>
        <w:t xml:space="preserve"> (EU)</w:t>
      </w:r>
      <w:r w:rsidRPr="00F16E2B">
        <w:rPr>
          <w:rFonts w:ascii="Arial" w:hAnsi="Arial" w:cs="Arial"/>
        </w:rPr>
        <w:t xml:space="preserve"> pro projekty, jichž se účastní pouze výzkumné organizace, až 100 % celkových uznaných nákladů, </w:t>
      </w:r>
      <w:r w:rsidRPr="00F16E2B">
        <w:rPr>
          <w:rStyle w:val="Kurzva"/>
          <w:rFonts w:ascii="Arial" w:hAnsi="Arial" w:cs="Arial"/>
          <w:i w:val="0"/>
        </w:rPr>
        <w:t xml:space="preserve">a to na </w:t>
      </w:r>
      <w:proofErr w:type="spellStart"/>
      <w:r w:rsidRPr="00F16E2B">
        <w:rPr>
          <w:rStyle w:val="Kurzva"/>
          <w:rFonts w:ascii="Arial" w:hAnsi="Arial" w:cs="Arial"/>
          <w:i w:val="0"/>
        </w:rPr>
        <w:t>nehospodářské</w:t>
      </w:r>
      <w:proofErr w:type="spellEnd"/>
      <w:r w:rsidRPr="00F16E2B">
        <w:rPr>
          <w:rStyle w:val="Kurzva"/>
          <w:rFonts w:ascii="Arial" w:hAnsi="Arial" w:cs="Arial"/>
          <w:i w:val="0"/>
        </w:rPr>
        <w:t xml:space="preserve"> činnosti výzkumných organizací dle bodu 19 a následujících Rámce</w:t>
      </w:r>
      <w:r w:rsidRPr="00F16E2B">
        <w:rPr>
          <w:rFonts w:ascii="Arial" w:hAnsi="Arial" w:cs="Arial"/>
          <w:i/>
        </w:rPr>
        <w:t xml:space="preserve">. </w:t>
      </w:r>
    </w:p>
    <w:p w14:paraId="23559AD3" w14:textId="77777777" w:rsidR="00873E61" w:rsidRPr="00F16E2B" w:rsidRDefault="00873E61" w:rsidP="000D29F5">
      <w:pPr>
        <w:spacing w:before="60" w:after="60"/>
        <w:jc w:val="both"/>
        <w:rPr>
          <w:rFonts w:ascii="Arial" w:hAnsi="Arial" w:cs="Arial"/>
        </w:rPr>
      </w:pPr>
      <w:r w:rsidRPr="00F16E2B">
        <w:rPr>
          <w:rFonts w:ascii="Arial" w:hAnsi="Arial" w:cs="Arial"/>
        </w:rPr>
        <w:t>Pro projekty, jichž se účastní podniky, budou nejvyšší povolené intenzity podpory pro aplikovaný výzkum</w:t>
      </w:r>
      <w:r w:rsidRPr="00F16E2B">
        <w:rPr>
          <w:rStyle w:val="Znakapoznpodarou"/>
          <w:rFonts w:ascii="Arial" w:hAnsi="Arial" w:cs="Arial"/>
        </w:rPr>
        <w:footnoteReference w:id="4"/>
      </w:r>
      <w:r w:rsidRPr="00F16E2B">
        <w:rPr>
          <w:rFonts w:ascii="Arial" w:hAnsi="Arial" w:cs="Arial"/>
        </w:rPr>
        <w:t xml:space="preserve"> a jednotlivé kategorie příjemců a dalších účastníků uvedeny v zadávací dokumentaci každé veřejné soutěže dle aktuálních předpisů Evropské unie.</w:t>
      </w:r>
    </w:p>
    <w:p w14:paraId="2621585C" w14:textId="77777777" w:rsidR="00F97C83" w:rsidRDefault="00F97C83" w:rsidP="001E1D3D">
      <w:pPr>
        <w:pStyle w:val="Zkladntext"/>
        <w:numPr>
          <w:ilvl w:val="0"/>
          <w:numId w:val="2"/>
        </w:numPr>
        <w:jc w:val="both"/>
        <w:rPr>
          <w:rFonts w:ascii="Arial" w:hAnsi="Arial" w:cs="Arial"/>
          <w:szCs w:val="22"/>
          <w:u w:val="single"/>
        </w:rPr>
      </w:pPr>
      <w:r w:rsidRPr="001A65AF">
        <w:rPr>
          <w:rFonts w:ascii="Arial" w:hAnsi="Arial" w:cs="Arial"/>
          <w:szCs w:val="22"/>
          <w:u w:val="single"/>
        </w:rPr>
        <w:t>specifikace cílů programu spolu s jejich odůvodněním a způsobem jejich dosažení, kritéria splnění cílů programu, srovnání se současným stavem v České republice a v zahraničí a očekávané výsledky a přínosy programu:</w:t>
      </w:r>
    </w:p>
    <w:p w14:paraId="684794BD" w14:textId="77777777" w:rsidR="00F97C83" w:rsidRDefault="00F97C83" w:rsidP="000D29F5">
      <w:pPr>
        <w:spacing w:before="60" w:after="60"/>
        <w:jc w:val="both"/>
        <w:rPr>
          <w:rFonts w:ascii="Arial" w:hAnsi="Arial" w:cs="Arial"/>
        </w:rPr>
      </w:pPr>
      <w:r w:rsidRPr="00F97C83">
        <w:rPr>
          <w:rFonts w:ascii="Arial" w:hAnsi="Arial" w:cs="Arial"/>
        </w:rPr>
        <w:t xml:space="preserve">Hlavním cílem Programu je přispět k zajištění a dalšímu rozvoji mezinárodně kompetitivního zdravotnického výzkumu České republiky, jehož úroveň bude srovnatelná s vyspělými státy Evropské unie. Realizace Programu následně přispěje </w:t>
      </w:r>
      <w:r w:rsidRPr="00F97C83">
        <w:rPr>
          <w:rFonts w:ascii="Arial" w:hAnsi="Arial" w:cs="Arial"/>
        </w:rPr>
        <w:lastRenderedPageBreak/>
        <w:t xml:space="preserve">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V rámci podpořených projektů bude dosaženo nových poznatků, které přispějí ke zlepšení klinických postupů v diagnostice, léčbě a prevenci při řešení </w:t>
      </w:r>
      <w:r w:rsidR="008666BF" w:rsidRPr="00F97C83">
        <w:rPr>
          <w:rFonts w:ascii="Arial" w:hAnsi="Arial" w:cs="Arial"/>
        </w:rPr>
        <w:t>nejčastějších, ale</w:t>
      </w:r>
      <w:r w:rsidRPr="00F97C83">
        <w:rPr>
          <w:rFonts w:ascii="Arial" w:hAnsi="Arial" w:cs="Arial"/>
        </w:rPr>
        <w:t xml:space="preserve"> i vzácných nebo zcela nových onemocnění. Ve střednědobém i</w:t>
      </w:r>
      <w:r w:rsidR="008666BF">
        <w:rPr>
          <w:rFonts w:ascii="Arial" w:hAnsi="Arial" w:cs="Arial"/>
        </w:rPr>
        <w:t> </w:t>
      </w:r>
      <w:r w:rsidRPr="00F97C83">
        <w:rPr>
          <w:rFonts w:ascii="Arial" w:hAnsi="Arial" w:cs="Arial"/>
        </w:rPr>
        <w:t xml:space="preserve">dlouhodobém horizontu budou mít výsledky Programu pozitivní dopad na zabezpečení aktuálních potřeb zdravotnictví v České republice a napomůžou k celkovému zlepšování lidského zdraví, ať už v kontextu české populace, tak potenciálně v celosvětovém rozměru. </w:t>
      </w:r>
    </w:p>
    <w:p w14:paraId="1D221644" w14:textId="77777777" w:rsidR="00F60A14" w:rsidRDefault="00390DAA" w:rsidP="000D29F5">
      <w:pPr>
        <w:spacing w:before="60" w:after="60"/>
        <w:jc w:val="both"/>
        <w:rPr>
          <w:rFonts w:ascii="Arial" w:hAnsi="Arial" w:cs="Arial"/>
        </w:rPr>
      </w:pPr>
      <w:r w:rsidRPr="00390DAA">
        <w:rPr>
          <w:rFonts w:ascii="Arial" w:hAnsi="Arial" w:cs="Arial"/>
        </w:rPr>
        <w:t xml:space="preserve">Cíle Programu jsou rozděleny na tři hlavní oblasti. Jedná se o </w:t>
      </w:r>
      <w:r w:rsidRPr="00390DAA">
        <w:rPr>
          <w:rFonts w:ascii="Arial" w:hAnsi="Arial" w:cs="Arial"/>
          <w:iCs/>
        </w:rPr>
        <w:t>Veřejné zdraví</w:t>
      </w:r>
      <w:r w:rsidR="00F60A14">
        <w:rPr>
          <w:rFonts w:ascii="Arial" w:hAnsi="Arial" w:cs="Arial"/>
          <w:iCs/>
        </w:rPr>
        <w:t xml:space="preserve"> (oblast </w:t>
      </w:r>
      <w:r w:rsidR="00F60A14" w:rsidRPr="00392A71">
        <w:rPr>
          <w:rFonts w:ascii="Arial" w:hAnsi="Arial" w:cs="Arial"/>
          <w:iCs/>
        </w:rPr>
        <w:t>1)</w:t>
      </w:r>
      <w:r w:rsidRPr="00392A71">
        <w:rPr>
          <w:rFonts w:ascii="Arial" w:hAnsi="Arial" w:cs="Arial"/>
        </w:rPr>
        <w:t xml:space="preserve">; </w:t>
      </w:r>
      <w:r w:rsidRPr="00392A71">
        <w:rPr>
          <w:rFonts w:ascii="Arial" w:hAnsi="Arial" w:cs="Arial"/>
          <w:iCs/>
        </w:rPr>
        <w:t>Patogeneze a rozvoj chorob</w:t>
      </w:r>
      <w:r w:rsidR="00F60A14" w:rsidRPr="00392A71">
        <w:rPr>
          <w:rFonts w:ascii="Arial" w:hAnsi="Arial" w:cs="Arial"/>
          <w:iCs/>
        </w:rPr>
        <w:t xml:space="preserve"> (oblast 2) a</w:t>
      </w:r>
      <w:r w:rsidRPr="00392A71">
        <w:rPr>
          <w:rFonts w:ascii="Arial" w:hAnsi="Arial" w:cs="Arial"/>
        </w:rPr>
        <w:t xml:space="preserve"> </w:t>
      </w:r>
      <w:r w:rsidRPr="00392A71">
        <w:rPr>
          <w:rFonts w:ascii="Arial" w:hAnsi="Arial" w:cs="Arial"/>
          <w:iCs/>
        </w:rPr>
        <w:t>Inovativní řešení pro medicínu</w:t>
      </w:r>
      <w:r w:rsidR="00F60A14" w:rsidRPr="00392A71">
        <w:rPr>
          <w:rFonts w:ascii="Arial" w:hAnsi="Arial" w:cs="Arial"/>
          <w:iCs/>
        </w:rPr>
        <w:t xml:space="preserve"> (oblast 3)</w:t>
      </w:r>
      <w:r w:rsidRPr="00392A71">
        <w:rPr>
          <w:rFonts w:ascii="Arial" w:hAnsi="Arial" w:cs="Arial"/>
        </w:rPr>
        <w:t>, které se dále člení na 26 podoblastí (</w:t>
      </w:r>
      <w:r w:rsidRPr="00392A71">
        <w:rPr>
          <w:rFonts w:ascii="Arial" w:hAnsi="Arial" w:cs="Arial"/>
          <w:iCs/>
        </w:rPr>
        <w:t xml:space="preserve">Veřejné zdraví </w:t>
      </w:r>
      <w:r w:rsidR="00F60A14" w:rsidRPr="00392A71">
        <w:rPr>
          <w:rFonts w:ascii="Arial" w:hAnsi="Arial" w:cs="Arial"/>
          <w:iCs/>
        </w:rPr>
        <w:t xml:space="preserve">zahrnuje </w:t>
      </w:r>
      <w:r w:rsidRPr="00392A71">
        <w:rPr>
          <w:rFonts w:ascii="Arial" w:hAnsi="Arial" w:cs="Arial"/>
        </w:rPr>
        <w:t xml:space="preserve">7 podoblastí, </w:t>
      </w:r>
      <w:r w:rsidRPr="00392A71">
        <w:rPr>
          <w:rFonts w:ascii="Arial" w:hAnsi="Arial" w:cs="Arial"/>
          <w:iCs/>
        </w:rPr>
        <w:t>Patogeneze a rozvoj chorob</w:t>
      </w:r>
      <w:r w:rsidRPr="00392A71">
        <w:rPr>
          <w:rFonts w:ascii="Arial" w:hAnsi="Arial" w:cs="Arial"/>
        </w:rPr>
        <w:t xml:space="preserve"> 10 podoblastí, </w:t>
      </w:r>
      <w:r w:rsidRPr="00392A71">
        <w:rPr>
          <w:rFonts w:ascii="Arial" w:hAnsi="Arial" w:cs="Arial"/>
          <w:iCs/>
        </w:rPr>
        <w:t>Inovativní řešení pro medicínu</w:t>
      </w:r>
      <w:r w:rsidRPr="00392A71">
        <w:rPr>
          <w:rFonts w:ascii="Arial" w:hAnsi="Arial" w:cs="Arial"/>
        </w:rPr>
        <w:t xml:space="preserve"> 9 podoblastí)</w:t>
      </w:r>
      <w:r w:rsidR="00F60A14" w:rsidRPr="00392A71">
        <w:rPr>
          <w:rFonts w:ascii="Arial" w:hAnsi="Arial" w:cs="Arial"/>
        </w:rPr>
        <w:t xml:space="preserve">. Tyto podoblasti mají popsány své hlavní a další </w:t>
      </w:r>
      <w:r w:rsidRPr="00392A71">
        <w:rPr>
          <w:rFonts w:ascii="Arial" w:hAnsi="Arial" w:cs="Arial"/>
        </w:rPr>
        <w:t>speci</w:t>
      </w:r>
      <w:r w:rsidR="00F60A14" w:rsidRPr="00392A71">
        <w:rPr>
          <w:rFonts w:ascii="Arial" w:hAnsi="Arial" w:cs="Arial"/>
        </w:rPr>
        <w:t>fické cíle (např.</w:t>
      </w:r>
      <w:r w:rsidRPr="00392A71">
        <w:rPr>
          <w:rFonts w:ascii="Arial" w:hAnsi="Arial" w:cs="Arial"/>
        </w:rPr>
        <w:t xml:space="preserve"> v rámci oblasti </w:t>
      </w:r>
      <w:r w:rsidRPr="00392A71">
        <w:rPr>
          <w:rFonts w:ascii="Arial" w:hAnsi="Arial" w:cs="Arial"/>
          <w:iCs/>
        </w:rPr>
        <w:t xml:space="preserve">Veřejného zdraví </w:t>
      </w:r>
      <w:r w:rsidR="00F60A14" w:rsidRPr="00392A71">
        <w:rPr>
          <w:rFonts w:ascii="Arial" w:hAnsi="Arial" w:cs="Arial"/>
          <w:iCs/>
        </w:rPr>
        <w:t>jsou zahrnuty tři dílčí cíle</w:t>
      </w:r>
      <w:r w:rsidR="00392A71" w:rsidRPr="00392A71">
        <w:rPr>
          <w:rFonts w:ascii="Arial" w:hAnsi="Arial" w:cs="Arial"/>
          <w:iCs/>
        </w:rPr>
        <w:t xml:space="preserve">, </w:t>
      </w:r>
      <w:r w:rsidR="00392A71" w:rsidRPr="00392A71">
        <w:rPr>
          <w:rFonts w:ascii="Arial" w:hAnsi="Arial" w:cs="Arial"/>
        </w:rPr>
        <w:t>jednotlivé podoblasti blíže vymezuje až 6 vedlejších cílů).</w:t>
      </w:r>
    </w:p>
    <w:p w14:paraId="3FBCEEFE" w14:textId="3C30FA87" w:rsidR="009464C4" w:rsidRPr="00355E9D" w:rsidRDefault="0002675F" w:rsidP="000D29F5">
      <w:pPr>
        <w:spacing w:before="60" w:after="60"/>
        <w:jc w:val="both"/>
        <w:rPr>
          <w:rFonts w:ascii="Arial" w:hAnsi="Arial" w:cs="Arial"/>
        </w:rPr>
      </w:pPr>
      <w:r w:rsidRPr="00355E9D">
        <w:rPr>
          <w:rFonts w:ascii="Arial" w:hAnsi="Arial" w:cs="Arial"/>
          <w:szCs w:val="22"/>
          <w:u w:val="single"/>
        </w:rPr>
        <w:t>K</w:t>
      </w:r>
      <w:r w:rsidR="009464C4" w:rsidRPr="00355E9D">
        <w:rPr>
          <w:rFonts w:ascii="Arial" w:hAnsi="Arial" w:cs="Arial"/>
          <w:szCs w:val="22"/>
          <w:u w:val="single"/>
        </w:rPr>
        <w:t>ritéria splnění cílů</w:t>
      </w:r>
      <w:r w:rsidR="009464C4" w:rsidRPr="00FD0AAB">
        <w:rPr>
          <w:rFonts w:ascii="Arial" w:hAnsi="Arial" w:cs="Arial"/>
          <w:szCs w:val="22"/>
          <w:u w:val="single"/>
        </w:rPr>
        <w:t xml:space="preserve"> </w:t>
      </w:r>
      <w:r w:rsidRPr="00FD0AAB">
        <w:rPr>
          <w:rFonts w:ascii="Arial" w:hAnsi="Arial" w:cs="Arial"/>
          <w:szCs w:val="22"/>
          <w:u w:val="single"/>
        </w:rPr>
        <w:t>P</w:t>
      </w:r>
      <w:r w:rsidR="009464C4" w:rsidRPr="00FD0AAB">
        <w:rPr>
          <w:rFonts w:ascii="Arial" w:hAnsi="Arial" w:cs="Arial"/>
          <w:szCs w:val="22"/>
          <w:u w:val="single"/>
        </w:rPr>
        <w:t>rogramu</w:t>
      </w:r>
      <w:r w:rsidR="009464C4" w:rsidRPr="00FD0AAB">
        <w:rPr>
          <w:rFonts w:ascii="Arial" w:hAnsi="Arial" w:cs="Arial"/>
          <w:szCs w:val="22"/>
        </w:rPr>
        <w:t xml:space="preserve"> </w:t>
      </w:r>
      <w:r w:rsidRPr="00FD0AAB">
        <w:rPr>
          <w:rFonts w:ascii="Arial" w:hAnsi="Arial" w:cs="Arial"/>
          <w:szCs w:val="22"/>
        </w:rPr>
        <w:t>–</w:t>
      </w:r>
      <w:r w:rsidR="009464C4" w:rsidRPr="00FD0AAB">
        <w:rPr>
          <w:rFonts w:ascii="Arial" w:hAnsi="Arial" w:cs="Arial"/>
          <w:szCs w:val="22"/>
        </w:rPr>
        <w:t xml:space="preserve"> </w:t>
      </w:r>
      <w:r w:rsidR="00FD0AAB" w:rsidRPr="00FD0AAB">
        <w:rPr>
          <w:rFonts w:ascii="Arial" w:hAnsi="Arial" w:cs="Arial"/>
          <w:szCs w:val="22"/>
        </w:rPr>
        <w:t>c</w:t>
      </w:r>
      <w:r w:rsidRPr="00FD0AAB">
        <w:rPr>
          <w:rFonts w:ascii="Arial" w:hAnsi="Arial" w:cs="Arial"/>
          <w:szCs w:val="22"/>
        </w:rPr>
        <w:t>íle Programu budou</w:t>
      </w:r>
      <w:r w:rsidR="009464C4" w:rsidRPr="00355E9D">
        <w:rPr>
          <w:rFonts w:ascii="Arial" w:hAnsi="Arial" w:cs="Arial"/>
        </w:rPr>
        <w:t xml:space="preserve"> vyhodnocován</w:t>
      </w:r>
      <w:r w:rsidR="00355E9D" w:rsidRPr="00355E9D">
        <w:rPr>
          <w:rFonts w:ascii="Arial" w:hAnsi="Arial" w:cs="Arial"/>
        </w:rPr>
        <w:t>y</w:t>
      </w:r>
      <w:r w:rsidR="009464C4" w:rsidRPr="00355E9D">
        <w:rPr>
          <w:rFonts w:ascii="Arial" w:hAnsi="Arial" w:cs="Arial"/>
        </w:rPr>
        <w:t xml:space="preserve"> v souladu s Metodikou hodnocení výzkumných organizací a hodnocení programů účelové podpory výzkumu, vývoje</w:t>
      </w:r>
      <w:r w:rsidR="00AB5C14">
        <w:rPr>
          <w:rFonts w:ascii="Arial" w:hAnsi="Arial" w:cs="Arial"/>
        </w:rPr>
        <w:t xml:space="preserve"> a</w:t>
      </w:r>
      <w:r w:rsidR="009464C4" w:rsidRPr="00355E9D">
        <w:rPr>
          <w:rFonts w:ascii="Arial" w:hAnsi="Arial" w:cs="Arial"/>
        </w:rPr>
        <w:t xml:space="preserve"> inovací platnou v době hodnocení Programu, případně dalších podmínek stanovených poskytovatelem a dále podle definic pro předávání výsledků do Informačního systému </w:t>
      </w:r>
      <w:proofErr w:type="spellStart"/>
      <w:r w:rsidR="009464C4" w:rsidRPr="00355E9D">
        <w:rPr>
          <w:rFonts w:ascii="Arial" w:hAnsi="Arial" w:cs="Arial"/>
        </w:rPr>
        <w:t>VaVaI</w:t>
      </w:r>
      <w:proofErr w:type="spellEnd"/>
      <w:r w:rsidR="009464C4" w:rsidRPr="00355E9D">
        <w:rPr>
          <w:rFonts w:ascii="Arial" w:hAnsi="Arial" w:cs="Arial"/>
        </w:rPr>
        <w:t xml:space="preserve"> platn</w:t>
      </w:r>
      <w:r w:rsidR="00AB5C14">
        <w:rPr>
          <w:rFonts w:ascii="Arial" w:hAnsi="Arial" w:cs="Arial"/>
        </w:rPr>
        <w:t>ých</w:t>
      </w:r>
      <w:r w:rsidR="009464C4" w:rsidRPr="00355E9D">
        <w:rPr>
          <w:rFonts w:ascii="Arial" w:hAnsi="Arial" w:cs="Arial"/>
        </w:rPr>
        <w:t xml:space="preserve"> v době hodnocení Programu. Dosažení cílů Programu bude vyhodnocováno na základě souboru indikátorů určených pro monitorování průběhu plnění Programu a hodnocení jeho celkové výkonnosti a úspěšnosti. </w:t>
      </w:r>
    </w:p>
    <w:p w14:paraId="4E295A44" w14:textId="77777777" w:rsidR="009464C4" w:rsidRDefault="009464C4" w:rsidP="000D29F5">
      <w:pPr>
        <w:spacing w:before="60" w:after="60"/>
        <w:jc w:val="both"/>
        <w:rPr>
          <w:rFonts w:ascii="Arial" w:hAnsi="Arial" w:cs="Arial"/>
        </w:rPr>
      </w:pPr>
      <w:r w:rsidRPr="00355E9D">
        <w:rPr>
          <w:rFonts w:ascii="Arial" w:hAnsi="Arial" w:cs="Arial"/>
        </w:rPr>
        <w:t>Indikátory jsou řazeny do čtyř kategorií dle své povahy, a to indikátory realizace Programu, indikátory výsledků Programu, indikátory motivace vědců a indikátory splnění cílů Programu.</w:t>
      </w:r>
    </w:p>
    <w:p w14:paraId="2378D44C" w14:textId="77777777" w:rsidR="00FD0AAB" w:rsidRDefault="00355E9D" w:rsidP="000D29F5">
      <w:pPr>
        <w:spacing w:before="60" w:after="60"/>
        <w:jc w:val="both"/>
        <w:rPr>
          <w:rFonts w:ascii="Arial" w:hAnsi="Arial" w:cs="Arial"/>
        </w:rPr>
      </w:pPr>
      <w:r w:rsidRPr="00321512">
        <w:rPr>
          <w:rFonts w:ascii="Arial" w:hAnsi="Arial" w:cs="Arial"/>
        </w:rPr>
        <w:t>Například poskytovatel předpokládá, že do jednotlivých veřejných soutěží bude doručeno minimálně 1 600 návrhů projektů, z nichž bude vybráno (podpořeno) minimálně 400  projektů</w:t>
      </w:r>
      <w:r w:rsidRPr="00321512">
        <w:rPr>
          <w:rStyle w:val="Znakapoznpodarou"/>
          <w:rFonts w:ascii="Arial" w:hAnsi="Arial" w:cs="Arial"/>
        </w:rPr>
        <w:footnoteReference w:id="5"/>
      </w:r>
      <w:r w:rsidRPr="00321512">
        <w:rPr>
          <w:rFonts w:ascii="Arial" w:hAnsi="Arial" w:cs="Arial"/>
        </w:rPr>
        <w:t>, minimálně 300 projektů bude úspěšně dokončeno a</w:t>
      </w:r>
      <w:r w:rsidR="00321512">
        <w:rPr>
          <w:rFonts w:ascii="Arial" w:hAnsi="Arial" w:cs="Arial"/>
        </w:rPr>
        <w:t> </w:t>
      </w:r>
      <w:r w:rsidRPr="00321512">
        <w:rPr>
          <w:rFonts w:ascii="Arial" w:hAnsi="Arial" w:cs="Arial"/>
        </w:rPr>
        <w:t>minimálně 20  projektů bude řešeno  ve spolupráci podniků a výzkumných organizací</w:t>
      </w:r>
      <w:r w:rsidR="00321512">
        <w:rPr>
          <w:rFonts w:ascii="Arial" w:hAnsi="Arial" w:cs="Arial"/>
        </w:rPr>
        <w:t xml:space="preserve">. Všechny indikátory Programu jsou popsány v tabulce č. 9 návrhu Programu. </w:t>
      </w:r>
    </w:p>
    <w:p w14:paraId="6D75292B" w14:textId="77777777" w:rsidR="00FD0AAB" w:rsidRPr="00321512" w:rsidRDefault="00FD0AAB" w:rsidP="000D29F5">
      <w:pPr>
        <w:spacing w:before="60" w:after="60"/>
        <w:jc w:val="both"/>
        <w:rPr>
          <w:rFonts w:ascii="Arial" w:hAnsi="Arial" w:cs="Arial"/>
          <w:szCs w:val="22"/>
          <w:u w:val="single"/>
        </w:rPr>
      </w:pPr>
      <w:r w:rsidRPr="00321512">
        <w:rPr>
          <w:rFonts w:ascii="Arial" w:hAnsi="Arial" w:cs="Arial"/>
          <w:szCs w:val="22"/>
          <w:u w:val="single"/>
        </w:rPr>
        <w:t>Srovnání se současným stavem v České republice a v zahraničí – uvedeno v části 19. návrhu Programu.</w:t>
      </w:r>
    </w:p>
    <w:p w14:paraId="42B9545A" w14:textId="77777777" w:rsidR="00FD0AAB" w:rsidRDefault="00FD0AAB" w:rsidP="000D29F5">
      <w:pPr>
        <w:spacing w:before="60" w:after="60"/>
        <w:jc w:val="both"/>
        <w:rPr>
          <w:rFonts w:ascii="Arial" w:hAnsi="Arial" w:cs="Arial"/>
        </w:rPr>
      </w:pPr>
      <w:r w:rsidRPr="00321512">
        <w:rPr>
          <w:rFonts w:ascii="Arial" w:hAnsi="Arial" w:cs="Arial"/>
        </w:rPr>
        <w:t xml:space="preserve">Podrobná analýza aktuálního stavu výzkumu a vývoje ve zdravotnictví v České republice je uvedena v Příloze č. 2 Koncepce (Analýza podpory zdravotnického výzkumu v ČR), v níž je zahrnuto rovněž srovnání stavu výzkumu a vývoje v ČR a v zahraničí. Obsahem </w:t>
      </w:r>
      <w:r>
        <w:rPr>
          <w:rFonts w:ascii="Arial" w:hAnsi="Arial" w:cs="Arial"/>
        </w:rPr>
        <w:t>P</w:t>
      </w:r>
      <w:r w:rsidRPr="00321512">
        <w:rPr>
          <w:rFonts w:ascii="Arial" w:hAnsi="Arial" w:cs="Arial"/>
        </w:rPr>
        <w:t>řílohy č. 3 Koncepce (Zahraniční přístupy k podpoře zdravotnického výzkumu) je podrobná analýza podpory zdravotnického výzkumu a</w:t>
      </w:r>
      <w:r>
        <w:rPr>
          <w:rFonts w:ascii="Arial" w:hAnsi="Arial" w:cs="Arial"/>
        </w:rPr>
        <w:t> </w:t>
      </w:r>
      <w:r w:rsidRPr="00321512">
        <w:rPr>
          <w:rFonts w:ascii="Arial" w:hAnsi="Arial" w:cs="Arial"/>
        </w:rPr>
        <w:t>vývoje v zahraničí.</w:t>
      </w:r>
    </w:p>
    <w:p w14:paraId="5AE5D2BE" w14:textId="77777777" w:rsidR="00FD0AAB" w:rsidRPr="001B2F84" w:rsidRDefault="00FD0AAB" w:rsidP="000D29F5">
      <w:pPr>
        <w:spacing w:before="60" w:after="60"/>
        <w:jc w:val="both"/>
        <w:rPr>
          <w:rFonts w:ascii="Arial" w:hAnsi="Arial" w:cs="Arial"/>
        </w:rPr>
      </w:pPr>
      <w:r w:rsidRPr="001B2F84">
        <w:rPr>
          <w:rFonts w:ascii="Arial" w:hAnsi="Arial" w:cs="Arial"/>
          <w:szCs w:val="22"/>
          <w:u w:val="single"/>
        </w:rPr>
        <w:lastRenderedPageBreak/>
        <w:t>Očekávané výsledky a přínosy programu</w:t>
      </w:r>
      <w:bookmarkStart w:id="0" w:name="OLE_LINK4"/>
      <w:bookmarkStart w:id="1" w:name="OLE_LINK5"/>
      <w:r w:rsidRPr="001B2F84">
        <w:rPr>
          <w:rFonts w:ascii="Arial" w:hAnsi="Arial" w:cs="Arial"/>
          <w:szCs w:val="22"/>
          <w:u w:val="single"/>
        </w:rPr>
        <w:t xml:space="preserve"> – </w:t>
      </w:r>
      <w:r w:rsidRPr="001B2F84">
        <w:rPr>
          <w:rFonts w:ascii="Arial" w:hAnsi="Arial" w:cs="Arial"/>
        </w:rPr>
        <w:t>podporovány budou pouze ty projekty, které odůvodněně předpokládají dosažení alespoň jednoho hlavního</w:t>
      </w:r>
      <w:r w:rsidRPr="001B2F84">
        <w:rPr>
          <w:rStyle w:val="Znakapoznpodarou"/>
          <w:rFonts w:ascii="Arial" w:hAnsi="Arial" w:cs="Arial"/>
        </w:rPr>
        <w:footnoteReference w:id="6"/>
      </w:r>
      <w:r w:rsidRPr="001B2F84">
        <w:rPr>
          <w:rFonts w:ascii="Arial" w:hAnsi="Arial" w:cs="Arial"/>
        </w:rPr>
        <w:t xml:space="preserve"> a jednoho vedlejšího výsledku výzkumu a vývoje. Akceptovatelné je také dosažení alespoň dvou hlavních výsledků nebo jeden výsledek publikovaný v prestižním mezinárodním časopise, který je řazen dle Metodiky hodnocení výzkumných organizací a programů účelové podpory výzkumu, vývoje a inovací do tzv. 1. </w:t>
      </w:r>
      <w:proofErr w:type="spellStart"/>
      <w:r w:rsidRPr="001B2F84">
        <w:rPr>
          <w:rFonts w:ascii="Arial" w:hAnsi="Arial" w:cs="Arial"/>
        </w:rPr>
        <w:t>kvartilu</w:t>
      </w:r>
      <w:proofErr w:type="spellEnd"/>
      <w:r w:rsidRPr="001B2F84">
        <w:rPr>
          <w:rFonts w:ascii="Arial" w:hAnsi="Arial" w:cs="Arial"/>
        </w:rPr>
        <w:t>. Vyšší počet dosažených výsledků bude vyžadován u projektů požadujících účelovou podporu vyšší než 12 mil. Kč za celou dobu řešení (bližší podmínky budou popsány v zadávací dokumentaci veřejných soutěží).</w:t>
      </w:r>
    </w:p>
    <w:p w14:paraId="3DD298E4" w14:textId="39897087" w:rsidR="00FD0AAB" w:rsidRPr="001B2F84" w:rsidRDefault="00FD0AAB" w:rsidP="000D29F5">
      <w:pPr>
        <w:spacing w:after="120"/>
        <w:jc w:val="both"/>
        <w:rPr>
          <w:rFonts w:ascii="Arial" w:hAnsi="Arial" w:cs="Arial"/>
        </w:rPr>
      </w:pPr>
      <w:r w:rsidRPr="001B2F84">
        <w:rPr>
          <w:rFonts w:ascii="Arial" w:hAnsi="Arial" w:cs="Arial"/>
        </w:rPr>
        <w:t xml:space="preserve">Jednotlivé druhy výsledků jsou definovány v samostatné příloze č. 4 Metodiky </w:t>
      </w:r>
      <w:r w:rsidR="00AB5C14">
        <w:rPr>
          <w:rFonts w:ascii="Arial" w:hAnsi="Arial" w:cs="Arial"/>
        </w:rPr>
        <w:t>M17+</w:t>
      </w:r>
      <w:r w:rsidRPr="001B2F84">
        <w:rPr>
          <w:rFonts w:ascii="Arial" w:hAnsi="Arial" w:cs="Arial"/>
        </w:rPr>
        <w:t>, s názvem Definice druhů výsledků (schváleno usnesením vlády dne 29. listopadu 2017 č. 837).</w:t>
      </w:r>
    </w:p>
    <w:bookmarkEnd w:id="0"/>
    <w:bookmarkEnd w:id="1"/>
    <w:p w14:paraId="534042CF" w14:textId="77777777" w:rsidR="00FD0AAB" w:rsidRPr="001B2F84" w:rsidRDefault="00FD0AAB" w:rsidP="000D29F5">
      <w:pPr>
        <w:spacing w:after="120"/>
        <w:jc w:val="both"/>
        <w:rPr>
          <w:rFonts w:ascii="Arial" w:hAnsi="Arial" w:cs="Arial"/>
        </w:rPr>
      </w:pPr>
      <w:r w:rsidRPr="001B2F84">
        <w:rPr>
          <w:rFonts w:ascii="Arial" w:hAnsi="Arial" w:cs="Arial"/>
        </w:rPr>
        <w:t xml:space="preserve">Naplnění cílů Programu má </w:t>
      </w:r>
      <w:r w:rsidR="001B2F84" w:rsidRPr="001B2F84">
        <w:rPr>
          <w:rFonts w:ascii="Arial" w:hAnsi="Arial" w:cs="Arial"/>
        </w:rPr>
        <w:t xml:space="preserve">např. </w:t>
      </w:r>
      <w:r w:rsidRPr="001B2F84">
        <w:rPr>
          <w:rFonts w:ascii="Arial" w:hAnsi="Arial" w:cs="Arial"/>
        </w:rPr>
        <w:t xml:space="preserve">poskytnout </w:t>
      </w:r>
      <w:r w:rsidR="001B2F84" w:rsidRPr="001B2F84">
        <w:rPr>
          <w:rFonts w:ascii="Arial" w:hAnsi="Arial" w:cs="Arial"/>
        </w:rPr>
        <w:t>tyto</w:t>
      </w:r>
      <w:r w:rsidRPr="001B2F84">
        <w:rPr>
          <w:rFonts w:ascii="Arial" w:hAnsi="Arial" w:cs="Arial"/>
        </w:rPr>
        <w:t xml:space="preserve"> očekávané přínosy:</w:t>
      </w:r>
      <w:r w:rsidR="001B2F84" w:rsidRPr="001B2F84">
        <w:rPr>
          <w:rFonts w:ascii="Arial" w:hAnsi="Arial" w:cs="Arial"/>
        </w:rPr>
        <w:t xml:space="preserve"> </w:t>
      </w:r>
      <w:r w:rsidRPr="001B2F84">
        <w:rPr>
          <w:rFonts w:ascii="Arial" w:hAnsi="Arial" w:cs="Arial"/>
        </w:rPr>
        <w:t>pokračování v rozvoji klinického výzkumu v ČR jako základního zdroje nových klinických postupů při diagnostice, léčbě a prevenci ve zdravotnictví,</w:t>
      </w:r>
      <w:r w:rsidR="001B2F84" w:rsidRPr="001B2F84">
        <w:rPr>
          <w:rFonts w:ascii="Arial" w:hAnsi="Arial" w:cs="Arial"/>
        </w:rPr>
        <w:t xml:space="preserve"> </w:t>
      </w:r>
      <w:r w:rsidRPr="001B2F84">
        <w:rPr>
          <w:rFonts w:ascii="Arial" w:hAnsi="Arial" w:cs="Arial"/>
        </w:rPr>
        <w:t>dosažení vyšší kvality prevence, včasné diagnostiky a léčby lidských onemocnění,</w:t>
      </w:r>
      <w:r w:rsidR="001B2F84" w:rsidRPr="001B2F84">
        <w:rPr>
          <w:rFonts w:ascii="Arial" w:hAnsi="Arial" w:cs="Arial"/>
        </w:rPr>
        <w:t xml:space="preserve"> </w:t>
      </w:r>
      <w:r w:rsidRPr="001B2F84">
        <w:rPr>
          <w:rFonts w:ascii="Arial" w:hAnsi="Arial" w:cs="Arial"/>
        </w:rPr>
        <w:t>snížení nákladů na dlouhodobou zdravotní péči v souvislosti s podporou nových preventivních postupů,</w:t>
      </w:r>
      <w:r w:rsidR="001B2F84" w:rsidRPr="001B2F84">
        <w:rPr>
          <w:rFonts w:ascii="Arial" w:hAnsi="Arial" w:cs="Arial"/>
        </w:rPr>
        <w:t xml:space="preserve"> </w:t>
      </w:r>
      <w:r w:rsidRPr="001B2F84">
        <w:rPr>
          <w:rFonts w:ascii="Arial" w:hAnsi="Arial" w:cs="Arial"/>
        </w:rPr>
        <w:t>zajištění rozvoje nových preventivních, diagnostických a léčebných metod,</w:t>
      </w:r>
      <w:r w:rsidR="001B2F84">
        <w:rPr>
          <w:rFonts w:ascii="Arial" w:hAnsi="Arial" w:cs="Arial"/>
        </w:rPr>
        <w:t xml:space="preserve"> </w:t>
      </w:r>
      <w:r w:rsidRPr="001B2F84">
        <w:rPr>
          <w:rFonts w:ascii="Arial" w:hAnsi="Arial" w:cs="Arial"/>
        </w:rPr>
        <w:t>příznivé ovlivnění mortality a chronické morbidity závažných onemocnění,</w:t>
      </w:r>
      <w:r w:rsidR="001B2F84" w:rsidRPr="001B2F84">
        <w:rPr>
          <w:rFonts w:ascii="Arial" w:hAnsi="Arial" w:cs="Arial"/>
        </w:rPr>
        <w:t xml:space="preserve"> </w:t>
      </w:r>
      <w:r w:rsidRPr="001B2F84">
        <w:rPr>
          <w:rFonts w:ascii="Arial" w:hAnsi="Arial" w:cs="Arial"/>
        </w:rPr>
        <w:t>zajištění léčby v současné době neléčitelných onemocnění,</w:t>
      </w:r>
      <w:r w:rsidR="001B2F84" w:rsidRPr="001B2F84">
        <w:rPr>
          <w:rFonts w:ascii="Arial" w:hAnsi="Arial" w:cs="Arial"/>
        </w:rPr>
        <w:t xml:space="preserve"> </w:t>
      </w:r>
      <w:r w:rsidRPr="001B2F84">
        <w:rPr>
          <w:rFonts w:ascii="Arial" w:hAnsi="Arial" w:cs="Arial"/>
        </w:rPr>
        <w:t>přispění ke snížení vedlejších účinků současných terapií</w:t>
      </w:r>
      <w:r w:rsidR="001B2F84" w:rsidRPr="001B2F84">
        <w:rPr>
          <w:rFonts w:ascii="Arial" w:hAnsi="Arial" w:cs="Arial"/>
        </w:rPr>
        <w:t>. Další očekávané přínosy jsou definovány v části 21 návrhu Programu</w:t>
      </w:r>
      <w:r w:rsidR="001B2F84">
        <w:rPr>
          <w:rFonts w:ascii="Arial" w:hAnsi="Arial" w:cs="Arial"/>
        </w:rPr>
        <w:t>.</w:t>
      </w:r>
    </w:p>
    <w:p w14:paraId="634FF330" w14:textId="77777777" w:rsidR="001B2F84" w:rsidRDefault="001B2F84" w:rsidP="001E1D3D">
      <w:pPr>
        <w:pStyle w:val="Normalodsazen"/>
        <w:numPr>
          <w:ilvl w:val="0"/>
          <w:numId w:val="21"/>
        </w:numPr>
        <w:spacing w:after="120" w:line="240" w:lineRule="auto"/>
        <w:rPr>
          <w:b/>
          <w:color w:val="0070C0"/>
          <w:sz w:val="24"/>
        </w:rPr>
      </w:pPr>
      <w:r w:rsidRPr="0026232B">
        <w:rPr>
          <w:b/>
          <w:color w:val="0070C0"/>
          <w:sz w:val="24"/>
        </w:rPr>
        <w:t>Soulad s</w:t>
      </w:r>
      <w:r>
        <w:rPr>
          <w:b/>
          <w:color w:val="0070C0"/>
          <w:sz w:val="24"/>
        </w:rPr>
        <w:t> Národní politikou výzkumu, vývoje a inovací</w:t>
      </w:r>
      <w:r w:rsidRPr="0026232B">
        <w:rPr>
          <w:b/>
          <w:color w:val="0070C0"/>
          <w:sz w:val="24"/>
        </w:rPr>
        <w:t xml:space="preserve"> </w:t>
      </w:r>
    </w:p>
    <w:p w14:paraId="0D31592C" w14:textId="4F0E301C" w:rsidR="001B2F84" w:rsidRPr="005C1991" w:rsidRDefault="00842BF5" w:rsidP="001E1D3D">
      <w:pPr>
        <w:pStyle w:val="Normalodsazen"/>
        <w:spacing w:after="120" w:line="240" w:lineRule="auto"/>
        <w:ind w:firstLine="0"/>
        <w:rPr>
          <w:sz w:val="24"/>
        </w:rPr>
      </w:pPr>
      <w:r w:rsidRPr="005C1991">
        <w:rPr>
          <w:sz w:val="24"/>
        </w:rPr>
        <w:t>Program je v souladu s Národní politikou výzkumu, vývoje a</w:t>
      </w:r>
      <w:r w:rsidR="00AB5C14">
        <w:rPr>
          <w:sz w:val="24"/>
        </w:rPr>
        <w:t xml:space="preserve"> inovací České republiky 2021+</w:t>
      </w:r>
      <w:r w:rsidRPr="005C1991">
        <w:rPr>
          <w:sz w:val="24"/>
        </w:rPr>
        <w:t>, svým zaměřením by Program měl přispět k naplnění zejména strategického cíle č. 1.7 a</w:t>
      </w:r>
      <w:r w:rsidR="00153BD8">
        <w:rPr>
          <w:sz w:val="24"/>
        </w:rPr>
        <w:t> </w:t>
      </w:r>
      <w:r w:rsidRPr="005C1991">
        <w:rPr>
          <w:sz w:val="24"/>
        </w:rPr>
        <w:t>opatření č. 17 a 27 tohoto dokumentu.</w:t>
      </w:r>
    </w:p>
    <w:p w14:paraId="3936B391" w14:textId="77777777" w:rsidR="00842BF5" w:rsidRDefault="00842BF5" w:rsidP="001E1D3D">
      <w:pPr>
        <w:pStyle w:val="Normalodsazen"/>
        <w:keepNext/>
        <w:numPr>
          <w:ilvl w:val="0"/>
          <w:numId w:val="21"/>
        </w:numPr>
        <w:spacing w:after="120" w:line="240" w:lineRule="auto"/>
        <w:rPr>
          <w:b/>
          <w:color w:val="0070C0"/>
          <w:sz w:val="24"/>
        </w:rPr>
      </w:pPr>
      <w:r w:rsidRPr="0026232B">
        <w:rPr>
          <w:b/>
          <w:color w:val="0070C0"/>
          <w:sz w:val="24"/>
        </w:rPr>
        <w:t>Soulad s</w:t>
      </w:r>
      <w:r>
        <w:rPr>
          <w:b/>
          <w:color w:val="0070C0"/>
          <w:sz w:val="24"/>
        </w:rPr>
        <w:t xml:space="preserve">  Národními prioritami orientovaného výzkumu, experimentálního vývoje a inovací</w:t>
      </w:r>
      <w:r w:rsidRPr="0026232B">
        <w:rPr>
          <w:b/>
          <w:color w:val="0070C0"/>
          <w:sz w:val="24"/>
        </w:rPr>
        <w:t xml:space="preserve"> </w:t>
      </w:r>
    </w:p>
    <w:p w14:paraId="02939F91" w14:textId="77777777" w:rsidR="00842BF5" w:rsidRDefault="00842BF5" w:rsidP="000D29F5">
      <w:pPr>
        <w:spacing w:after="120"/>
        <w:jc w:val="both"/>
        <w:rPr>
          <w:rFonts w:ascii="Arial" w:hAnsi="Arial" w:cs="Arial"/>
        </w:rPr>
      </w:pPr>
      <w:r w:rsidRPr="00842BF5">
        <w:rPr>
          <w:rFonts w:ascii="Arial" w:hAnsi="Arial" w:cs="Arial"/>
        </w:rPr>
        <w:t>Svým odborným zaměřením bude Program pokračovat v naplňování Národních priorit orientovaného výzkumu, experimentálního vývoje a inovací, konkrétně priority č. 5: Zdravá populace, kde jsou definovány nejčastější onemocnění vyskytující se v populaci a jejich možné příčiny, představující klíčové výzvy pro výzkum ve</w:t>
      </w:r>
      <w:r>
        <w:rPr>
          <w:rFonts w:ascii="Arial" w:hAnsi="Arial" w:cs="Arial"/>
        </w:rPr>
        <w:t> </w:t>
      </w:r>
      <w:r w:rsidRPr="00842BF5">
        <w:rPr>
          <w:rFonts w:ascii="Arial" w:hAnsi="Arial" w:cs="Arial"/>
        </w:rPr>
        <w:t xml:space="preserve">zdravotnictví, nejvýznamnější výzkumné oblasti a preferovaná témata. Vzhledem k tomu, že v posledních letech byla oblast výzkumu, vývoje a inovací podrobena řadě změn, je nezbytné proběhlé změny v nastavení a zacílení Programu adekvátně reflektovat, aby strategické zaměření Programu představovalo objektivní odraz současných podmínek výzkumu, vývoje a inovací a potřeb společnosti. </w:t>
      </w:r>
    </w:p>
    <w:p w14:paraId="745D21A3" w14:textId="77777777" w:rsidR="00842BF5" w:rsidRDefault="00842BF5" w:rsidP="001E1D3D">
      <w:pPr>
        <w:pStyle w:val="Normalodsazen"/>
        <w:keepNext/>
        <w:numPr>
          <w:ilvl w:val="0"/>
          <w:numId w:val="21"/>
        </w:numPr>
        <w:spacing w:after="120" w:line="240" w:lineRule="auto"/>
        <w:rPr>
          <w:b/>
          <w:color w:val="0070C0"/>
          <w:sz w:val="24"/>
        </w:rPr>
      </w:pPr>
      <w:r w:rsidRPr="0026232B">
        <w:rPr>
          <w:b/>
          <w:color w:val="0070C0"/>
          <w:sz w:val="24"/>
        </w:rPr>
        <w:lastRenderedPageBreak/>
        <w:t>Soulad s</w:t>
      </w:r>
      <w:r>
        <w:rPr>
          <w:b/>
          <w:color w:val="0070C0"/>
          <w:sz w:val="24"/>
        </w:rPr>
        <w:t> pravidly pro veřejnou podporu</w:t>
      </w:r>
    </w:p>
    <w:p w14:paraId="33E0719D" w14:textId="77777777" w:rsidR="005A4E69" w:rsidRPr="00603A32" w:rsidRDefault="005A4E69" w:rsidP="00210B42">
      <w:pPr>
        <w:pStyle w:val="Normalodsazen"/>
        <w:keepNext/>
        <w:spacing w:after="120" w:line="240" w:lineRule="auto"/>
        <w:ind w:firstLine="0"/>
        <w:rPr>
          <w:sz w:val="24"/>
        </w:rPr>
      </w:pPr>
      <w:r w:rsidRPr="00603A32">
        <w:rPr>
          <w:sz w:val="24"/>
        </w:rPr>
        <w:t>Poskytovatel uvádí, že Program bude realizován podle nařízení Komise a Rámce.</w:t>
      </w:r>
    </w:p>
    <w:p w14:paraId="44736721" w14:textId="77777777" w:rsidR="005A4E69" w:rsidRPr="00603A32" w:rsidRDefault="005A4E69" w:rsidP="00210B42">
      <w:pPr>
        <w:pStyle w:val="Normalodsazen"/>
        <w:keepNext/>
        <w:spacing w:after="120" w:line="240" w:lineRule="auto"/>
        <w:ind w:firstLine="0"/>
        <w:rPr>
          <w:sz w:val="24"/>
        </w:rPr>
      </w:pPr>
      <w:r w:rsidRPr="00603A32">
        <w:rPr>
          <w:sz w:val="24"/>
        </w:rPr>
        <w:t>Předpokládá se, že maximální povolená výše podpory projektu (bez oznamovací povinnosti a podrobnějšího posouzení EK) stanovená Nařízením Komise nebude překročena.</w:t>
      </w:r>
    </w:p>
    <w:p w14:paraId="1A4847B0" w14:textId="77777777" w:rsidR="00842BF5" w:rsidRDefault="00603A32" w:rsidP="001E1D3D">
      <w:pPr>
        <w:pStyle w:val="Normalodsazen"/>
        <w:keepNext/>
        <w:numPr>
          <w:ilvl w:val="0"/>
          <w:numId w:val="21"/>
        </w:numPr>
        <w:spacing w:after="120" w:line="240" w:lineRule="auto"/>
        <w:rPr>
          <w:b/>
          <w:color w:val="0070C0"/>
          <w:sz w:val="24"/>
        </w:rPr>
      </w:pPr>
      <w:r w:rsidRPr="00603A32">
        <w:rPr>
          <w:b/>
          <w:color w:val="0070C0"/>
          <w:sz w:val="24"/>
        </w:rPr>
        <w:t>Souhrnné a věcné zhodnocení materiálu Radou</w:t>
      </w:r>
    </w:p>
    <w:p w14:paraId="61F2F796" w14:textId="2E450FDE" w:rsidR="00603DDE" w:rsidRDefault="00603A32" w:rsidP="00603DDE">
      <w:pPr>
        <w:autoSpaceDE w:val="0"/>
        <w:autoSpaceDN w:val="0"/>
        <w:adjustRightInd w:val="0"/>
        <w:jc w:val="both"/>
        <w:rPr>
          <w:rFonts w:ascii="Arial" w:eastAsiaTheme="minorHAnsi" w:hAnsi="Arial" w:cs="Arial"/>
          <w:lang w:eastAsia="en-US"/>
        </w:rPr>
      </w:pPr>
      <w:r w:rsidRPr="002944D7">
        <w:rPr>
          <w:rFonts w:ascii="Arial" w:hAnsi="Arial" w:cs="Arial"/>
        </w:rPr>
        <w:t xml:space="preserve">Program vychází z aktuálních potřeb zdravotnického výzkumu </w:t>
      </w:r>
      <w:r w:rsidR="002D1D4B" w:rsidRPr="002944D7">
        <w:rPr>
          <w:rFonts w:ascii="Arial" w:hAnsi="Arial" w:cs="Arial"/>
        </w:rPr>
        <w:t>a</w:t>
      </w:r>
      <w:r w:rsidR="002944D7" w:rsidRPr="002944D7">
        <w:rPr>
          <w:rFonts w:ascii="Arial" w:hAnsi="Arial" w:cs="Arial"/>
        </w:rPr>
        <w:t xml:space="preserve"> má přispět</w:t>
      </w:r>
      <w:r w:rsidR="002D1D4B" w:rsidRPr="002944D7">
        <w:rPr>
          <w:rFonts w:ascii="Arial" w:hAnsi="Arial" w:cs="Arial"/>
        </w:rPr>
        <w:t xml:space="preserve"> ke</w:t>
      </w:r>
      <w:r w:rsidR="002944D7" w:rsidRPr="002944D7">
        <w:rPr>
          <w:rFonts w:ascii="Arial" w:hAnsi="Arial" w:cs="Arial"/>
        </w:rPr>
        <w:t> </w:t>
      </w:r>
      <w:r w:rsidR="002D1D4B" w:rsidRPr="002944D7">
        <w:rPr>
          <w:rFonts w:ascii="Arial" w:hAnsi="Arial" w:cs="Arial"/>
        </w:rPr>
        <w:t>zvýšení, zefektivnění a zkvalitnění aplikovaného výzkumu v oblasti zdravotnictví</w:t>
      </w:r>
      <w:r w:rsidR="002944D7" w:rsidRPr="002944D7">
        <w:rPr>
          <w:rFonts w:ascii="Arial" w:hAnsi="Arial" w:cs="Arial"/>
        </w:rPr>
        <w:t>. P</w:t>
      </w:r>
      <w:r w:rsidR="000C6F80" w:rsidRPr="002944D7">
        <w:rPr>
          <w:rFonts w:ascii="Arial" w:hAnsi="Arial" w:cs="Arial"/>
        </w:rPr>
        <w:t>ředchází mu dosud neukončený Program</w:t>
      </w:r>
      <w:r w:rsidR="000C6F80" w:rsidRPr="002D1D4B">
        <w:rPr>
          <w:rFonts w:ascii="Arial" w:eastAsiaTheme="minorHAnsi" w:hAnsi="Arial" w:cs="Arial"/>
          <w:lang w:eastAsia="en-US"/>
        </w:rPr>
        <w:t xml:space="preserve"> na podporu zdravotnického aplikovan</w:t>
      </w:r>
      <w:r w:rsidR="000C6F80" w:rsidRPr="002944D7">
        <w:rPr>
          <w:rFonts w:ascii="Arial" w:eastAsiaTheme="minorHAnsi" w:hAnsi="Arial" w:cs="Arial"/>
          <w:lang w:eastAsia="en-US"/>
        </w:rPr>
        <w:t>ého výzkumu na léta 2020 – 2026,</w:t>
      </w:r>
      <w:r w:rsidR="000C6F80" w:rsidRPr="002D1D4B">
        <w:rPr>
          <w:rFonts w:ascii="Arial" w:eastAsiaTheme="minorHAnsi" w:hAnsi="Arial" w:cs="Arial"/>
          <w:lang w:eastAsia="en-US"/>
        </w:rPr>
        <w:t xml:space="preserve"> který byl schválen usnesením vlády ze dne 11</w:t>
      </w:r>
      <w:r w:rsidR="00AB5C14" w:rsidRPr="00AB5C14">
        <w:rPr>
          <w:rFonts w:ascii="Arial" w:eastAsiaTheme="minorHAnsi" w:hAnsi="Arial" w:cs="Arial"/>
          <w:lang w:eastAsia="en-US"/>
        </w:rPr>
        <w:t xml:space="preserve"> </w:t>
      </w:r>
      <w:r w:rsidR="00AB5C14" w:rsidRPr="002D1D4B">
        <w:rPr>
          <w:rFonts w:ascii="Arial" w:eastAsiaTheme="minorHAnsi" w:hAnsi="Arial" w:cs="Arial"/>
          <w:lang w:eastAsia="en-US"/>
        </w:rPr>
        <w:t>č. 171</w:t>
      </w:r>
      <w:r w:rsidR="000C6F80" w:rsidRPr="002D1D4B">
        <w:rPr>
          <w:rFonts w:ascii="Arial" w:eastAsiaTheme="minorHAnsi" w:hAnsi="Arial" w:cs="Arial"/>
          <w:lang w:eastAsia="en-US"/>
        </w:rPr>
        <w:t xml:space="preserve">. března 2019. </w:t>
      </w:r>
      <w:r w:rsidR="002944D7" w:rsidRPr="002944D7">
        <w:rPr>
          <w:rFonts w:ascii="Arial" w:eastAsiaTheme="minorHAnsi" w:hAnsi="Arial" w:cs="Arial"/>
          <w:lang w:eastAsia="en-US"/>
        </w:rPr>
        <w:t xml:space="preserve">V souvislosti s pandemií </w:t>
      </w:r>
      <w:r w:rsidR="002944D7" w:rsidRPr="002D1D4B">
        <w:rPr>
          <w:rFonts w:ascii="Arial" w:eastAsiaTheme="minorHAnsi" w:hAnsi="Arial" w:cs="Arial"/>
          <w:lang w:eastAsia="en-US"/>
        </w:rPr>
        <w:t>covid-19</w:t>
      </w:r>
      <w:r w:rsidR="002944D7" w:rsidRPr="002944D7">
        <w:rPr>
          <w:rFonts w:ascii="Arial" w:eastAsiaTheme="minorHAnsi" w:hAnsi="Arial" w:cs="Arial"/>
          <w:lang w:eastAsia="en-US"/>
        </w:rPr>
        <w:t xml:space="preserve"> byla schválena</w:t>
      </w:r>
      <w:r w:rsidR="002944D7" w:rsidRPr="002D1D4B">
        <w:rPr>
          <w:rFonts w:ascii="Arial" w:eastAsiaTheme="minorHAnsi" w:hAnsi="Arial" w:cs="Arial"/>
          <w:lang w:eastAsia="en-US"/>
        </w:rPr>
        <w:t xml:space="preserve"> usnesením vlády ze dne 20. září 2021</w:t>
      </w:r>
      <w:r w:rsidR="002944D7" w:rsidRPr="002944D7">
        <w:rPr>
          <w:rFonts w:ascii="Arial" w:eastAsiaTheme="minorHAnsi" w:hAnsi="Arial" w:cs="Arial"/>
          <w:lang w:eastAsia="en-US"/>
        </w:rPr>
        <w:t xml:space="preserve"> </w:t>
      </w:r>
      <w:r w:rsidR="00AB5C14" w:rsidRPr="002D1D4B">
        <w:rPr>
          <w:rFonts w:ascii="Arial" w:eastAsiaTheme="minorHAnsi" w:hAnsi="Arial" w:cs="Arial"/>
          <w:lang w:eastAsia="en-US"/>
        </w:rPr>
        <w:t>č.</w:t>
      </w:r>
      <w:r w:rsidR="00AB5C14" w:rsidRPr="002944D7">
        <w:rPr>
          <w:rFonts w:ascii="Arial" w:eastAsiaTheme="minorHAnsi" w:hAnsi="Arial" w:cs="Arial"/>
          <w:lang w:eastAsia="en-US"/>
        </w:rPr>
        <w:t> </w:t>
      </w:r>
      <w:r w:rsidR="00AB5C14" w:rsidRPr="002D1D4B">
        <w:rPr>
          <w:rFonts w:ascii="Arial" w:eastAsiaTheme="minorHAnsi" w:hAnsi="Arial" w:cs="Arial"/>
          <w:lang w:eastAsia="en-US"/>
        </w:rPr>
        <w:t xml:space="preserve">827 </w:t>
      </w:r>
      <w:r w:rsidR="002944D7" w:rsidRPr="002944D7">
        <w:rPr>
          <w:rFonts w:ascii="Arial" w:eastAsiaTheme="minorHAnsi" w:hAnsi="Arial" w:cs="Arial"/>
          <w:lang w:eastAsia="en-US"/>
        </w:rPr>
        <w:t>z</w:t>
      </w:r>
      <w:r w:rsidR="000C6F80" w:rsidRPr="002944D7">
        <w:rPr>
          <w:rFonts w:ascii="Arial" w:eastAsiaTheme="minorHAnsi" w:hAnsi="Arial" w:cs="Arial"/>
          <w:lang w:eastAsia="en-US"/>
        </w:rPr>
        <w:t>měna tohoto Programu</w:t>
      </w:r>
      <w:r w:rsidR="002944D7" w:rsidRPr="002944D7">
        <w:rPr>
          <w:rFonts w:ascii="Arial" w:eastAsiaTheme="minorHAnsi" w:hAnsi="Arial" w:cs="Arial"/>
          <w:lang w:eastAsia="en-US"/>
        </w:rPr>
        <w:t>.</w:t>
      </w:r>
    </w:p>
    <w:p w14:paraId="41112EBA" w14:textId="0A10EE56" w:rsidR="002D1D4B" w:rsidRPr="002944D7" w:rsidRDefault="002944D7" w:rsidP="000D29F5">
      <w:pPr>
        <w:autoSpaceDE w:val="0"/>
        <w:autoSpaceDN w:val="0"/>
        <w:adjustRightInd w:val="0"/>
        <w:jc w:val="both"/>
        <w:rPr>
          <w:rFonts w:ascii="Arial" w:eastAsiaTheme="minorHAnsi" w:hAnsi="Arial" w:cs="Arial"/>
          <w:lang w:eastAsia="en-US"/>
        </w:rPr>
      </w:pPr>
      <w:r w:rsidRPr="002944D7">
        <w:rPr>
          <w:rFonts w:ascii="Arial" w:eastAsiaTheme="minorHAnsi" w:hAnsi="Arial" w:cs="Arial"/>
          <w:lang w:eastAsia="en-US"/>
        </w:rPr>
        <w:t xml:space="preserve">Program byl vytvořen v </w:t>
      </w:r>
      <w:r w:rsidRPr="002D1D4B">
        <w:rPr>
          <w:rFonts w:ascii="Arial" w:eastAsiaTheme="minorHAnsi" w:hAnsi="Arial" w:cs="Arial"/>
          <w:lang w:eastAsia="en-US"/>
        </w:rPr>
        <w:t>souladu s Koncepcí zdravotnického výzkumu do roku 2030</w:t>
      </w:r>
      <w:r w:rsidRPr="002944D7">
        <w:rPr>
          <w:rFonts w:ascii="Arial" w:eastAsiaTheme="minorHAnsi" w:hAnsi="Arial" w:cs="Arial"/>
          <w:lang w:eastAsia="en-US"/>
        </w:rPr>
        <w:t xml:space="preserve"> a</w:t>
      </w:r>
      <w:r w:rsidR="00536DA1">
        <w:rPr>
          <w:rFonts w:ascii="Arial" w:eastAsiaTheme="minorHAnsi" w:hAnsi="Arial" w:cs="Arial"/>
          <w:lang w:eastAsia="en-US"/>
        </w:rPr>
        <w:t> </w:t>
      </w:r>
      <w:r w:rsidRPr="002944D7">
        <w:rPr>
          <w:rFonts w:ascii="Arial" w:eastAsiaTheme="minorHAnsi" w:hAnsi="Arial" w:cs="Arial"/>
          <w:lang w:eastAsia="en-US"/>
        </w:rPr>
        <w:t>dalšími koncepčními dokumenty.</w:t>
      </w:r>
      <w:r w:rsidR="00536DA1">
        <w:rPr>
          <w:rFonts w:ascii="Arial" w:eastAsiaTheme="minorHAnsi" w:hAnsi="Arial" w:cs="Arial"/>
          <w:lang w:eastAsia="en-US"/>
        </w:rPr>
        <w:t xml:space="preserve"> Jeho h</w:t>
      </w:r>
      <w:r w:rsidR="002D1D4B" w:rsidRPr="002944D7">
        <w:rPr>
          <w:rFonts w:ascii="Arial" w:eastAsiaTheme="minorHAnsi" w:hAnsi="Arial" w:cs="Arial"/>
          <w:lang w:eastAsia="en-US"/>
        </w:rPr>
        <w:t>lavním cílem je prostřednictvím výstupů a</w:t>
      </w:r>
      <w:r w:rsidR="00536DA1">
        <w:rPr>
          <w:rFonts w:ascii="Arial" w:eastAsiaTheme="minorHAnsi" w:hAnsi="Arial" w:cs="Arial"/>
          <w:lang w:eastAsia="en-US"/>
        </w:rPr>
        <w:t> </w:t>
      </w:r>
      <w:r w:rsidR="002D1D4B" w:rsidRPr="002944D7">
        <w:rPr>
          <w:rFonts w:ascii="Arial" w:eastAsiaTheme="minorHAnsi" w:hAnsi="Arial" w:cs="Arial"/>
          <w:lang w:eastAsia="en-US"/>
        </w:rPr>
        <w:t xml:space="preserve">dopadů z podpořených </w:t>
      </w:r>
      <w:r w:rsidRPr="002944D7">
        <w:rPr>
          <w:rFonts w:ascii="Arial" w:eastAsiaTheme="minorHAnsi" w:hAnsi="Arial" w:cs="Arial"/>
          <w:lang w:eastAsia="en-US"/>
        </w:rPr>
        <w:t>projektů</w:t>
      </w:r>
      <w:r w:rsidR="002D1D4B" w:rsidRPr="002944D7">
        <w:rPr>
          <w:rFonts w:ascii="Arial" w:eastAsiaTheme="minorHAnsi" w:hAnsi="Arial" w:cs="Arial"/>
          <w:lang w:eastAsia="en-US"/>
        </w:rPr>
        <w:t xml:space="preserve"> přispět k zajištění</w:t>
      </w:r>
      <w:r w:rsidR="00AB5C14">
        <w:rPr>
          <w:rFonts w:ascii="Arial" w:eastAsiaTheme="minorHAnsi" w:hAnsi="Arial" w:cs="Arial"/>
          <w:lang w:eastAsia="en-US"/>
        </w:rPr>
        <w:t xml:space="preserve"> a dalšímu rozvoji mezinárodně kompetitivního</w:t>
      </w:r>
      <w:r w:rsidR="002D1D4B" w:rsidRPr="002944D7">
        <w:rPr>
          <w:rFonts w:ascii="Arial" w:eastAsiaTheme="minorHAnsi" w:hAnsi="Arial" w:cs="Arial"/>
          <w:lang w:eastAsia="en-US"/>
        </w:rPr>
        <w:t xml:space="preserve"> zdravotnické</w:t>
      </w:r>
      <w:r w:rsidR="00AB5C14">
        <w:rPr>
          <w:rFonts w:ascii="Arial" w:eastAsiaTheme="minorHAnsi" w:hAnsi="Arial" w:cs="Arial"/>
          <w:lang w:eastAsia="en-US"/>
        </w:rPr>
        <w:t>ho</w:t>
      </w:r>
      <w:r w:rsidR="002D1D4B" w:rsidRPr="002944D7">
        <w:rPr>
          <w:rFonts w:ascii="Arial" w:eastAsiaTheme="minorHAnsi" w:hAnsi="Arial" w:cs="Arial"/>
          <w:lang w:eastAsia="en-US"/>
        </w:rPr>
        <w:t xml:space="preserve"> výzkumu ČR, </w:t>
      </w:r>
      <w:r w:rsidRPr="002944D7">
        <w:rPr>
          <w:rFonts w:ascii="Arial" w:eastAsiaTheme="minorHAnsi" w:hAnsi="Arial" w:cs="Arial"/>
          <w:lang w:eastAsia="en-US"/>
        </w:rPr>
        <w:t>jehož</w:t>
      </w:r>
      <w:r w:rsidR="002D1D4B" w:rsidRPr="002944D7">
        <w:rPr>
          <w:rFonts w:ascii="Arial" w:eastAsiaTheme="minorHAnsi" w:hAnsi="Arial" w:cs="Arial"/>
          <w:lang w:eastAsia="en-US"/>
        </w:rPr>
        <w:t xml:space="preserve"> úroveň bude srovnatelná s vyspělými </w:t>
      </w:r>
      <w:r w:rsidRPr="002944D7">
        <w:rPr>
          <w:rFonts w:ascii="Arial" w:eastAsiaTheme="minorHAnsi" w:hAnsi="Arial" w:cs="Arial"/>
          <w:lang w:eastAsia="en-US"/>
        </w:rPr>
        <w:t>státy</w:t>
      </w:r>
      <w:r w:rsidR="002D1D4B" w:rsidRPr="002944D7">
        <w:rPr>
          <w:rFonts w:ascii="Arial" w:eastAsiaTheme="minorHAnsi" w:hAnsi="Arial" w:cs="Arial"/>
          <w:lang w:eastAsia="en-US"/>
        </w:rPr>
        <w:t xml:space="preserve"> EU</w:t>
      </w:r>
      <w:r w:rsidRPr="002944D7">
        <w:rPr>
          <w:rFonts w:ascii="Arial" w:eastAsiaTheme="minorHAnsi" w:hAnsi="Arial" w:cs="Arial"/>
          <w:lang w:eastAsia="en-US"/>
        </w:rPr>
        <w:t>.</w:t>
      </w:r>
    </w:p>
    <w:p w14:paraId="4B3A6B5D" w14:textId="77777777" w:rsidR="00371036" w:rsidRPr="00371036" w:rsidRDefault="00536DA1" w:rsidP="001E1D3D">
      <w:pPr>
        <w:spacing w:after="120"/>
        <w:jc w:val="both"/>
        <w:rPr>
          <w:rFonts w:ascii="Arial" w:hAnsi="Arial" w:cs="Arial"/>
          <w:bCs/>
          <w:highlight w:val="yellow"/>
        </w:rPr>
      </w:pPr>
      <w:r w:rsidRPr="00371036">
        <w:rPr>
          <w:rFonts w:ascii="Arial" w:eastAsiaTheme="minorHAnsi" w:hAnsi="Arial" w:cs="Arial"/>
          <w:lang w:eastAsia="en-US"/>
        </w:rPr>
        <w:t>Návrh předpokládá realizaci nejméně 400 projektů, ze kterých bude nejméně 300 úspěšně dokončeno. V Rejstříku informací o výsledcích by mělo být uplatněno nejméně 500 hlavních, 500 vedlejších výsledků a 1000 dalších výsledků.</w:t>
      </w:r>
    </w:p>
    <w:p w14:paraId="1B35A7CD" w14:textId="77777777" w:rsidR="00371036" w:rsidRPr="00371036" w:rsidRDefault="00371036" w:rsidP="001E1D3D">
      <w:pPr>
        <w:spacing w:after="120"/>
        <w:jc w:val="both"/>
        <w:rPr>
          <w:rFonts w:ascii="Arial" w:hAnsi="Arial" w:cs="Arial"/>
          <w:bCs/>
        </w:rPr>
      </w:pPr>
      <w:r w:rsidRPr="00371036">
        <w:rPr>
          <w:rFonts w:ascii="Arial" w:hAnsi="Arial" w:cs="Arial"/>
        </w:rPr>
        <w:t>Návrh Programu byl zpracován v souladu s </w:t>
      </w:r>
      <w:r w:rsidRPr="00371036">
        <w:rPr>
          <w:rFonts w:ascii="Arial" w:hAnsi="Arial" w:cs="Arial"/>
          <w:bCs/>
        </w:rPr>
        <w:t xml:space="preserve">Postupem Rady při hodnocení návrhů programů účelové podpory a skupin grantových projektů, který byl </w:t>
      </w:r>
      <w:r w:rsidRPr="00371036">
        <w:rPr>
          <w:rFonts w:ascii="Arial" w:hAnsi="Arial" w:cs="Arial"/>
        </w:rPr>
        <w:t xml:space="preserve">schválen na 351. zasedání dne 29. listopadu 2019 a byly do něj zapracovány Základní principy přípravy a hodnocení programů a skupin grantových projektů výzkumu, vývoje a inovací, </w:t>
      </w:r>
      <w:r w:rsidRPr="00371036">
        <w:rPr>
          <w:rFonts w:ascii="Arial" w:hAnsi="Arial" w:cs="Arial"/>
          <w:bCs/>
        </w:rPr>
        <w:t xml:space="preserve">schválené usnesením vlády ze dne 13. května 2015 č. 351. </w:t>
      </w:r>
    </w:p>
    <w:p w14:paraId="02CD85B5" w14:textId="77777777" w:rsidR="00637D93" w:rsidRPr="007E0D92" w:rsidRDefault="00C15553" w:rsidP="000D29F5">
      <w:pPr>
        <w:pStyle w:val="Normalodsazen"/>
        <w:keepNext/>
        <w:numPr>
          <w:ilvl w:val="0"/>
          <w:numId w:val="21"/>
        </w:numPr>
        <w:spacing w:after="120" w:line="240" w:lineRule="auto"/>
        <w:ind w:left="1077" w:hanging="357"/>
        <w:rPr>
          <w:b/>
          <w:color w:val="0070C0"/>
          <w:sz w:val="24"/>
        </w:rPr>
      </w:pPr>
      <w:r w:rsidRPr="007E0D92">
        <w:rPr>
          <w:b/>
          <w:color w:val="0070C0"/>
          <w:sz w:val="24"/>
        </w:rPr>
        <w:t xml:space="preserve">K materiálu </w:t>
      </w:r>
      <w:r w:rsidR="00EC3B82" w:rsidRPr="007E0D92">
        <w:rPr>
          <w:b/>
          <w:color w:val="0070C0"/>
          <w:sz w:val="24"/>
        </w:rPr>
        <w:t>předkládanému</w:t>
      </w:r>
      <w:r w:rsidR="00637D93" w:rsidRPr="007E0D92">
        <w:rPr>
          <w:b/>
          <w:color w:val="0070C0"/>
          <w:sz w:val="24"/>
        </w:rPr>
        <w:t xml:space="preserve"> na jednání vlády</w:t>
      </w:r>
    </w:p>
    <w:p w14:paraId="218F14A6" w14:textId="77777777" w:rsidR="00C15553" w:rsidRPr="00637D93" w:rsidRDefault="00C15553" w:rsidP="001E1D3D">
      <w:pPr>
        <w:pStyle w:val="Normalodsazen"/>
        <w:spacing w:after="120" w:line="240" w:lineRule="auto"/>
        <w:ind w:firstLine="0"/>
        <w:rPr>
          <w:sz w:val="24"/>
        </w:rPr>
      </w:pPr>
      <w:r w:rsidRPr="007E0D92">
        <w:rPr>
          <w:sz w:val="24"/>
        </w:rPr>
        <w:t>Předložený návrh programu obsahuje všechny náležitosti, které musí být podle Jednacího řádu součástí materiálu předkládaného na jednání vlády.</w:t>
      </w:r>
    </w:p>
    <w:p w14:paraId="0917D803" w14:textId="77777777" w:rsidR="009B6CEE" w:rsidRDefault="007E0D92" w:rsidP="001E1D3D">
      <w:pPr>
        <w:pStyle w:val="Normalodsazen"/>
        <w:keepNext/>
        <w:numPr>
          <w:ilvl w:val="0"/>
          <w:numId w:val="21"/>
        </w:numPr>
        <w:spacing w:after="120" w:line="240" w:lineRule="auto"/>
        <w:rPr>
          <w:b/>
          <w:color w:val="0070C0"/>
          <w:sz w:val="24"/>
        </w:rPr>
      </w:pPr>
      <w:r>
        <w:rPr>
          <w:b/>
          <w:color w:val="0070C0"/>
          <w:sz w:val="24"/>
        </w:rPr>
        <w:t>Vyjádření Komise pro hodnocení výsledků a ukončených programů</w:t>
      </w:r>
    </w:p>
    <w:p w14:paraId="72C69BF1" w14:textId="4979958D" w:rsidR="009B6CEE" w:rsidRPr="009B6CEE" w:rsidRDefault="007E6570" w:rsidP="000D29F5">
      <w:pPr>
        <w:pStyle w:val="Normalodsazen"/>
        <w:keepNext/>
        <w:spacing w:after="120" w:line="240" w:lineRule="auto"/>
        <w:ind w:firstLine="0"/>
        <w:rPr>
          <w:rFonts w:eastAsia="Times New Roman"/>
          <w:sz w:val="24"/>
          <w:lang w:eastAsia="cs-CZ"/>
        </w:rPr>
      </w:pPr>
      <w:r w:rsidRPr="007E6570">
        <w:rPr>
          <w:rFonts w:eastAsia="Times New Roman"/>
          <w:sz w:val="24"/>
          <w:lang w:eastAsia="cs-CZ"/>
        </w:rPr>
        <w:t xml:space="preserve">Komise pro hodnocení výsledků a ukončených programů </w:t>
      </w:r>
      <w:r>
        <w:rPr>
          <w:rFonts w:eastAsia="Times New Roman"/>
          <w:sz w:val="24"/>
          <w:lang w:eastAsia="cs-CZ"/>
        </w:rPr>
        <w:t>(dále jen „</w:t>
      </w:r>
      <w:r w:rsidR="009B6CEE" w:rsidRPr="009B6CEE">
        <w:rPr>
          <w:rFonts w:eastAsia="Times New Roman"/>
          <w:sz w:val="24"/>
          <w:lang w:eastAsia="cs-CZ"/>
        </w:rPr>
        <w:t>KHV</w:t>
      </w:r>
      <w:r>
        <w:rPr>
          <w:rFonts w:eastAsia="Times New Roman"/>
          <w:sz w:val="24"/>
          <w:lang w:eastAsia="cs-CZ"/>
        </w:rPr>
        <w:t>“)</w:t>
      </w:r>
      <w:r w:rsidR="009B6CEE" w:rsidRPr="009B6CEE">
        <w:rPr>
          <w:rFonts w:eastAsia="Times New Roman"/>
          <w:sz w:val="24"/>
          <w:lang w:eastAsia="cs-CZ"/>
        </w:rPr>
        <w:t xml:space="preserve"> doporučuje Program schválit ve smyslu připomínek níže:</w:t>
      </w:r>
    </w:p>
    <w:p w14:paraId="485956E0" w14:textId="77777777" w:rsidR="009B6CEE" w:rsidRPr="009B6CEE" w:rsidRDefault="009B6CEE" w:rsidP="000D29F5">
      <w:pPr>
        <w:pStyle w:val="Normalodsazen"/>
        <w:keepNext/>
        <w:spacing w:after="120" w:line="240" w:lineRule="auto"/>
        <w:ind w:firstLine="0"/>
        <w:rPr>
          <w:rFonts w:eastAsia="Times New Roman"/>
          <w:sz w:val="24"/>
          <w:lang w:eastAsia="cs-CZ"/>
        </w:rPr>
      </w:pPr>
      <w:r w:rsidRPr="009B6CEE">
        <w:rPr>
          <w:rFonts w:eastAsia="Times New Roman"/>
          <w:sz w:val="24"/>
          <w:lang w:eastAsia="cs-CZ"/>
        </w:rPr>
        <w:t xml:space="preserve">Program je kvalitně připraven, akcentuje požadavky na excelenci a taktéž obsahuje podprogram zaměřený na podporu mladých výzkumníků do 35 let. Program prošel </w:t>
      </w:r>
      <w:r w:rsidRPr="009B6CEE">
        <w:rPr>
          <w:rFonts w:eastAsia="Times New Roman"/>
          <w:sz w:val="24"/>
          <w:lang w:eastAsia="cs-CZ"/>
        </w:rPr>
        <w:lastRenderedPageBreak/>
        <w:t>kvalitní ex-ante evaluací, jejíž připomínky byly v předkládané verzi programu zohledněny. Připomínky KHV k části týkající se hodnocení programu:</w:t>
      </w:r>
    </w:p>
    <w:p w14:paraId="26669FA0" w14:textId="77777777"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 xml:space="preserve">Indikátory Programu nezohledňují kvalitu vědeckých publikací (např. publikace v Q1), ačkoli kvalita je jinak Programem akcentována a publikace v Q1 hrají roli při hodnocení projektů. </w:t>
      </w:r>
    </w:p>
    <w:p w14:paraId="4A068535" w14:textId="77777777"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 xml:space="preserve">Program neuvádí, že by hodnocení zahrnovalo </w:t>
      </w:r>
      <w:proofErr w:type="spellStart"/>
      <w:r w:rsidRPr="009B6CEE">
        <w:rPr>
          <w:rFonts w:eastAsia="Times New Roman"/>
          <w:sz w:val="24"/>
          <w:lang w:eastAsia="cs-CZ"/>
        </w:rPr>
        <w:t>kontrafaktuální</w:t>
      </w:r>
      <w:proofErr w:type="spellEnd"/>
      <w:r w:rsidRPr="009B6CEE">
        <w:rPr>
          <w:rFonts w:eastAsia="Times New Roman"/>
          <w:sz w:val="24"/>
          <w:lang w:eastAsia="cs-CZ"/>
        </w:rPr>
        <w:t xml:space="preserve"> evaluaci, ačkoli by tato byla proveditelná.</w:t>
      </w:r>
    </w:p>
    <w:p w14:paraId="7731120D" w14:textId="77777777"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Program neuvádí, zda při vyhlášení výsledků veřejných soutěží zveřejní pořadí návrhů projektů na základě jejich hodnocení.</w:t>
      </w:r>
    </w:p>
    <w:p w14:paraId="308E67B9" w14:textId="77777777" w:rsidR="009B6CEE" w:rsidRPr="009B6CEE" w:rsidRDefault="009B6CEE" w:rsidP="000D29F5">
      <w:pPr>
        <w:pStyle w:val="Normalodsazen"/>
        <w:keepNext/>
        <w:spacing w:after="120" w:line="240" w:lineRule="auto"/>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Program neuvádí očekávaný rozpočet jednotlivých fází hodnocení programu.</w:t>
      </w:r>
    </w:p>
    <w:p w14:paraId="622DE65E" w14:textId="77777777" w:rsidR="009B6CEE" w:rsidRPr="009B6CEE" w:rsidRDefault="009B6CEE" w:rsidP="000D29F5">
      <w:pPr>
        <w:pStyle w:val="Normalodsazen"/>
        <w:keepNext/>
        <w:spacing w:after="120" w:line="240" w:lineRule="auto"/>
        <w:ind w:firstLine="0"/>
        <w:rPr>
          <w:rFonts w:eastAsia="Times New Roman"/>
          <w:sz w:val="24"/>
          <w:lang w:eastAsia="cs-CZ"/>
        </w:rPr>
      </w:pPr>
      <w:r w:rsidRPr="009B6CEE">
        <w:rPr>
          <w:rFonts w:eastAsia="Times New Roman"/>
          <w:sz w:val="24"/>
          <w:lang w:eastAsia="cs-CZ"/>
        </w:rPr>
        <w:t>Cíle Programu jsou jasně formulovány a vycházejí z materiálu „Koncepce zdravotnického výzkumu do roku 2030“ (některé části textu jsou v Programu a v Koncepci zcela identické), ke kterému se KHV vyjádřila v květnu 2022. Připomínky KHV k textu Koncepce nejsou dostatečně reflektovány v definování cílů popsaných v návrhu Programu. KHV má tedy k Cílům programu následující připomínky:</w:t>
      </w:r>
    </w:p>
    <w:p w14:paraId="15EB8CE7" w14:textId="532C019D"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Cíle programu nedostatečně akcentují podporu výzkumu souvisejícího se společenskými výzvami, jako jsou stárnutí a obezita a s nimi spojené nemoci, a rozvoji oboru veřejné zdraví včetně komunikace ve zdravotnictví a výzkumu preventivního chováni</w:t>
      </w:r>
      <w:r w:rsidR="00AB5C14">
        <w:rPr>
          <w:rFonts w:eastAsia="Times New Roman"/>
          <w:sz w:val="24"/>
          <w:lang w:eastAsia="cs-CZ"/>
        </w:rPr>
        <w:t>.</w:t>
      </w:r>
    </w:p>
    <w:p w14:paraId="08892ADA" w14:textId="77777777"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Cíle programu postrádají zaměření výzkumu na některé klíčové obory, jako je intenzivní medicína, nemoci trávicí soustavy a nemoci močové a pohlavní soustavy.</w:t>
      </w:r>
    </w:p>
    <w:p w14:paraId="113D91C3" w14:textId="237E5C4D" w:rsidR="009B6CEE" w:rsidRPr="009B6CE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sidRPr="009B6CEE">
        <w:rPr>
          <w:rFonts w:eastAsia="Times New Roman"/>
          <w:sz w:val="24"/>
          <w:lang w:eastAsia="cs-CZ"/>
        </w:rPr>
        <w:tab/>
        <w:t>Cíle programu by měly obsahovat i dílčí cíle zaměřené na výzkum nevědeckých názorů ve zdravotnictví a boj proti nim</w:t>
      </w:r>
      <w:r w:rsidR="00AB5C14">
        <w:rPr>
          <w:rFonts w:eastAsia="Times New Roman"/>
          <w:sz w:val="24"/>
          <w:lang w:eastAsia="cs-CZ"/>
        </w:rPr>
        <w:t>.</w:t>
      </w:r>
    </w:p>
    <w:p w14:paraId="020DB1E5" w14:textId="2454ABD3" w:rsidR="009B6CEE" w:rsidRPr="00325FDE" w:rsidRDefault="009B6CEE" w:rsidP="000D29F5">
      <w:pPr>
        <w:pStyle w:val="Normalodsazen"/>
        <w:keepNext/>
        <w:spacing w:after="120" w:line="240" w:lineRule="auto"/>
        <w:ind w:left="567" w:firstLine="0"/>
        <w:rPr>
          <w:rFonts w:eastAsia="Times New Roman"/>
          <w:sz w:val="24"/>
          <w:lang w:eastAsia="cs-CZ"/>
        </w:rPr>
      </w:pPr>
      <w:r w:rsidRPr="009B6CEE">
        <w:rPr>
          <w:rFonts w:eastAsia="Times New Roman"/>
          <w:sz w:val="24"/>
          <w:lang w:eastAsia="cs-CZ"/>
        </w:rPr>
        <w:t>•</w:t>
      </w:r>
      <w:r>
        <w:rPr>
          <w:rFonts w:eastAsia="Times New Roman"/>
          <w:sz w:val="24"/>
          <w:lang w:eastAsia="cs-CZ"/>
        </w:rPr>
        <w:t xml:space="preserve"> </w:t>
      </w:r>
      <w:r w:rsidRPr="009B6CEE">
        <w:rPr>
          <w:rFonts w:eastAsia="Times New Roman"/>
          <w:sz w:val="24"/>
          <w:lang w:eastAsia="cs-CZ"/>
        </w:rPr>
        <w:t xml:space="preserve">Mezi Cíle programu by bylo vhodné zařadit také výzkum na pomezí sociologického a </w:t>
      </w:r>
      <w:r w:rsidR="00AB5C14">
        <w:rPr>
          <w:rFonts w:eastAsia="Times New Roman"/>
          <w:sz w:val="24"/>
          <w:lang w:eastAsia="cs-CZ"/>
        </w:rPr>
        <w:t>zdravotnického výzkumu, zaměření</w:t>
      </w:r>
      <w:r w:rsidRPr="009B6CEE">
        <w:rPr>
          <w:rFonts w:eastAsia="Times New Roman"/>
          <w:sz w:val="24"/>
          <w:lang w:eastAsia="cs-CZ"/>
        </w:rPr>
        <w:t xml:space="preserve"> na problematiku financování zdravotnictví, udržitelnost zdravotnického personálu a zajištění materiálních kapacit ve zdravotnictví.</w:t>
      </w:r>
    </w:p>
    <w:p w14:paraId="626E5FAD" w14:textId="77777777"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 xml:space="preserve"> Připomínky Rady</w:t>
      </w:r>
    </w:p>
    <w:p w14:paraId="3F59669D" w14:textId="77777777" w:rsidR="009B6CEE" w:rsidRPr="000D29F5" w:rsidRDefault="009B6CEE" w:rsidP="001E1D3D">
      <w:pPr>
        <w:pStyle w:val="Odstavecseseznamem"/>
        <w:numPr>
          <w:ilvl w:val="0"/>
          <w:numId w:val="32"/>
        </w:numPr>
        <w:spacing w:after="120"/>
        <w:jc w:val="both"/>
        <w:rPr>
          <w:rFonts w:ascii="Arial" w:hAnsi="Arial"/>
        </w:rPr>
      </w:pPr>
      <w:r w:rsidRPr="000D29F5">
        <w:rPr>
          <w:rFonts w:ascii="Arial" w:hAnsi="Arial"/>
        </w:rPr>
        <w:t>Zásadní připomínka</w:t>
      </w:r>
    </w:p>
    <w:p w14:paraId="63C25BB1" w14:textId="77777777" w:rsidR="009B6CEE" w:rsidRPr="009B6CEE" w:rsidRDefault="009B6CEE" w:rsidP="001E1D3D">
      <w:pPr>
        <w:spacing w:after="120"/>
        <w:jc w:val="both"/>
        <w:rPr>
          <w:rFonts w:ascii="Arial" w:hAnsi="Arial" w:cs="Arial"/>
        </w:rPr>
      </w:pPr>
      <w:r w:rsidRPr="009B6CEE">
        <w:rPr>
          <w:rFonts w:ascii="Arial" w:hAnsi="Arial" w:cs="Arial"/>
        </w:rPr>
        <w:t>K části 2 návrhu Programu - Právní rámec Programu</w:t>
      </w:r>
    </w:p>
    <w:p w14:paraId="32447A28" w14:textId="7B4AF3B2" w:rsidR="009B6CEE" w:rsidRPr="009B6CEE" w:rsidRDefault="00AB5C14" w:rsidP="001E1D3D">
      <w:pPr>
        <w:spacing w:after="120"/>
        <w:jc w:val="both"/>
        <w:rPr>
          <w:rFonts w:ascii="Arial" w:hAnsi="Arial" w:cs="Arial"/>
        </w:rPr>
      </w:pPr>
      <w:r>
        <w:rPr>
          <w:rFonts w:ascii="Arial" w:hAnsi="Arial" w:cs="Arial"/>
        </w:rPr>
        <w:t>Poskytovatel uvádí, že</w:t>
      </w:r>
      <w:r w:rsidR="009B6CEE" w:rsidRPr="009B6CEE">
        <w:rPr>
          <w:rFonts w:ascii="Arial" w:hAnsi="Arial" w:cs="Arial"/>
        </w:rPr>
        <w:t xml:space="preserve"> Program bude realizován podle Nařízení Komise (EU) č. 651/2014 ze dne 17. června 2014</w:t>
      </w:r>
      <w:r w:rsidR="002B35AB" w:rsidRPr="002B35AB">
        <w:t xml:space="preserve"> </w:t>
      </w:r>
      <w:r w:rsidR="002B35AB" w:rsidRPr="002B35AB">
        <w:rPr>
          <w:rFonts w:ascii="Arial" w:hAnsi="Arial" w:cs="Arial"/>
        </w:rPr>
        <w:t>ve znění novely, která byla provedena nařízením Komise č. 2017/1084 ze dne 14. června 2017, a novely, která byla provedena nařízením Komise (EU) 2021/1237 ze dne 23. července 2021</w:t>
      </w:r>
      <w:r w:rsidR="009B6CEE" w:rsidRPr="009B6CEE">
        <w:rPr>
          <w:rFonts w:ascii="Arial" w:hAnsi="Arial" w:cs="Arial"/>
        </w:rPr>
        <w:t>, kterým se v souladu s články 107 a 108 Smlouvy prohlašují určité kategorie podpory za slučitelné s vnitřním trhem – zejm. čl. 25 (dále také „GBER“), v platném znění a podle Rámce pro státní podporu výzkumu, vývoje a inovací (dále také „Rámec“).</w:t>
      </w:r>
    </w:p>
    <w:p w14:paraId="080F16BE" w14:textId="77777777" w:rsidR="009B6CEE" w:rsidRDefault="009B6CEE" w:rsidP="001E1D3D">
      <w:pPr>
        <w:spacing w:after="120"/>
        <w:jc w:val="both"/>
        <w:rPr>
          <w:rFonts w:ascii="Arial" w:hAnsi="Arial" w:cs="Arial"/>
        </w:rPr>
      </w:pPr>
      <w:r w:rsidRPr="009B6CEE">
        <w:rPr>
          <w:rFonts w:ascii="Arial" w:hAnsi="Arial" w:cs="Arial"/>
        </w:rPr>
        <w:t xml:space="preserve">Rada upozorňuje, že uvedené Nařízení Komise (EU) bylo </w:t>
      </w:r>
      <w:r>
        <w:rPr>
          <w:rFonts w:ascii="Arial" w:hAnsi="Arial" w:cs="Arial"/>
        </w:rPr>
        <w:t>v říjnu tohoto roku</w:t>
      </w:r>
      <w:r w:rsidRPr="009B6CEE">
        <w:rPr>
          <w:rFonts w:ascii="Arial" w:hAnsi="Arial" w:cs="Arial"/>
        </w:rPr>
        <w:t xml:space="preserve"> novelizováno</w:t>
      </w:r>
      <w:r>
        <w:rPr>
          <w:rFonts w:ascii="Arial" w:hAnsi="Arial" w:cs="Arial"/>
        </w:rPr>
        <w:t>, a žádá o uvedení aktuálního předpisu.</w:t>
      </w:r>
    </w:p>
    <w:p w14:paraId="45E83211" w14:textId="77777777" w:rsidR="00907065" w:rsidRPr="000D29F5" w:rsidRDefault="00907065" w:rsidP="001E1D3D">
      <w:pPr>
        <w:pStyle w:val="Odstavecseseznamem"/>
        <w:numPr>
          <w:ilvl w:val="0"/>
          <w:numId w:val="32"/>
        </w:numPr>
        <w:spacing w:after="120"/>
        <w:jc w:val="both"/>
        <w:rPr>
          <w:rFonts w:ascii="Arial" w:hAnsi="Arial"/>
        </w:rPr>
      </w:pPr>
      <w:r w:rsidRPr="000D29F5">
        <w:rPr>
          <w:rFonts w:ascii="Arial" w:hAnsi="Arial"/>
        </w:rPr>
        <w:t>Zásadní připomínka:</w:t>
      </w:r>
    </w:p>
    <w:p w14:paraId="77D5951B" w14:textId="5319F922" w:rsidR="00907065" w:rsidRDefault="00907065" w:rsidP="001E1D3D">
      <w:pPr>
        <w:spacing w:after="120"/>
        <w:jc w:val="both"/>
        <w:rPr>
          <w:rFonts w:ascii="Arial" w:hAnsi="Arial" w:cs="Arial"/>
        </w:rPr>
      </w:pPr>
      <w:r w:rsidRPr="00907065">
        <w:rPr>
          <w:rFonts w:ascii="Arial" w:hAnsi="Arial" w:cs="Arial"/>
        </w:rPr>
        <w:lastRenderedPageBreak/>
        <w:t>Rada žádá, aby poskytovatel v návrhu Programu zapracoval připomínky KHV</w:t>
      </w:r>
      <w:ins w:id="2" w:author="Lysý Petr" w:date="2022-11-28T09:05:00Z">
        <w:r w:rsidR="000418E0">
          <w:rPr>
            <w:rFonts w:ascii="Arial" w:hAnsi="Arial" w:cs="Arial"/>
          </w:rPr>
          <w:t xml:space="preserve"> vztahující se k hodnocení Programu</w:t>
        </w:r>
      </w:ins>
      <w:r w:rsidRPr="00907065">
        <w:rPr>
          <w:rFonts w:ascii="Arial" w:hAnsi="Arial" w:cs="Arial"/>
        </w:rPr>
        <w:t>, které jsou součástí tohoto stanoviska.</w:t>
      </w:r>
    </w:p>
    <w:p w14:paraId="29973DC9" w14:textId="66A2FD5C" w:rsidR="00AB5C14" w:rsidRPr="00AB5C14" w:rsidRDefault="00AB5C14" w:rsidP="00AB5C14">
      <w:pPr>
        <w:pStyle w:val="Odstavecseseznamem"/>
        <w:numPr>
          <w:ilvl w:val="0"/>
          <w:numId w:val="32"/>
        </w:numPr>
        <w:spacing w:after="120"/>
        <w:jc w:val="both"/>
        <w:rPr>
          <w:rFonts w:ascii="Arial" w:hAnsi="Arial"/>
        </w:rPr>
      </w:pPr>
      <w:r>
        <w:rPr>
          <w:rFonts w:ascii="Arial" w:hAnsi="Arial"/>
        </w:rPr>
        <w:t>Zásadní p</w:t>
      </w:r>
      <w:r w:rsidRPr="00AB5C14">
        <w:rPr>
          <w:rFonts w:ascii="Arial" w:hAnsi="Arial"/>
        </w:rPr>
        <w:t>řipomínka:</w:t>
      </w:r>
    </w:p>
    <w:p w14:paraId="4DE56C25" w14:textId="16A3D786" w:rsidR="00AB5C14" w:rsidRDefault="00AB5C14" w:rsidP="00AB5C14">
      <w:pPr>
        <w:spacing w:after="120"/>
        <w:jc w:val="both"/>
        <w:rPr>
          <w:ins w:id="3" w:author="Lysý Petr" w:date="2022-11-28T09:05:00Z"/>
          <w:rFonts w:ascii="Arial" w:hAnsi="Arial" w:cs="Arial"/>
        </w:rPr>
      </w:pPr>
      <w:r w:rsidRPr="00AB5C14">
        <w:rPr>
          <w:rFonts w:ascii="Arial" w:hAnsi="Arial" w:cs="Arial"/>
        </w:rPr>
        <w:t>Rada upozorňuje, že schválení Programu vládou nezakládá automaticky nárok na jeho financování ze státního rozpočtu v objemech navržených v Programu. Financování programu bude záviset na možnostech státního rozpočtu.</w:t>
      </w:r>
    </w:p>
    <w:p w14:paraId="268FDED0" w14:textId="1E43FCEF" w:rsidR="000418E0" w:rsidRDefault="000418E0" w:rsidP="00EE4119">
      <w:pPr>
        <w:pStyle w:val="Odstavecseseznamem"/>
        <w:numPr>
          <w:ilvl w:val="0"/>
          <w:numId w:val="32"/>
        </w:numPr>
        <w:spacing w:after="120"/>
        <w:jc w:val="both"/>
        <w:rPr>
          <w:ins w:id="4" w:author="Lysý Petr" w:date="2022-11-28T09:06:00Z"/>
          <w:rFonts w:ascii="Arial" w:hAnsi="Arial" w:cs="Arial"/>
        </w:rPr>
      </w:pPr>
      <w:ins w:id="5" w:author="Lysý Petr" w:date="2022-11-28T09:05:00Z">
        <w:r>
          <w:rPr>
            <w:rFonts w:ascii="Arial" w:hAnsi="Arial" w:cs="Arial"/>
          </w:rPr>
          <w:t>Zásadní připomínka</w:t>
        </w:r>
      </w:ins>
      <w:ins w:id="6" w:author="Lysý Petr" w:date="2022-11-28T09:06:00Z">
        <w:r>
          <w:rPr>
            <w:rFonts w:ascii="Arial" w:hAnsi="Arial" w:cs="Arial"/>
          </w:rPr>
          <w:t>:</w:t>
        </w:r>
      </w:ins>
    </w:p>
    <w:p w14:paraId="314B1E50" w14:textId="353E5AE2" w:rsidR="000418E0" w:rsidRPr="00EE4119" w:rsidRDefault="000418E0" w:rsidP="000418E0">
      <w:pPr>
        <w:spacing w:after="120"/>
        <w:jc w:val="both"/>
        <w:rPr>
          <w:rFonts w:ascii="Arial" w:hAnsi="Arial" w:cs="Arial"/>
        </w:rPr>
      </w:pPr>
      <w:ins w:id="7" w:author="Lysý Petr" w:date="2022-11-28T09:06:00Z">
        <w:r>
          <w:rPr>
            <w:rFonts w:ascii="Arial" w:hAnsi="Arial" w:cs="Arial"/>
          </w:rPr>
          <w:t>Rada žádá, aby v</w:t>
        </w:r>
      </w:ins>
      <w:ins w:id="8" w:author="Lysý Petr" w:date="2022-11-28T09:07:00Z">
        <w:r>
          <w:rPr>
            <w:rFonts w:ascii="Arial" w:hAnsi="Arial" w:cs="Arial"/>
          </w:rPr>
          <w:t> </w:t>
        </w:r>
      </w:ins>
      <w:ins w:id="9" w:author="Lysý Petr" w:date="2022-11-28T09:06:00Z">
        <w:r>
          <w:rPr>
            <w:rFonts w:ascii="Arial" w:hAnsi="Arial" w:cs="Arial"/>
          </w:rPr>
          <w:t xml:space="preserve">Podprogramu </w:t>
        </w:r>
      </w:ins>
      <w:ins w:id="10" w:author="Lysý Petr" w:date="2022-11-28T09:07:00Z">
        <w:r>
          <w:rPr>
            <w:rFonts w:ascii="Arial" w:hAnsi="Arial" w:cs="Arial"/>
          </w:rPr>
          <w:t>2 byla upravena podmínka pro řešitele</w:t>
        </w:r>
      </w:ins>
      <w:ins w:id="11" w:author="Lysý Petr" w:date="2022-11-28T09:20:00Z">
        <w:r w:rsidR="00EE4119">
          <w:rPr>
            <w:rFonts w:ascii="Arial" w:hAnsi="Arial" w:cs="Arial"/>
          </w:rPr>
          <w:t>, kdy nebude stanovena pro mladé výzkumné pracovníky do 35 let, ale do 8 let od</w:t>
        </w:r>
      </w:ins>
      <w:ins w:id="12" w:author="Lysý Petr" w:date="2022-11-28T09:32:00Z">
        <w:r w:rsidR="00EE4119">
          <w:rPr>
            <w:rFonts w:ascii="Arial" w:hAnsi="Arial" w:cs="Arial"/>
          </w:rPr>
          <w:t xml:space="preserve"> získání</w:t>
        </w:r>
      </w:ins>
      <w:ins w:id="13" w:author="Lysý Petr" w:date="2022-11-28T09:20:00Z">
        <w:r w:rsidR="00EE4119">
          <w:rPr>
            <w:rFonts w:ascii="Arial" w:hAnsi="Arial" w:cs="Arial"/>
          </w:rPr>
          <w:t xml:space="preserve"> </w:t>
        </w:r>
      </w:ins>
      <w:ins w:id="14" w:author="Lysý Petr" w:date="2022-11-28T09:32:00Z">
        <w:r w:rsidR="00EE4119" w:rsidRPr="00EE4119">
          <w:rPr>
            <w:rFonts w:ascii="Arial" w:hAnsi="Arial" w:cs="Arial"/>
          </w:rPr>
          <w:t>akademick</w:t>
        </w:r>
        <w:r w:rsidR="00EE4119">
          <w:rPr>
            <w:rFonts w:ascii="Arial" w:hAnsi="Arial" w:cs="Arial"/>
          </w:rPr>
          <w:t>ého</w:t>
        </w:r>
        <w:r w:rsidR="00EE4119" w:rsidRPr="00EE4119">
          <w:rPr>
            <w:rFonts w:ascii="Arial" w:hAnsi="Arial" w:cs="Arial"/>
          </w:rPr>
          <w:t xml:space="preserve"> titul</w:t>
        </w:r>
        <w:r w:rsidR="00EE4119">
          <w:rPr>
            <w:rFonts w:ascii="Arial" w:hAnsi="Arial" w:cs="Arial"/>
          </w:rPr>
          <w:t>u</w:t>
        </w:r>
        <w:r w:rsidR="00EE4119" w:rsidRPr="00EE4119">
          <w:rPr>
            <w:rFonts w:ascii="Arial" w:hAnsi="Arial" w:cs="Arial"/>
          </w:rPr>
          <w:t xml:space="preserve"> Ph.D. nebo jeho ekvivalent</w:t>
        </w:r>
        <w:r w:rsidR="00EE4119">
          <w:rPr>
            <w:rFonts w:ascii="Arial" w:hAnsi="Arial" w:cs="Arial"/>
          </w:rPr>
          <w:t>u</w:t>
        </w:r>
      </w:ins>
      <w:ins w:id="15" w:author="Lysý Petr" w:date="2022-11-30T09:05:00Z">
        <w:r w:rsidR="00F50B71" w:rsidRPr="00F50B71">
          <w:rPr>
            <w:rFonts w:ascii="Arial" w:hAnsi="Arial" w:cs="Arial"/>
          </w:rPr>
          <w:t>, a to při zachování výjimek uvedených v programu</w:t>
        </w:r>
      </w:ins>
      <w:ins w:id="16" w:author="Lysý Petr" w:date="2022-11-28T09:30:00Z">
        <w:r w:rsidR="00EE4119">
          <w:rPr>
            <w:rFonts w:ascii="Arial" w:hAnsi="Arial" w:cs="Arial"/>
          </w:rPr>
          <w:t xml:space="preserve">. </w:t>
        </w:r>
      </w:ins>
      <w:bookmarkStart w:id="17" w:name="_GoBack"/>
      <w:bookmarkEnd w:id="17"/>
    </w:p>
    <w:p w14:paraId="57C63254" w14:textId="77777777" w:rsidR="007E0D92" w:rsidRPr="007E0D92" w:rsidRDefault="007E0D92" w:rsidP="001E1D3D">
      <w:pPr>
        <w:pStyle w:val="Normalodsazen"/>
        <w:keepNext/>
        <w:spacing w:after="120" w:line="240" w:lineRule="auto"/>
        <w:ind w:firstLine="0"/>
        <w:rPr>
          <w:color w:val="0070C0"/>
          <w:sz w:val="24"/>
        </w:rPr>
      </w:pPr>
    </w:p>
    <w:p w14:paraId="6985B4BA" w14:textId="77777777" w:rsidR="00A251E5" w:rsidRPr="00FC7E67" w:rsidRDefault="00A251E5" w:rsidP="000D29F5">
      <w:pPr>
        <w:pStyle w:val="Normalodsazen"/>
        <w:spacing w:after="120" w:line="240" w:lineRule="auto"/>
        <w:ind w:left="720" w:firstLine="0"/>
        <w:rPr>
          <w:b/>
          <w:color w:val="0070C0"/>
          <w:sz w:val="24"/>
        </w:rPr>
      </w:pPr>
      <w:r w:rsidRPr="00FC7E67">
        <w:rPr>
          <w:b/>
          <w:color w:val="0070C0"/>
          <w:sz w:val="24"/>
        </w:rPr>
        <w:t>Závěr</w:t>
      </w:r>
    </w:p>
    <w:p w14:paraId="49733935" w14:textId="77777777" w:rsidR="00FF704B" w:rsidRPr="00FC7E67" w:rsidRDefault="00FF704B" w:rsidP="000D29F5">
      <w:pPr>
        <w:pStyle w:val="Zkladntext2"/>
        <w:keepNext/>
        <w:spacing w:after="120"/>
        <w:jc w:val="both"/>
        <w:rPr>
          <w:rFonts w:ascii="Arial" w:hAnsi="Arial" w:cs="Arial"/>
          <w:szCs w:val="24"/>
        </w:rPr>
      </w:pPr>
      <w:r w:rsidRPr="00FC7E67">
        <w:rPr>
          <w:rFonts w:ascii="Arial" w:hAnsi="Arial" w:cs="Arial"/>
          <w:szCs w:val="24"/>
        </w:rPr>
        <w:t xml:space="preserve">Rada </w:t>
      </w:r>
    </w:p>
    <w:p w14:paraId="646686D6" w14:textId="0DFAE29B" w:rsidR="00FC7E67" w:rsidRDefault="00FC7E67" w:rsidP="000D29F5">
      <w:pPr>
        <w:pStyle w:val="Zkladntext2"/>
        <w:numPr>
          <w:ilvl w:val="0"/>
          <w:numId w:val="12"/>
        </w:numPr>
        <w:spacing w:after="120"/>
        <w:jc w:val="both"/>
        <w:rPr>
          <w:rFonts w:ascii="Arial" w:hAnsi="Arial" w:cs="Arial"/>
          <w:szCs w:val="24"/>
        </w:rPr>
      </w:pPr>
      <w:r w:rsidRPr="00FC7E67">
        <w:rPr>
          <w:rFonts w:ascii="Arial" w:hAnsi="Arial" w:cs="Arial"/>
          <w:szCs w:val="24"/>
        </w:rPr>
        <w:t xml:space="preserve">souhlasí s návrhem Programu a po zapracování připomínek uvedených v části </w:t>
      </w:r>
      <w:r>
        <w:rPr>
          <w:rFonts w:ascii="Arial" w:hAnsi="Arial" w:cs="Arial"/>
          <w:szCs w:val="24"/>
        </w:rPr>
        <w:t>10)</w:t>
      </w:r>
      <w:r w:rsidRPr="00FC7E67">
        <w:rPr>
          <w:rFonts w:ascii="Arial" w:hAnsi="Arial" w:cs="Arial"/>
          <w:szCs w:val="24"/>
        </w:rPr>
        <w:t xml:space="preserve"> tohoto Stanoviska doporučuje poskytovateli předložit návrh</w:t>
      </w:r>
      <w:r>
        <w:rPr>
          <w:rFonts w:ascii="Arial" w:hAnsi="Arial" w:cs="Arial"/>
          <w:szCs w:val="24"/>
        </w:rPr>
        <w:t xml:space="preserve"> p</w:t>
      </w:r>
      <w:r w:rsidRPr="00FC7E67">
        <w:rPr>
          <w:rFonts w:ascii="Arial" w:hAnsi="Arial" w:cs="Arial"/>
          <w:szCs w:val="24"/>
        </w:rPr>
        <w:t>rogramu do meziresortního připomínkového řízení a následně jej zařadit</w:t>
      </w:r>
      <w:r>
        <w:rPr>
          <w:rFonts w:ascii="Arial" w:hAnsi="Arial" w:cs="Arial"/>
          <w:szCs w:val="24"/>
        </w:rPr>
        <w:t xml:space="preserve"> </w:t>
      </w:r>
      <w:r w:rsidRPr="00FC7E67">
        <w:rPr>
          <w:rFonts w:ascii="Arial" w:hAnsi="Arial" w:cs="Arial"/>
          <w:szCs w:val="24"/>
        </w:rPr>
        <w:t>na Program jednání vlády.</w:t>
      </w:r>
    </w:p>
    <w:p w14:paraId="4C4F9EC0" w14:textId="77777777" w:rsidR="00FC7E67" w:rsidRDefault="00FC7E67" w:rsidP="00603DDE">
      <w:pPr>
        <w:pStyle w:val="Zkladntext2"/>
        <w:spacing w:after="120"/>
        <w:jc w:val="both"/>
        <w:rPr>
          <w:rFonts w:ascii="Arial" w:hAnsi="Arial" w:cs="Arial"/>
        </w:rPr>
      </w:pPr>
    </w:p>
    <w:p w14:paraId="258A11E1" w14:textId="77777777"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FC7E67">
        <w:rPr>
          <w:rFonts w:ascii="Arial" w:hAnsi="Arial" w:cs="Arial"/>
        </w:rPr>
        <w:t>dne 25.</w:t>
      </w:r>
      <w:r w:rsidRPr="00FC7E67">
        <w:rPr>
          <w:rFonts w:ascii="Arial" w:hAnsi="Arial" w:cs="Arial"/>
        </w:rPr>
        <w:t xml:space="preserve"> </w:t>
      </w:r>
      <w:r w:rsidR="00907065" w:rsidRPr="00FC7E67">
        <w:rPr>
          <w:rFonts w:ascii="Arial" w:hAnsi="Arial" w:cs="Arial"/>
        </w:rPr>
        <w:t xml:space="preserve">listopadu </w:t>
      </w:r>
      <w:r w:rsidRPr="00FC7E67">
        <w:rPr>
          <w:rFonts w:ascii="Arial" w:hAnsi="Arial" w:cs="Arial"/>
        </w:rPr>
        <w:t>20</w:t>
      </w:r>
      <w:r w:rsidR="00331372" w:rsidRPr="00FC7E67">
        <w:rPr>
          <w:rFonts w:ascii="Arial" w:hAnsi="Arial" w:cs="Arial"/>
        </w:rPr>
        <w:t>22</w:t>
      </w:r>
    </w:p>
    <w:sectPr w:rsidR="00FF704B" w:rsidRPr="00FC7E67" w:rsidSect="00331372">
      <w:headerReference w:type="default" r:id="rId8"/>
      <w:footerReference w:type="default" r:id="rId9"/>
      <w:headerReference w:type="first" r:id="rId10"/>
      <w:footerReference w:type="first" r:id="rId11"/>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62349" w14:textId="77777777" w:rsidR="00C42155" w:rsidRDefault="00C42155" w:rsidP="008F77F6">
      <w:r>
        <w:separator/>
      </w:r>
    </w:p>
  </w:endnote>
  <w:endnote w:type="continuationSeparator" w:id="0">
    <w:p w14:paraId="75BBD5A3" w14:textId="77777777" w:rsidR="00C42155" w:rsidRDefault="00C42155" w:rsidP="008F77F6">
      <w:r>
        <w:continuationSeparator/>
      </w:r>
    </w:p>
  </w:endnote>
  <w:endnote w:type="continuationNotice" w:id="1">
    <w:p w14:paraId="0DC9CEC2" w14:textId="77777777" w:rsidR="00C42155" w:rsidRDefault="00C42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5694" w14:textId="5389AC2F" w:rsidR="00355E9D" w:rsidRPr="00CC370F" w:rsidRDefault="00355E9D" w:rsidP="003F757F">
    <w:pPr>
      <w:pStyle w:val="Zpat"/>
      <w:rPr>
        <w:rFonts w:ascii="Arial" w:hAnsi="Arial" w:cs="Arial"/>
        <w:sz w:val="18"/>
        <w:szCs w:val="18"/>
      </w:rPr>
    </w:pPr>
    <w:r>
      <w:rPr>
        <w:rFonts w:ascii="Arial" w:hAnsi="Arial" w:cs="Arial"/>
        <w:sz w:val="18"/>
        <w:szCs w:val="18"/>
      </w:rPr>
      <w:t>Program na podporu zdravotnického aplikovaného výzkumu na léta 202</w:t>
    </w:r>
    <w:r w:rsidR="00331372">
      <w:rPr>
        <w:rFonts w:ascii="Arial" w:hAnsi="Arial" w:cs="Arial"/>
        <w:sz w:val="18"/>
        <w:szCs w:val="18"/>
      </w:rPr>
      <w:t>4</w:t>
    </w:r>
    <w:r>
      <w:rPr>
        <w:rFonts w:ascii="Arial" w:hAnsi="Arial" w:cs="Arial"/>
        <w:sz w:val="18"/>
        <w:szCs w:val="18"/>
      </w:rPr>
      <w:t xml:space="preserve"> - 20</w:t>
    </w:r>
    <w:r w:rsidR="00331372">
      <w:rPr>
        <w:rFonts w:ascii="Arial" w:hAnsi="Arial" w:cs="Arial"/>
        <w:sz w:val="18"/>
        <w:szCs w:val="18"/>
      </w:rPr>
      <w:t>30</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50B71">
          <w:rPr>
            <w:rFonts w:ascii="Arial" w:hAnsi="Arial" w:cs="Arial"/>
            <w:noProof/>
            <w:sz w:val="18"/>
            <w:szCs w:val="18"/>
          </w:rPr>
          <w:t>7</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50B71">
          <w:rPr>
            <w:rFonts w:ascii="Arial" w:hAnsi="Arial" w:cs="Arial"/>
            <w:noProof/>
            <w:sz w:val="18"/>
            <w:szCs w:val="18"/>
          </w:rPr>
          <w:t>8</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094AC8C6" w14:textId="1F8A0834"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50B7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50B71">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F555C" w14:textId="77777777" w:rsidR="00C42155" w:rsidRDefault="00C42155" w:rsidP="008F77F6">
      <w:r>
        <w:separator/>
      </w:r>
    </w:p>
  </w:footnote>
  <w:footnote w:type="continuationSeparator" w:id="0">
    <w:p w14:paraId="3281AFB7" w14:textId="77777777" w:rsidR="00C42155" w:rsidRDefault="00C42155" w:rsidP="008F77F6">
      <w:r>
        <w:continuationSeparator/>
      </w:r>
    </w:p>
  </w:footnote>
  <w:footnote w:type="continuationNotice" w:id="1">
    <w:p w14:paraId="68DF1F13" w14:textId="77777777" w:rsidR="00C42155" w:rsidRDefault="00C42155"/>
  </w:footnote>
  <w:footnote w:id="2">
    <w:p w14:paraId="3CDCAE52" w14:textId="77777777" w:rsidR="00355E9D" w:rsidRPr="009A0D19" w:rsidRDefault="00355E9D" w:rsidP="009A0D19">
      <w:pPr>
        <w:spacing w:before="60" w:after="60" w:line="276" w:lineRule="auto"/>
        <w:jc w:val="both"/>
        <w:rPr>
          <w:rFonts w:ascii="Arial" w:hAnsi="Arial" w:cs="Arial"/>
          <w:sz w:val="16"/>
          <w:szCs w:val="16"/>
        </w:rPr>
      </w:pPr>
      <w:r w:rsidRPr="009A0D19">
        <w:rPr>
          <w:rStyle w:val="Znakapoznpodarou"/>
          <w:rFonts w:ascii="Arial" w:hAnsi="Arial" w:cs="Arial"/>
          <w:sz w:val="16"/>
          <w:szCs w:val="16"/>
        </w:rPr>
        <w:footnoteRef/>
      </w:r>
      <w:r w:rsidRPr="009A0D19">
        <w:rPr>
          <w:rFonts w:ascii="Arial" w:hAnsi="Arial" w:cs="Arial"/>
          <w:sz w:val="16"/>
          <w:szCs w:val="16"/>
        </w:rPr>
        <w:t>Bližší podmínky budou popsány v zadávací dokumentaci k veřejným soutěžím.</w:t>
      </w:r>
    </w:p>
  </w:footnote>
  <w:footnote w:id="3">
    <w:p w14:paraId="7918417F" w14:textId="77777777" w:rsidR="00355E9D" w:rsidRPr="009A0D19" w:rsidRDefault="00355E9D" w:rsidP="009A0D19">
      <w:pPr>
        <w:spacing w:before="60" w:after="60" w:line="276" w:lineRule="auto"/>
        <w:jc w:val="both"/>
        <w:rPr>
          <w:rFonts w:ascii="Arial" w:hAnsi="Arial" w:cs="Arial"/>
          <w:sz w:val="16"/>
          <w:szCs w:val="16"/>
        </w:rPr>
      </w:pPr>
      <w:r w:rsidRPr="009A0D19">
        <w:rPr>
          <w:rStyle w:val="Znakapoznpodarou"/>
          <w:rFonts w:ascii="Arial" w:hAnsi="Arial" w:cs="Arial"/>
          <w:sz w:val="16"/>
          <w:szCs w:val="16"/>
        </w:rPr>
        <w:footnoteRef/>
      </w:r>
      <w:r w:rsidRPr="009A0D19">
        <w:rPr>
          <w:rFonts w:ascii="Arial" w:hAnsi="Arial" w:cs="Arial"/>
          <w:sz w:val="16"/>
          <w:szCs w:val="16"/>
        </w:rPr>
        <w:t xml:space="preserve"> Popř. titul žadatel získá nejpozději před uzavřením smlouvy/vydáním rozhodnutí o řešení projektu. Pokud navrhovatel (řešitel) pobýval na mateřské nebo rodičovské dovolené, prodělal dlouhodobou nemoc, případně z obdobných objektivních důvodů přerušil vědeckou kariéru, věková hranice 35 let se o tuto dobu zvyšuje.</w:t>
      </w:r>
      <w:r w:rsidRPr="009A0D19">
        <w:rPr>
          <w:rFonts w:ascii="Arial" w:hAnsi="Arial" w:cs="Arial"/>
          <w:b/>
          <w:bCs/>
          <w:i/>
          <w:iCs/>
          <w:sz w:val="16"/>
          <w:szCs w:val="16"/>
        </w:rPr>
        <w:t xml:space="preserve"> </w:t>
      </w:r>
      <w:r w:rsidRPr="009A0D19">
        <w:rPr>
          <w:rFonts w:ascii="Arial" w:hAnsi="Arial" w:cs="Arial"/>
          <w:sz w:val="16"/>
          <w:szCs w:val="16"/>
        </w:rPr>
        <w:t>Bližší podmínky budou popsány v zadávací dokumentaci k veřejným soutěžím.</w:t>
      </w:r>
    </w:p>
    <w:p w14:paraId="3295B0CE" w14:textId="77777777" w:rsidR="00355E9D" w:rsidRDefault="00355E9D">
      <w:pPr>
        <w:pStyle w:val="Textpoznpodarou"/>
      </w:pPr>
    </w:p>
  </w:footnote>
  <w:footnote w:id="4">
    <w:p w14:paraId="33AC987E" w14:textId="77777777" w:rsidR="00355E9D" w:rsidRDefault="00355E9D" w:rsidP="00873E61">
      <w:pPr>
        <w:pStyle w:val="Textpoznpodarou"/>
      </w:pPr>
      <w:r>
        <w:rPr>
          <w:rStyle w:val="Znakapoznpodarou"/>
        </w:rPr>
        <w:footnoteRef/>
      </w:r>
      <w:r>
        <w:t xml:space="preserve"> V souladu s článkem I, odst. </w:t>
      </w:r>
      <w:proofErr w:type="gramStart"/>
      <w:r>
        <w:t>1.3. bod</w:t>
      </w:r>
      <w:proofErr w:type="gramEnd"/>
      <w:r>
        <w:t xml:space="preserve"> 15 písm. e) Rámce se</w:t>
      </w:r>
      <w:r w:rsidRPr="000C2EBD">
        <w:t xml:space="preserve"> </w:t>
      </w:r>
      <w:r>
        <w:t>aplikovaným výzkumem rozumí průmyslový výzkum, experimentální vývoj nebo jejich kombinace.</w:t>
      </w:r>
    </w:p>
  </w:footnote>
  <w:footnote w:id="5">
    <w:p w14:paraId="7F62E273" w14:textId="77777777" w:rsidR="00355E9D" w:rsidRDefault="00355E9D" w:rsidP="00355E9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 w:id="6">
    <w:p w14:paraId="0F965D53" w14:textId="77777777" w:rsidR="00FD0AAB" w:rsidRDefault="00FD0AAB" w:rsidP="00FD0AAB">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696D09A9" w:rsidR="000817F1" w:rsidRPr="003C2A8E" w:rsidRDefault="00355E9D" w:rsidP="000817F1">
          <w:pPr>
            <w:pStyle w:val="Zhlav"/>
            <w:jc w:val="center"/>
            <w:rPr>
              <w:rFonts w:ascii="Arial" w:hAnsi="Arial" w:cs="Arial"/>
              <w:b/>
              <w:color w:val="0070C0"/>
              <w:sz w:val="28"/>
              <w:szCs w:val="28"/>
            </w:rPr>
          </w:pPr>
          <w:r>
            <w:rPr>
              <w:rFonts w:ascii="Arial" w:hAnsi="Arial" w:cs="Arial"/>
              <w:b/>
              <w:color w:val="0070C0"/>
              <w:sz w:val="28"/>
              <w:szCs w:val="28"/>
            </w:rPr>
            <w:t>38</w:t>
          </w:r>
          <w:r w:rsidR="00E91AAF">
            <w:rPr>
              <w:rFonts w:ascii="Arial" w:hAnsi="Arial" w:cs="Arial"/>
              <w:b/>
              <w:color w:val="0070C0"/>
              <w:sz w:val="28"/>
              <w:szCs w:val="28"/>
            </w:rPr>
            <w:t>4</w:t>
          </w:r>
          <w:r>
            <w:rPr>
              <w:rFonts w:ascii="Arial" w:hAnsi="Arial" w:cs="Arial"/>
              <w:b/>
              <w:color w:val="0070C0"/>
              <w:sz w:val="28"/>
              <w:szCs w:val="28"/>
            </w:rPr>
            <w:t>/A</w:t>
          </w:r>
          <w:r w:rsidR="000817F1">
            <w:rPr>
              <w:rFonts w:ascii="Arial" w:hAnsi="Arial" w:cs="Arial"/>
              <w:b/>
              <w:color w:val="0070C0"/>
              <w:sz w:val="28"/>
              <w:szCs w:val="28"/>
            </w:rPr>
            <w:t>6</w:t>
          </w:r>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73671086"/>
    <w:multiLevelType w:val="multilevel"/>
    <w:tmpl w:val="76C84B24"/>
    <w:numStyleLink w:val="StylI-aa"/>
  </w:abstractNum>
  <w:abstractNum w:abstractNumId="27"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0"/>
  </w:num>
  <w:num w:numId="3">
    <w:abstractNumId w:val="12"/>
  </w:num>
  <w:num w:numId="4">
    <w:abstractNumId w:val="13"/>
  </w:num>
  <w:num w:numId="5">
    <w:abstractNumId w:val="21"/>
  </w:num>
  <w:num w:numId="6">
    <w:abstractNumId w:val="26"/>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8"/>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8"/>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0"/>
  </w:num>
  <w:num w:numId="12">
    <w:abstractNumId w:val="9"/>
  </w:num>
  <w:num w:numId="13">
    <w:abstractNumId w:val="22"/>
  </w:num>
  <w:num w:numId="14">
    <w:abstractNumId w:val="11"/>
  </w:num>
  <w:num w:numId="15">
    <w:abstractNumId w:val="5"/>
  </w:num>
  <w:num w:numId="16">
    <w:abstractNumId w:val="17"/>
  </w:num>
  <w:num w:numId="17">
    <w:abstractNumId w:val="27"/>
  </w:num>
  <w:num w:numId="18">
    <w:abstractNumId w:val="1"/>
  </w:num>
  <w:num w:numId="19">
    <w:abstractNumId w:val="28"/>
  </w:num>
  <w:num w:numId="20">
    <w:abstractNumId w:val="10"/>
  </w:num>
  <w:num w:numId="21">
    <w:abstractNumId w:val="6"/>
  </w:num>
  <w:num w:numId="22">
    <w:abstractNumId w:val="7"/>
  </w:num>
  <w:num w:numId="23">
    <w:abstractNumId w:val="16"/>
  </w:num>
  <w:num w:numId="24">
    <w:abstractNumId w:val="23"/>
  </w:num>
  <w:num w:numId="25">
    <w:abstractNumId w:val="8"/>
  </w:num>
  <w:num w:numId="26">
    <w:abstractNumId w:val="14"/>
  </w:num>
  <w:num w:numId="27">
    <w:abstractNumId w:val="2"/>
  </w:num>
  <w:num w:numId="28">
    <w:abstractNumId w:val="15"/>
  </w:num>
  <w:num w:numId="29">
    <w:abstractNumId w:val="4"/>
  </w:num>
  <w:num w:numId="30">
    <w:abstractNumId w:val="19"/>
  </w:num>
  <w:num w:numId="31">
    <w:abstractNumId w:val="24"/>
  </w:num>
  <w:num w:numId="32">
    <w:abstractNumId w:val="2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ysý Petr">
    <w15:presenceInfo w15:providerId="None" w15:userId="Lysý Pet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18E0"/>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A193C"/>
    <w:rsid w:val="000A1C00"/>
    <w:rsid w:val="000B0156"/>
    <w:rsid w:val="000B19B3"/>
    <w:rsid w:val="000B4308"/>
    <w:rsid w:val="000C1639"/>
    <w:rsid w:val="000C4A33"/>
    <w:rsid w:val="000C616B"/>
    <w:rsid w:val="000C6F80"/>
    <w:rsid w:val="000D24AC"/>
    <w:rsid w:val="000D29F5"/>
    <w:rsid w:val="000E04BA"/>
    <w:rsid w:val="000E131B"/>
    <w:rsid w:val="000E4608"/>
    <w:rsid w:val="00107E37"/>
    <w:rsid w:val="00110E4F"/>
    <w:rsid w:val="0011334F"/>
    <w:rsid w:val="00117D7F"/>
    <w:rsid w:val="001355AD"/>
    <w:rsid w:val="0014093A"/>
    <w:rsid w:val="0014317A"/>
    <w:rsid w:val="00143B5C"/>
    <w:rsid w:val="00153BD8"/>
    <w:rsid w:val="001559EF"/>
    <w:rsid w:val="0016439D"/>
    <w:rsid w:val="00167763"/>
    <w:rsid w:val="0017168B"/>
    <w:rsid w:val="0019343C"/>
    <w:rsid w:val="001958D0"/>
    <w:rsid w:val="001958DC"/>
    <w:rsid w:val="00196CB2"/>
    <w:rsid w:val="001976BD"/>
    <w:rsid w:val="00197E58"/>
    <w:rsid w:val="001A1676"/>
    <w:rsid w:val="001B2F84"/>
    <w:rsid w:val="001C2A57"/>
    <w:rsid w:val="001D4CCF"/>
    <w:rsid w:val="001D537E"/>
    <w:rsid w:val="001E1D3D"/>
    <w:rsid w:val="001E2536"/>
    <w:rsid w:val="001E62D8"/>
    <w:rsid w:val="00201A4E"/>
    <w:rsid w:val="0020370B"/>
    <w:rsid w:val="00204D21"/>
    <w:rsid w:val="00210B42"/>
    <w:rsid w:val="0022328A"/>
    <w:rsid w:val="00232E5C"/>
    <w:rsid w:val="00235282"/>
    <w:rsid w:val="00237006"/>
    <w:rsid w:val="002412B0"/>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470F"/>
    <w:rsid w:val="002A4801"/>
    <w:rsid w:val="002A68FE"/>
    <w:rsid w:val="002B35AB"/>
    <w:rsid w:val="002B543E"/>
    <w:rsid w:val="002C0616"/>
    <w:rsid w:val="002D1D4B"/>
    <w:rsid w:val="002D2A6F"/>
    <w:rsid w:val="002D7614"/>
    <w:rsid w:val="002D76C6"/>
    <w:rsid w:val="002E0EB6"/>
    <w:rsid w:val="002E11DB"/>
    <w:rsid w:val="002E2591"/>
    <w:rsid w:val="002E43C5"/>
    <w:rsid w:val="002E4E01"/>
    <w:rsid w:val="002F13F7"/>
    <w:rsid w:val="002F4330"/>
    <w:rsid w:val="0030694E"/>
    <w:rsid w:val="0031084C"/>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54F9"/>
    <w:rsid w:val="003B6354"/>
    <w:rsid w:val="003C2A8E"/>
    <w:rsid w:val="003D1434"/>
    <w:rsid w:val="003D5203"/>
    <w:rsid w:val="003E3504"/>
    <w:rsid w:val="003F38AF"/>
    <w:rsid w:val="003F47E6"/>
    <w:rsid w:val="003F757F"/>
    <w:rsid w:val="00405F84"/>
    <w:rsid w:val="00411664"/>
    <w:rsid w:val="00411CB5"/>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69A7"/>
    <w:rsid w:val="005231B2"/>
    <w:rsid w:val="00526416"/>
    <w:rsid w:val="0053122B"/>
    <w:rsid w:val="00536DA1"/>
    <w:rsid w:val="00543A05"/>
    <w:rsid w:val="00550D45"/>
    <w:rsid w:val="00557739"/>
    <w:rsid w:val="00563BD3"/>
    <w:rsid w:val="00573079"/>
    <w:rsid w:val="005736AB"/>
    <w:rsid w:val="00574355"/>
    <w:rsid w:val="005820B4"/>
    <w:rsid w:val="0058543D"/>
    <w:rsid w:val="0059693D"/>
    <w:rsid w:val="005A2E79"/>
    <w:rsid w:val="005A4E69"/>
    <w:rsid w:val="005A4FFF"/>
    <w:rsid w:val="005A5563"/>
    <w:rsid w:val="005B6685"/>
    <w:rsid w:val="005B6BC7"/>
    <w:rsid w:val="005B79E0"/>
    <w:rsid w:val="005C1991"/>
    <w:rsid w:val="005C227B"/>
    <w:rsid w:val="005C39B0"/>
    <w:rsid w:val="005C7C7E"/>
    <w:rsid w:val="005D4147"/>
    <w:rsid w:val="005D6B8B"/>
    <w:rsid w:val="005D7F05"/>
    <w:rsid w:val="005E43C2"/>
    <w:rsid w:val="005F0C60"/>
    <w:rsid w:val="005F5928"/>
    <w:rsid w:val="00603A32"/>
    <w:rsid w:val="00603DDE"/>
    <w:rsid w:val="006052F9"/>
    <w:rsid w:val="00606321"/>
    <w:rsid w:val="006075E6"/>
    <w:rsid w:val="00616978"/>
    <w:rsid w:val="00624BBF"/>
    <w:rsid w:val="00637D93"/>
    <w:rsid w:val="00640B80"/>
    <w:rsid w:val="00650DA1"/>
    <w:rsid w:val="00661823"/>
    <w:rsid w:val="0067279E"/>
    <w:rsid w:val="00680FF8"/>
    <w:rsid w:val="0068427A"/>
    <w:rsid w:val="0068505E"/>
    <w:rsid w:val="0069070E"/>
    <w:rsid w:val="0069586C"/>
    <w:rsid w:val="006964D2"/>
    <w:rsid w:val="00697D8E"/>
    <w:rsid w:val="006B0319"/>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5A8"/>
    <w:rsid w:val="007C0EC3"/>
    <w:rsid w:val="007C2157"/>
    <w:rsid w:val="007D652A"/>
    <w:rsid w:val="007D7C0F"/>
    <w:rsid w:val="007E0D92"/>
    <w:rsid w:val="007E4301"/>
    <w:rsid w:val="007E6570"/>
    <w:rsid w:val="007F078D"/>
    <w:rsid w:val="007F5DD1"/>
    <w:rsid w:val="00803858"/>
    <w:rsid w:val="00810888"/>
    <w:rsid w:val="00810AA0"/>
    <w:rsid w:val="00812E43"/>
    <w:rsid w:val="00816844"/>
    <w:rsid w:val="008175BD"/>
    <w:rsid w:val="008234D1"/>
    <w:rsid w:val="00832A97"/>
    <w:rsid w:val="00842480"/>
    <w:rsid w:val="00842BF5"/>
    <w:rsid w:val="008666BF"/>
    <w:rsid w:val="00872597"/>
    <w:rsid w:val="00873853"/>
    <w:rsid w:val="00873E61"/>
    <w:rsid w:val="00874418"/>
    <w:rsid w:val="008873C0"/>
    <w:rsid w:val="00890531"/>
    <w:rsid w:val="00896357"/>
    <w:rsid w:val="008A0E39"/>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65ED"/>
    <w:rsid w:val="00907065"/>
    <w:rsid w:val="00914E04"/>
    <w:rsid w:val="00926FB3"/>
    <w:rsid w:val="00934DE6"/>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0D19"/>
    <w:rsid w:val="009A23F9"/>
    <w:rsid w:val="009B6CEE"/>
    <w:rsid w:val="009C0DA6"/>
    <w:rsid w:val="009C2656"/>
    <w:rsid w:val="009C2E30"/>
    <w:rsid w:val="009C7E02"/>
    <w:rsid w:val="009D4A72"/>
    <w:rsid w:val="009E1FC9"/>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4B26"/>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13BD3"/>
    <w:rsid w:val="00C15553"/>
    <w:rsid w:val="00C159CC"/>
    <w:rsid w:val="00C259C9"/>
    <w:rsid w:val="00C25A0A"/>
    <w:rsid w:val="00C26E56"/>
    <w:rsid w:val="00C42155"/>
    <w:rsid w:val="00C4746A"/>
    <w:rsid w:val="00C5404C"/>
    <w:rsid w:val="00C5503A"/>
    <w:rsid w:val="00C62B77"/>
    <w:rsid w:val="00C63124"/>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37AC8"/>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4458"/>
    <w:rsid w:val="00EE4119"/>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0B71"/>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4E833-90DF-4ECB-94FE-DE8A86C1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2585</Words>
  <Characters>15258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3</cp:revision>
  <cp:lastPrinted>2022-11-04T07:08:00Z</cp:lastPrinted>
  <dcterms:created xsi:type="dcterms:W3CDTF">2022-11-28T08:36:00Z</dcterms:created>
  <dcterms:modified xsi:type="dcterms:W3CDTF">2022-11-30T08:05:00Z</dcterms:modified>
</cp:coreProperties>
</file>