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551300" w14:textId="77777777" w:rsidR="005C0AD8" w:rsidRDefault="005C0AD8" w:rsidP="005C0AD8">
      <w:pPr>
        <w:pStyle w:val="Nadpis1"/>
        <w:spacing w:before="0" w:line="240" w:lineRule="auto"/>
        <w:ind w:left="426" w:hanging="426"/>
        <w:jc w:val="center"/>
        <w:rPr>
          <w:rFonts w:eastAsia="Calibri"/>
          <w:b/>
          <w:sz w:val="44"/>
          <w14:textOutline w14:w="9525" w14:cap="rnd" w14:cmpd="sng" w14:algn="ctr">
            <w14:solidFill>
              <w14:schemeClr w14:val="accent1">
                <w14:lumMod w14:val="75000"/>
              </w14:schemeClr>
            </w14:solidFill>
            <w14:prstDash w14:val="solid"/>
            <w14:bevel/>
          </w14:textOutline>
        </w:rPr>
      </w:pPr>
      <w:r w:rsidRPr="005C0AD8">
        <w:rPr>
          <w:rFonts w:eastAsia="Calibri"/>
          <w:b/>
          <w:sz w:val="44"/>
          <w14:textOutline w14:w="9525" w14:cap="rnd" w14:cmpd="sng" w14:algn="ctr">
            <w14:solidFill>
              <w14:schemeClr w14:val="accent1">
                <w14:lumMod w14:val="75000"/>
              </w14:schemeClr>
            </w14:solidFill>
            <w14:prstDash w14:val="solid"/>
            <w14:bevel/>
          </w14:textOutline>
        </w:rPr>
        <w:t>Výstupy činnosti prac</w:t>
      </w:r>
      <w:r>
        <w:rPr>
          <w:rFonts w:eastAsia="Calibri"/>
          <w:b/>
          <w:sz w:val="44"/>
          <w14:textOutline w14:w="9525" w14:cap="rnd" w14:cmpd="sng" w14:algn="ctr">
            <w14:solidFill>
              <w14:schemeClr w14:val="accent1">
                <w14:lumMod w14:val="75000"/>
              </w14:schemeClr>
            </w14:solidFill>
            <w14:prstDash w14:val="solid"/>
            <w14:bevel/>
          </w14:textOutline>
        </w:rPr>
        <w:t>ovní skupiny pro daňové</w:t>
      </w:r>
    </w:p>
    <w:p w14:paraId="2962DC87" w14:textId="0547CF7D" w:rsidR="00DC32C2" w:rsidRDefault="005C0AD8" w:rsidP="005C0AD8">
      <w:pPr>
        <w:pStyle w:val="Nadpis1"/>
        <w:spacing w:before="0" w:line="240" w:lineRule="auto"/>
        <w:ind w:left="426" w:hanging="426"/>
        <w:jc w:val="center"/>
        <w:rPr>
          <w:rFonts w:asciiTheme="minorHAnsi" w:eastAsia="Calibri" w:hAnsiTheme="minorHAnsi" w:cstheme="minorHAnsi"/>
          <w:sz w:val="28"/>
          <w:szCs w:val="28"/>
        </w:rPr>
      </w:pPr>
      <w:r>
        <w:rPr>
          <w:rFonts w:eastAsia="Calibri"/>
          <w:b/>
          <w:sz w:val="44"/>
          <w14:textOutline w14:w="9525" w14:cap="rnd" w14:cmpd="sng" w14:algn="ctr">
            <w14:solidFill>
              <w14:schemeClr w14:val="accent1">
                <w14:lumMod w14:val="75000"/>
              </w14:schemeClr>
            </w14:solidFill>
            <w14:prstDash w14:val="solid"/>
            <w14:bevel/>
          </w14:textOutline>
        </w:rPr>
        <w:t xml:space="preserve">odpočty </w:t>
      </w:r>
      <w:r w:rsidRPr="005C0AD8">
        <w:rPr>
          <w:rFonts w:eastAsia="Calibri"/>
          <w:b/>
          <w:sz w:val="44"/>
          <w14:textOutline w14:w="9525" w14:cap="rnd" w14:cmpd="sng" w14:algn="ctr">
            <w14:solidFill>
              <w14:schemeClr w14:val="accent1">
                <w14:lumMod w14:val="75000"/>
              </w14:schemeClr>
            </w14:solidFill>
            <w14:prstDash w14:val="solid"/>
            <w14:bevel/>
          </w14:textOutline>
        </w:rPr>
        <w:t xml:space="preserve">na </w:t>
      </w:r>
      <w:proofErr w:type="spellStart"/>
      <w:r w:rsidRPr="005C0AD8">
        <w:rPr>
          <w:rFonts w:eastAsia="Calibri"/>
          <w:b/>
          <w:sz w:val="44"/>
          <w14:textOutline w14:w="9525" w14:cap="rnd" w14:cmpd="sng" w14:algn="ctr">
            <w14:solidFill>
              <w14:schemeClr w14:val="accent1">
                <w14:lumMod w14:val="75000"/>
              </w14:schemeClr>
            </w14:solidFill>
            <w14:prstDash w14:val="solid"/>
            <w14:bevel/>
          </w14:textOutline>
        </w:rPr>
        <w:t>VaV</w:t>
      </w:r>
      <w:proofErr w:type="spellEnd"/>
    </w:p>
    <w:p w14:paraId="6483C7E5" w14:textId="77777777" w:rsidR="00B27D22" w:rsidRPr="00B27D22" w:rsidRDefault="00B27D22" w:rsidP="00B27D22"/>
    <w:p w14:paraId="7ABC7962" w14:textId="12F7D60D" w:rsidR="0014611A" w:rsidRDefault="00086645" w:rsidP="006C2B5D">
      <w:pPr>
        <w:spacing w:line="276" w:lineRule="auto"/>
        <w:jc w:val="both"/>
        <w:rPr>
          <w:sz w:val="24"/>
          <w:szCs w:val="24"/>
        </w:rPr>
      </w:pPr>
      <w:r w:rsidRPr="0014611A">
        <w:rPr>
          <w:sz w:val="24"/>
          <w:szCs w:val="24"/>
        </w:rPr>
        <w:t xml:space="preserve">Na základě usnesení Rady pro výzkum, vývoj a </w:t>
      </w:r>
      <w:r w:rsidR="00A67DA9">
        <w:rPr>
          <w:sz w:val="24"/>
          <w:szCs w:val="24"/>
        </w:rPr>
        <w:t>i</w:t>
      </w:r>
      <w:r w:rsidRPr="0014611A">
        <w:rPr>
          <w:sz w:val="24"/>
          <w:szCs w:val="24"/>
        </w:rPr>
        <w:t xml:space="preserve">novace (dále jen „Rada“) z jejího </w:t>
      </w:r>
      <w:r w:rsidR="0014611A">
        <w:rPr>
          <w:sz w:val="24"/>
          <w:szCs w:val="24"/>
        </w:rPr>
        <w:t>378.</w:t>
      </w:r>
      <w:r w:rsidRPr="0014611A">
        <w:rPr>
          <w:sz w:val="24"/>
          <w:szCs w:val="24"/>
        </w:rPr>
        <w:t xml:space="preserve"> zasedání došlo k obnovení činnosti Pracovní skupiny pro daňové odpočty</w:t>
      </w:r>
      <w:r w:rsidR="0014611A">
        <w:rPr>
          <w:sz w:val="24"/>
          <w:szCs w:val="24"/>
        </w:rPr>
        <w:t xml:space="preserve"> na výzkum a vývoj</w:t>
      </w:r>
      <w:r w:rsidR="00F656B4">
        <w:rPr>
          <w:sz w:val="24"/>
          <w:szCs w:val="24"/>
        </w:rPr>
        <w:t xml:space="preserve"> </w:t>
      </w:r>
      <w:r w:rsidR="006A7703">
        <w:rPr>
          <w:sz w:val="24"/>
          <w:szCs w:val="24"/>
        </w:rPr>
        <w:t>(dále jen „</w:t>
      </w:r>
      <w:r w:rsidR="00F656B4">
        <w:rPr>
          <w:sz w:val="24"/>
          <w:szCs w:val="24"/>
        </w:rPr>
        <w:t>PSDO</w:t>
      </w:r>
      <w:r w:rsidR="00234969">
        <w:rPr>
          <w:sz w:val="24"/>
          <w:szCs w:val="24"/>
        </w:rPr>
        <w:t xml:space="preserve"> 2022</w:t>
      </w:r>
      <w:r w:rsidR="006A7703">
        <w:rPr>
          <w:sz w:val="24"/>
          <w:szCs w:val="24"/>
        </w:rPr>
        <w:t>“)</w:t>
      </w:r>
      <w:r w:rsidR="0014611A">
        <w:rPr>
          <w:sz w:val="24"/>
          <w:szCs w:val="24"/>
        </w:rPr>
        <w:t xml:space="preserve">. </w:t>
      </w:r>
    </w:p>
    <w:p w14:paraId="0324D7AA" w14:textId="697963F0" w:rsidR="002D4F67" w:rsidRDefault="0014611A" w:rsidP="006C2B5D">
      <w:pPr>
        <w:spacing w:line="276" w:lineRule="auto"/>
        <w:jc w:val="both"/>
        <w:rPr>
          <w:sz w:val="24"/>
          <w:szCs w:val="24"/>
        </w:rPr>
      </w:pPr>
      <w:r>
        <w:rPr>
          <w:sz w:val="24"/>
          <w:szCs w:val="24"/>
        </w:rPr>
        <w:t>Rada uložila</w:t>
      </w:r>
      <w:r w:rsidRPr="0014611A">
        <w:rPr>
          <w:sz w:val="24"/>
          <w:szCs w:val="24"/>
        </w:rPr>
        <w:t xml:space="preserve"> pracovní skupině pro daňové odpočty na výzkum a vývoj, aby vyhodnotila důsledky změn § 34 zákona o daních z příjmů a pokynu Ministerstva financí č. MF-17 k jednotnému postupu při uplatňování ustanovení § 34 odst. 4 a 5 zákona č. 586/1992 Sb., o daních z příjmů, ve znění zákona č. 80/2019 Sb. a pozdějších předpisů, informaci doplnila o statistické údaje Českého statistického úřadu a OECD a své závěry předložila</w:t>
      </w:r>
      <w:r w:rsidR="005D1941">
        <w:rPr>
          <w:sz w:val="24"/>
          <w:szCs w:val="24"/>
        </w:rPr>
        <w:t xml:space="preserve"> na 382. zasedání</w:t>
      </w:r>
      <w:r w:rsidRPr="0014611A">
        <w:rPr>
          <w:sz w:val="24"/>
          <w:szCs w:val="24"/>
        </w:rPr>
        <w:t xml:space="preserve"> Rad</w:t>
      </w:r>
      <w:r w:rsidR="005D1941">
        <w:rPr>
          <w:sz w:val="24"/>
          <w:szCs w:val="24"/>
        </w:rPr>
        <w:t>y</w:t>
      </w:r>
      <w:r w:rsidRPr="0014611A">
        <w:rPr>
          <w:sz w:val="24"/>
          <w:szCs w:val="24"/>
        </w:rPr>
        <w:t xml:space="preserve"> </w:t>
      </w:r>
      <w:r w:rsidR="005D1941">
        <w:rPr>
          <w:sz w:val="24"/>
          <w:szCs w:val="24"/>
        </w:rPr>
        <w:t xml:space="preserve">30. </w:t>
      </w:r>
      <w:r w:rsidRPr="0014611A">
        <w:rPr>
          <w:sz w:val="24"/>
          <w:szCs w:val="24"/>
        </w:rPr>
        <w:t>září 2022.</w:t>
      </w:r>
    </w:p>
    <w:p w14:paraId="0FF46EBB" w14:textId="0070E32F" w:rsidR="00B27D22" w:rsidRDefault="005D1941" w:rsidP="006C2B5D">
      <w:pPr>
        <w:spacing w:line="276" w:lineRule="auto"/>
        <w:jc w:val="both"/>
        <w:rPr>
          <w:sz w:val="24"/>
          <w:szCs w:val="24"/>
        </w:rPr>
      </w:pPr>
      <w:r>
        <w:rPr>
          <w:sz w:val="24"/>
          <w:szCs w:val="24"/>
        </w:rPr>
        <w:t>Na 384. zasedání Rady se předkládají další výstupy PSDO</w:t>
      </w:r>
      <w:r w:rsidR="0068192A">
        <w:rPr>
          <w:sz w:val="24"/>
          <w:szCs w:val="24"/>
        </w:rPr>
        <w:t xml:space="preserve"> 2022</w:t>
      </w:r>
      <w:r>
        <w:rPr>
          <w:sz w:val="24"/>
          <w:szCs w:val="24"/>
        </w:rPr>
        <w:t>.</w:t>
      </w:r>
    </w:p>
    <w:p w14:paraId="60936991" w14:textId="0B1E0BA9" w:rsidR="00DC32C2" w:rsidRDefault="005C0AD8" w:rsidP="005D1941">
      <w:pPr>
        <w:pStyle w:val="Nadpis1"/>
        <w:numPr>
          <w:ilvl w:val="0"/>
          <w:numId w:val="2"/>
        </w:numPr>
        <w:spacing w:after="240"/>
        <w:ind w:left="567" w:hanging="567"/>
        <w:rPr>
          <w:rFonts w:eastAsia="Calibri"/>
          <w:b/>
          <w:sz w:val="40"/>
          <w:szCs w:val="40"/>
        </w:rPr>
      </w:pPr>
      <w:r>
        <w:rPr>
          <w:rFonts w:eastAsia="Calibri"/>
          <w:b/>
          <w:sz w:val="40"/>
          <w:szCs w:val="40"/>
        </w:rPr>
        <w:t>Aktuální s</w:t>
      </w:r>
      <w:r w:rsidR="002D4F67">
        <w:rPr>
          <w:rFonts w:eastAsia="Calibri"/>
          <w:b/>
          <w:sz w:val="40"/>
          <w:szCs w:val="40"/>
        </w:rPr>
        <w:t>eznam členů</w:t>
      </w:r>
      <w:r w:rsidR="00F656B4">
        <w:rPr>
          <w:rFonts w:eastAsia="Calibri"/>
          <w:b/>
          <w:sz w:val="40"/>
          <w:szCs w:val="40"/>
        </w:rPr>
        <w:t xml:space="preserve"> p</w:t>
      </w:r>
      <w:r w:rsidR="00DC32C2" w:rsidRPr="00C44A24">
        <w:rPr>
          <w:rFonts w:eastAsia="Calibri"/>
          <w:b/>
          <w:sz w:val="40"/>
          <w:szCs w:val="40"/>
        </w:rPr>
        <w:t>racovní skupiny</w:t>
      </w:r>
      <w:r w:rsidR="006A7703">
        <w:rPr>
          <w:rFonts w:eastAsia="Calibri"/>
          <w:b/>
          <w:sz w:val="40"/>
          <w:szCs w:val="40"/>
        </w:rPr>
        <w:t xml:space="preserve"> PSDO</w:t>
      </w:r>
      <w:r w:rsidR="00234969">
        <w:rPr>
          <w:rFonts w:eastAsia="Calibri"/>
          <w:b/>
          <w:sz w:val="40"/>
          <w:szCs w:val="40"/>
        </w:rPr>
        <w:t xml:space="preserve"> 2022</w:t>
      </w:r>
    </w:p>
    <w:p w14:paraId="724C8795" w14:textId="01DE7F91" w:rsidR="00755025" w:rsidRDefault="00755025" w:rsidP="00FB2F9D">
      <w:pPr>
        <w:jc w:val="both"/>
        <w:rPr>
          <w:sz w:val="24"/>
        </w:rPr>
      </w:pPr>
      <w:r w:rsidRPr="001C0A07">
        <w:rPr>
          <w:sz w:val="24"/>
        </w:rPr>
        <w:t>Došlo k rozšíření o jednu členku</w:t>
      </w:r>
      <w:r w:rsidR="00FB2F9D">
        <w:rPr>
          <w:sz w:val="24"/>
        </w:rPr>
        <w:t>, zpravodajku R</w:t>
      </w:r>
      <w:r w:rsidR="00316126">
        <w:rPr>
          <w:sz w:val="24"/>
        </w:rPr>
        <w:t>ady</w:t>
      </w:r>
      <w:r w:rsidR="00FB2F9D">
        <w:rPr>
          <w:sz w:val="24"/>
        </w:rPr>
        <w:t xml:space="preserve"> prof. JUDr. Kateřinu Ronovskou</w:t>
      </w:r>
      <w:r w:rsidR="00FB2F9D" w:rsidRPr="00FB2F9D">
        <w:rPr>
          <w:sz w:val="24"/>
        </w:rPr>
        <w:t>, Ph.D.</w:t>
      </w:r>
    </w:p>
    <w:p w14:paraId="20756368" w14:textId="77777777" w:rsidR="00FB2F9D" w:rsidRPr="001C0A07" w:rsidRDefault="00FB2F9D" w:rsidP="00FB2F9D">
      <w:pPr>
        <w:spacing w:after="0"/>
        <w:rPr>
          <w:sz w:val="24"/>
        </w:rPr>
      </w:pPr>
    </w:p>
    <w:tbl>
      <w:tblPr>
        <w:tblStyle w:val="Mkatabulky"/>
        <w:tblW w:w="3457" w:type="pct"/>
        <w:jc w:val="center"/>
        <w:tblLook w:val="04A0" w:firstRow="1" w:lastRow="0" w:firstColumn="1" w:lastColumn="0" w:noHBand="0" w:noVBand="1"/>
      </w:tblPr>
      <w:tblGrid>
        <w:gridCol w:w="461"/>
        <w:gridCol w:w="2796"/>
        <w:gridCol w:w="3400"/>
      </w:tblGrid>
      <w:tr w:rsidR="00A67DA9" w:rsidRPr="005C0AD8" w14:paraId="445B8F89" w14:textId="77777777" w:rsidTr="00A67DA9">
        <w:trPr>
          <w:jc w:val="center"/>
        </w:trPr>
        <w:tc>
          <w:tcPr>
            <w:tcW w:w="346" w:type="pct"/>
            <w:shd w:val="clear" w:color="auto" w:fill="9CC2E5" w:themeFill="accent1" w:themeFillTint="99"/>
          </w:tcPr>
          <w:p w14:paraId="2EA402FA" w14:textId="0F712968" w:rsidR="00A67DA9" w:rsidRPr="00C44A24" w:rsidRDefault="00A67DA9" w:rsidP="008C619D">
            <w:pPr>
              <w:jc w:val="center"/>
              <w:rPr>
                <w:rFonts w:cstheme="minorHAnsi"/>
                <w:sz w:val="24"/>
                <w:szCs w:val="24"/>
              </w:rPr>
            </w:pPr>
            <w:r>
              <w:rPr>
                <w:rFonts w:ascii="Tms Rmn" w:hAnsi="Tms Rmn"/>
                <w:sz w:val="24"/>
                <w:szCs w:val="24"/>
              </w:rPr>
              <w:t xml:space="preserve"> </w:t>
            </w:r>
          </w:p>
        </w:tc>
        <w:tc>
          <w:tcPr>
            <w:tcW w:w="2100" w:type="pct"/>
            <w:shd w:val="clear" w:color="auto" w:fill="9CC2E5" w:themeFill="accent1" w:themeFillTint="99"/>
            <w:vAlign w:val="center"/>
          </w:tcPr>
          <w:p w14:paraId="6512FB5F" w14:textId="77777777" w:rsidR="00A67DA9" w:rsidRPr="005C0AD8" w:rsidRDefault="00A67DA9" w:rsidP="008C619D">
            <w:pPr>
              <w:jc w:val="center"/>
              <w:rPr>
                <w:rFonts w:cstheme="minorHAnsi"/>
                <w:sz w:val="24"/>
                <w:szCs w:val="24"/>
              </w:rPr>
            </w:pPr>
            <w:r w:rsidRPr="005C0AD8">
              <w:rPr>
                <w:rFonts w:cstheme="minorHAnsi"/>
                <w:sz w:val="24"/>
                <w:szCs w:val="24"/>
              </w:rPr>
              <w:t>Jméno příjmení</w:t>
            </w:r>
          </w:p>
        </w:tc>
        <w:tc>
          <w:tcPr>
            <w:tcW w:w="2554" w:type="pct"/>
            <w:shd w:val="clear" w:color="auto" w:fill="9CC2E5" w:themeFill="accent1" w:themeFillTint="99"/>
            <w:vAlign w:val="center"/>
          </w:tcPr>
          <w:p w14:paraId="24426173" w14:textId="77777777" w:rsidR="00A67DA9" w:rsidRPr="005C0AD8" w:rsidRDefault="00A67DA9" w:rsidP="008C619D">
            <w:pPr>
              <w:jc w:val="center"/>
              <w:rPr>
                <w:rFonts w:cstheme="minorHAnsi"/>
                <w:sz w:val="24"/>
                <w:szCs w:val="24"/>
              </w:rPr>
            </w:pPr>
            <w:r w:rsidRPr="005C0AD8">
              <w:rPr>
                <w:rFonts w:cstheme="minorHAnsi"/>
                <w:sz w:val="24"/>
                <w:szCs w:val="24"/>
              </w:rPr>
              <w:t>Organizace</w:t>
            </w:r>
          </w:p>
        </w:tc>
      </w:tr>
      <w:tr w:rsidR="00A67DA9" w:rsidRPr="005C0AD8" w14:paraId="51BCF1F4" w14:textId="77777777" w:rsidTr="00A67DA9">
        <w:trPr>
          <w:jc w:val="center"/>
        </w:trPr>
        <w:tc>
          <w:tcPr>
            <w:tcW w:w="346" w:type="pct"/>
          </w:tcPr>
          <w:p w14:paraId="079E6266" w14:textId="77777777" w:rsidR="00A67DA9" w:rsidRPr="005C0AD8" w:rsidRDefault="00A67DA9" w:rsidP="008C619D">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1</w:t>
            </w:r>
          </w:p>
        </w:tc>
        <w:tc>
          <w:tcPr>
            <w:tcW w:w="2100" w:type="pct"/>
          </w:tcPr>
          <w:p w14:paraId="62319E8C" w14:textId="77777777" w:rsidR="00A67DA9" w:rsidRPr="005C0AD8" w:rsidRDefault="00A67DA9" w:rsidP="008C619D">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 xml:space="preserve">Karel Kouřil </w:t>
            </w:r>
          </w:p>
        </w:tc>
        <w:tc>
          <w:tcPr>
            <w:tcW w:w="2554" w:type="pct"/>
          </w:tcPr>
          <w:p w14:paraId="249C433E" w14:textId="042E9AC1" w:rsidR="00A67DA9" w:rsidRPr="005C0AD8" w:rsidRDefault="00A67DA9" w:rsidP="00BA76F8">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 xml:space="preserve">RVVI </w:t>
            </w:r>
          </w:p>
        </w:tc>
      </w:tr>
      <w:tr w:rsidR="00A67DA9" w:rsidRPr="005C0AD8" w14:paraId="383AD42F" w14:textId="77777777" w:rsidTr="00A67DA9">
        <w:trPr>
          <w:jc w:val="center"/>
        </w:trPr>
        <w:tc>
          <w:tcPr>
            <w:tcW w:w="346" w:type="pct"/>
          </w:tcPr>
          <w:p w14:paraId="47C7AE32" w14:textId="473FA9BF"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2</w:t>
            </w:r>
          </w:p>
        </w:tc>
        <w:tc>
          <w:tcPr>
            <w:tcW w:w="2100" w:type="pct"/>
          </w:tcPr>
          <w:p w14:paraId="527297D1" w14:textId="7E541109"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Kateřina Ronovská</w:t>
            </w:r>
          </w:p>
        </w:tc>
        <w:tc>
          <w:tcPr>
            <w:tcW w:w="2554" w:type="pct"/>
          </w:tcPr>
          <w:p w14:paraId="11371D19" w14:textId="5B81374C"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RVVI</w:t>
            </w:r>
          </w:p>
        </w:tc>
      </w:tr>
      <w:tr w:rsidR="00A67DA9" w:rsidRPr="005C0AD8" w14:paraId="02593C54" w14:textId="77777777" w:rsidTr="00A67DA9">
        <w:trPr>
          <w:jc w:val="center"/>
        </w:trPr>
        <w:tc>
          <w:tcPr>
            <w:tcW w:w="346" w:type="pct"/>
          </w:tcPr>
          <w:p w14:paraId="589AF036" w14:textId="705FEC62"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3</w:t>
            </w:r>
          </w:p>
        </w:tc>
        <w:tc>
          <w:tcPr>
            <w:tcW w:w="2100" w:type="pct"/>
          </w:tcPr>
          <w:p w14:paraId="4AFE27E6" w14:textId="77777777"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 xml:space="preserve">Bohuslav Čížek </w:t>
            </w:r>
          </w:p>
        </w:tc>
        <w:tc>
          <w:tcPr>
            <w:tcW w:w="2554" w:type="pct"/>
          </w:tcPr>
          <w:p w14:paraId="134D8C0F" w14:textId="77777777"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SP ČR</w:t>
            </w:r>
          </w:p>
        </w:tc>
      </w:tr>
      <w:tr w:rsidR="00A67DA9" w:rsidRPr="005C0AD8" w14:paraId="3E6BB621" w14:textId="77777777" w:rsidTr="00A67DA9">
        <w:trPr>
          <w:jc w:val="center"/>
        </w:trPr>
        <w:tc>
          <w:tcPr>
            <w:tcW w:w="346" w:type="pct"/>
          </w:tcPr>
          <w:p w14:paraId="346C0BF4" w14:textId="2AFC704D"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4</w:t>
            </w:r>
          </w:p>
        </w:tc>
        <w:tc>
          <w:tcPr>
            <w:tcW w:w="2100" w:type="pct"/>
          </w:tcPr>
          <w:p w14:paraId="30135447" w14:textId="77777777"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 xml:space="preserve">Jan </w:t>
            </w:r>
            <w:proofErr w:type="spellStart"/>
            <w:r w:rsidRPr="005C0AD8">
              <w:rPr>
                <w:rFonts w:asciiTheme="majorHAnsi" w:hAnsiTheme="majorHAnsi" w:cstheme="majorHAnsi"/>
                <w:sz w:val="24"/>
                <w:szCs w:val="24"/>
              </w:rPr>
              <w:t>Proksch</w:t>
            </w:r>
            <w:proofErr w:type="spellEnd"/>
            <w:r w:rsidRPr="005C0AD8">
              <w:rPr>
                <w:rFonts w:asciiTheme="majorHAnsi" w:hAnsiTheme="majorHAnsi" w:cstheme="majorHAnsi"/>
                <w:sz w:val="24"/>
                <w:szCs w:val="24"/>
              </w:rPr>
              <w:t xml:space="preserve"> </w:t>
            </w:r>
          </w:p>
        </w:tc>
        <w:tc>
          <w:tcPr>
            <w:tcW w:w="2554" w:type="pct"/>
          </w:tcPr>
          <w:p w14:paraId="709500F4" w14:textId="77777777"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SP ČR</w:t>
            </w:r>
          </w:p>
        </w:tc>
      </w:tr>
      <w:tr w:rsidR="00A67DA9" w:rsidRPr="005C0AD8" w14:paraId="79837C4A" w14:textId="77777777" w:rsidTr="00A67DA9">
        <w:trPr>
          <w:jc w:val="center"/>
        </w:trPr>
        <w:tc>
          <w:tcPr>
            <w:tcW w:w="346" w:type="pct"/>
          </w:tcPr>
          <w:p w14:paraId="4536E1CF" w14:textId="316D07D3"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5</w:t>
            </w:r>
          </w:p>
        </w:tc>
        <w:tc>
          <w:tcPr>
            <w:tcW w:w="2100" w:type="pct"/>
          </w:tcPr>
          <w:p w14:paraId="6581A986" w14:textId="77777777"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 xml:space="preserve">Drahomíra Martincová </w:t>
            </w:r>
          </w:p>
        </w:tc>
        <w:tc>
          <w:tcPr>
            <w:tcW w:w="2554" w:type="pct"/>
          </w:tcPr>
          <w:p w14:paraId="3A516607" w14:textId="77777777"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MF ČR</w:t>
            </w:r>
          </w:p>
        </w:tc>
      </w:tr>
      <w:tr w:rsidR="00A67DA9" w:rsidRPr="005C0AD8" w14:paraId="3A4E3A9A" w14:textId="77777777" w:rsidTr="00A67DA9">
        <w:trPr>
          <w:jc w:val="center"/>
        </w:trPr>
        <w:tc>
          <w:tcPr>
            <w:tcW w:w="346" w:type="pct"/>
          </w:tcPr>
          <w:p w14:paraId="44442748" w14:textId="3ED1F8ED"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6</w:t>
            </w:r>
          </w:p>
        </w:tc>
        <w:tc>
          <w:tcPr>
            <w:tcW w:w="2100" w:type="pct"/>
          </w:tcPr>
          <w:p w14:paraId="05A3CD80" w14:textId="77777777"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 xml:space="preserve">Vítězslav Kapoun </w:t>
            </w:r>
          </w:p>
        </w:tc>
        <w:tc>
          <w:tcPr>
            <w:tcW w:w="2554" w:type="pct"/>
          </w:tcPr>
          <w:p w14:paraId="780F60E4" w14:textId="77777777"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sz w:val="24"/>
                <w:szCs w:val="24"/>
              </w:rPr>
            </w:pPr>
            <w:r w:rsidRPr="005C0AD8">
              <w:rPr>
                <w:rFonts w:asciiTheme="majorHAnsi" w:hAnsiTheme="majorHAnsi" w:cstheme="majorHAnsi"/>
                <w:sz w:val="24"/>
                <w:szCs w:val="24"/>
              </w:rPr>
              <w:t>Generální finanční ředitelství</w:t>
            </w:r>
          </w:p>
        </w:tc>
      </w:tr>
      <w:tr w:rsidR="00A67DA9" w:rsidRPr="005C0AD8" w14:paraId="621E58EB" w14:textId="77777777" w:rsidTr="00A67DA9">
        <w:trPr>
          <w:jc w:val="center"/>
        </w:trPr>
        <w:tc>
          <w:tcPr>
            <w:tcW w:w="346" w:type="pct"/>
          </w:tcPr>
          <w:p w14:paraId="662AF25F" w14:textId="18477CAF"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7</w:t>
            </w:r>
          </w:p>
        </w:tc>
        <w:tc>
          <w:tcPr>
            <w:tcW w:w="2100" w:type="pct"/>
          </w:tcPr>
          <w:p w14:paraId="18A1164F" w14:textId="77777777"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 xml:space="preserve">Ludmila Dvořáčková </w:t>
            </w:r>
          </w:p>
        </w:tc>
        <w:tc>
          <w:tcPr>
            <w:tcW w:w="2554" w:type="pct"/>
          </w:tcPr>
          <w:p w14:paraId="76E18879" w14:textId="77777777"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Generální finanční ředitelství</w:t>
            </w:r>
          </w:p>
        </w:tc>
      </w:tr>
      <w:tr w:rsidR="00A67DA9" w:rsidRPr="005C0AD8" w14:paraId="3C01759A" w14:textId="77777777" w:rsidTr="00A67DA9">
        <w:trPr>
          <w:jc w:val="center"/>
        </w:trPr>
        <w:tc>
          <w:tcPr>
            <w:tcW w:w="346" w:type="pct"/>
          </w:tcPr>
          <w:p w14:paraId="41460D08" w14:textId="0986FE39"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8</w:t>
            </w:r>
          </w:p>
        </w:tc>
        <w:tc>
          <w:tcPr>
            <w:tcW w:w="2100" w:type="pct"/>
          </w:tcPr>
          <w:p w14:paraId="376EC7B2" w14:textId="77777777"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 xml:space="preserve">Luděk Hanáček </w:t>
            </w:r>
          </w:p>
        </w:tc>
        <w:tc>
          <w:tcPr>
            <w:tcW w:w="2554" w:type="pct"/>
          </w:tcPr>
          <w:p w14:paraId="2FEFBEB3" w14:textId="77777777"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proofErr w:type="spellStart"/>
            <w:r w:rsidRPr="005C0AD8">
              <w:rPr>
                <w:rFonts w:asciiTheme="majorHAnsi" w:hAnsiTheme="majorHAnsi" w:cstheme="majorHAnsi"/>
                <w:sz w:val="24"/>
                <w:szCs w:val="24"/>
              </w:rPr>
              <w:t>Deloitte</w:t>
            </w:r>
            <w:proofErr w:type="spellEnd"/>
          </w:p>
        </w:tc>
      </w:tr>
      <w:tr w:rsidR="00A67DA9" w:rsidRPr="005C0AD8" w14:paraId="1B64A04B" w14:textId="77777777" w:rsidTr="00A67DA9">
        <w:trPr>
          <w:jc w:val="center"/>
        </w:trPr>
        <w:tc>
          <w:tcPr>
            <w:tcW w:w="346" w:type="pct"/>
          </w:tcPr>
          <w:p w14:paraId="1F09783A" w14:textId="1AD39079"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9</w:t>
            </w:r>
          </w:p>
        </w:tc>
        <w:tc>
          <w:tcPr>
            <w:tcW w:w="2100" w:type="pct"/>
          </w:tcPr>
          <w:p w14:paraId="49561665" w14:textId="77777777"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 xml:space="preserve">Petr Rezek  </w:t>
            </w:r>
          </w:p>
        </w:tc>
        <w:tc>
          <w:tcPr>
            <w:tcW w:w="2554" w:type="pct"/>
          </w:tcPr>
          <w:p w14:paraId="06A60BEB" w14:textId="77777777" w:rsidR="00A67DA9" w:rsidRPr="005C0AD8" w:rsidRDefault="00A67DA9" w:rsidP="00A67DA9">
            <w:pPr>
              <w:spacing w:before="100" w:beforeAutospacing="1"/>
              <w:rPr>
                <w:sz w:val="24"/>
                <w:szCs w:val="24"/>
              </w:rPr>
            </w:pPr>
            <w:r w:rsidRPr="005C0AD8">
              <w:rPr>
                <w:rFonts w:asciiTheme="majorHAnsi" w:hAnsiTheme="majorHAnsi" w:cstheme="majorHAnsi"/>
                <w:sz w:val="24"/>
                <w:szCs w:val="24"/>
              </w:rPr>
              <w:t>AVO ČR</w:t>
            </w:r>
          </w:p>
        </w:tc>
      </w:tr>
      <w:tr w:rsidR="00A67DA9" w:rsidRPr="005C0AD8" w14:paraId="1E58D29D" w14:textId="77777777" w:rsidTr="00A67DA9">
        <w:trPr>
          <w:jc w:val="center"/>
        </w:trPr>
        <w:tc>
          <w:tcPr>
            <w:tcW w:w="346" w:type="pct"/>
          </w:tcPr>
          <w:p w14:paraId="7E660F4B" w14:textId="415A3B89"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10</w:t>
            </w:r>
          </w:p>
        </w:tc>
        <w:tc>
          <w:tcPr>
            <w:tcW w:w="2100" w:type="pct"/>
          </w:tcPr>
          <w:p w14:paraId="2C65BD56" w14:textId="77777777"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 xml:space="preserve">Jiří Nekovář </w:t>
            </w:r>
          </w:p>
        </w:tc>
        <w:tc>
          <w:tcPr>
            <w:tcW w:w="2554" w:type="pct"/>
          </w:tcPr>
          <w:p w14:paraId="561D6747" w14:textId="77777777"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Euro-Trend</w:t>
            </w:r>
          </w:p>
        </w:tc>
      </w:tr>
      <w:tr w:rsidR="00A67DA9" w:rsidRPr="005C0AD8" w14:paraId="155A96B8" w14:textId="77777777" w:rsidTr="00A67DA9">
        <w:trPr>
          <w:jc w:val="center"/>
        </w:trPr>
        <w:tc>
          <w:tcPr>
            <w:tcW w:w="346" w:type="pct"/>
          </w:tcPr>
          <w:p w14:paraId="5094A541" w14:textId="3DAADED8"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11</w:t>
            </w:r>
          </w:p>
        </w:tc>
        <w:tc>
          <w:tcPr>
            <w:tcW w:w="2100" w:type="pct"/>
          </w:tcPr>
          <w:p w14:paraId="71948EBE" w14:textId="77777777"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 xml:space="preserve">Tomáš Uhlíř </w:t>
            </w:r>
          </w:p>
        </w:tc>
        <w:tc>
          <w:tcPr>
            <w:tcW w:w="2554" w:type="pct"/>
          </w:tcPr>
          <w:p w14:paraId="6B3510F2" w14:textId="7A4DC786"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 xml:space="preserve">AMSP ČR, </w:t>
            </w:r>
            <w:proofErr w:type="spellStart"/>
            <w:r w:rsidRPr="005C0AD8">
              <w:rPr>
                <w:rFonts w:asciiTheme="majorHAnsi" w:hAnsiTheme="majorHAnsi" w:cstheme="majorHAnsi"/>
                <w:sz w:val="24"/>
                <w:szCs w:val="24"/>
              </w:rPr>
              <w:t>Ayming</w:t>
            </w:r>
            <w:proofErr w:type="spellEnd"/>
          </w:p>
        </w:tc>
      </w:tr>
      <w:tr w:rsidR="00A67DA9" w:rsidRPr="005C0AD8" w14:paraId="6F96827A" w14:textId="77777777" w:rsidTr="00A67DA9">
        <w:trPr>
          <w:jc w:val="center"/>
        </w:trPr>
        <w:tc>
          <w:tcPr>
            <w:tcW w:w="346" w:type="pct"/>
          </w:tcPr>
          <w:p w14:paraId="4F54C01F" w14:textId="5F33E9C5"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12</w:t>
            </w:r>
          </w:p>
        </w:tc>
        <w:tc>
          <w:tcPr>
            <w:tcW w:w="2100" w:type="pct"/>
          </w:tcPr>
          <w:p w14:paraId="015B56B5" w14:textId="77777777"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 xml:space="preserve">Martin </w:t>
            </w:r>
            <w:proofErr w:type="spellStart"/>
            <w:r w:rsidRPr="005C0AD8">
              <w:rPr>
                <w:rFonts w:asciiTheme="majorHAnsi" w:hAnsiTheme="majorHAnsi" w:cstheme="majorHAnsi"/>
                <w:sz w:val="24"/>
                <w:szCs w:val="24"/>
              </w:rPr>
              <w:t>Bunček</w:t>
            </w:r>
            <w:proofErr w:type="spellEnd"/>
            <w:r w:rsidRPr="005C0AD8">
              <w:rPr>
                <w:rFonts w:asciiTheme="majorHAnsi" w:hAnsiTheme="majorHAnsi" w:cstheme="majorHAnsi"/>
                <w:sz w:val="24"/>
                <w:szCs w:val="24"/>
              </w:rPr>
              <w:t xml:space="preserve"> </w:t>
            </w:r>
          </w:p>
        </w:tc>
        <w:tc>
          <w:tcPr>
            <w:tcW w:w="2554" w:type="pct"/>
          </w:tcPr>
          <w:p w14:paraId="281A1162" w14:textId="77777777"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TA ČR</w:t>
            </w:r>
          </w:p>
        </w:tc>
      </w:tr>
      <w:tr w:rsidR="00A67DA9" w:rsidRPr="005C0AD8" w14:paraId="6F41D638" w14:textId="77777777" w:rsidTr="00A67DA9">
        <w:trPr>
          <w:jc w:val="center"/>
        </w:trPr>
        <w:tc>
          <w:tcPr>
            <w:tcW w:w="346" w:type="pct"/>
          </w:tcPr>
          <w:p w14:paraId="7C18864E" w14:textId="659C1A95" w:rsidR="00A67DA9" w:rsidRPr="005C0AD8" w:rsidRDefault="00A67DA9" w:rsidP="00A67DA9">
            <w:pPr>
              <w:rPr>
                <w:rFonts w:asciiTheme="majorHAnsi" w:hAnsiTheme="majorHAnsi" w:cstheme="majorHAnsi"/>
                <w:sz w:val="24"/>
                <w:szCs w:val="24"/>
              </w:rPr>
            </w:pPr>
            <w:r w:rsidRPr="005C0AD8">
              <w:rPr>
                <w:rFonts w:asciiTheme="majorHAnsi" w:hAnsiTheme="majorHAnsi" w:cstheme="majorHAnsi"/>
                <w:sz w:val="24"/>
                <w:szCs w:val="24"/>
              </w:rPr>
              <w:t>13</w:t>
            </w:r>
          </w:p>
        </w:tc>
        <w:tc>
          <w:tcPr>
            <w:tcW w:w="2100" w:type="pct"/>
          </w:tcPr>
          <w:p w14:paraId="53E549DB" w14:textId="77777777" w:rsidR="00A67DA9" w:rsidRPr="005C0AD8" w:rsidRDefault="00A67DA9" w:rsidP="00A67DA9">
            <w:pPr>
              <w:rPr>
                <w:rFonts w:asciiTheme="majorHAnsi" w:hAnsiTheme="majorHAnsi" w:cstheme="majorHAnsi"/>
                <w:sz w:val="24"/>
                <w:szCs w:val="24"/>
              </w:rPr>
            </w:pPr>
            <w:r w:rsidRPr="005C0AD8">
              <w:rPr>
                <w:rFonts w:asciiTheme="majorHAnsi" w:hAnsiTheme="majorHAnsi" w:cstheme="majorHAnsi"/>
                <w:sz w:val="24"/>
                <w:szCs w:val="24"/>
              </w:rPr>
              <w:t xml:space="preserve">Matěj Bajgar </w:t>
            </w:r>
          </w:p>
        </w:tc>
        <w:tc>
          <w:tcPr>
            <w:tcW w:w="2554" w:type="pct"/>
          </w:tcPr>
          <w:p w14:paraId="1E4F4993" w14:textId="77777777"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CERGE-EI</w:t>
            </w:r>
          </w:p>
        </w:tc>
      </w:tr>
      <w:tr w:rsidR="00A67DA9" w:rsidRPr="005C0AD8" w14:paraId="53F195EF" w14:textId="77777777" w:rsidTr="00A67DA9">
        <w:trPr>
          <w:jc w:val="center"/>
        </w:trPr>
        <w:tc>
          <w:tcPr>
            <w:tcW w:w="346" w:type="pct"/>
          </w:tcPr>
          <w:p w14:paraId="4BC421B9" w14:textId="30B4B52D"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14</w:t>
            </w:r>
          </w:p>
        </w:tc>
        <w:tc>
          <w:tcPr>
            <w:tcW w:w="2100" w:type="pct"/>
          </w:tcPr>
          <w:p w14:paraId="3E4E87F4" w14:textId="77777777"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 xml:space="preserve">Petr Lysý </w:t>
            </w:r>
          </w:p>
        </w:tc>
        <w:tc>
          <w:tcPr>
            <w:tcW w:w="2554" w:type="pct"/>
          </w:tcPr>
          <w:p w14:paraId="65C27BFF" w14:textId="77777777"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ÚV ČR VVI</w:t>
            </w:r>
          </w:p>
        </w:tc>
      </w:tr>
      <w:tr w:rsidR="00A67DA9" w:rsidRPr="005C0AD8" w14:paraId="0CBF9299" w14:textId="77777777" w:rsidTr="00A67DA9">
        <w:trPr>
          <w:jc w:val="center"/>
        </w:trPr>
        <w:tc>
          <w:tcPr>
            <w:tcW w:w="346" w:type="pct"/>
          </w:tcPr>
          <w:p w14:paraId="3C515901" w14:textId="1F973A2B"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15</w:t>
            </w:r>
          </w:p>
        </w:tc>
        <w:tc>
          <w:tcPr>
            <w:tcW w:w="2100" w:type="pct"/>
          </w:tcPr>
          <w:p w14:paraId="17D05A00" w14:textId="06A57E81"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 xml:space="preserve">Rut </w:t>
            </w:r>
            <w:proofErr w:type="spellStart"/>
            <w:r w:rsidRPr="005C0AD8">
              <w:rPr>
                <w:rFonts w:asciiTheme="majorHAnsi" w:hAnsiTheme="majorHAnsi" w:cstheme="majorHAnsi"/>
                <w:sz w:val="24"/>
                <w:szCs w:val="24"/>
              </w:rPr>
              <w:t>Bízková</w:t>
            </w:r>
            <w:proofErr w:type="spellEnd"/>
          </w:p>
        </w:tc>
        <w:tc>
          <w:tcPr>
            <w:tcW w:w="2554" w:type="pct"/>
          </w:tcPr>
          <w:p w14:paraId="2F197549" w14:textId="7AA74BBF"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 xml:space="preserve">Expertka </w:t>
            </w:r>
            <w:proofErr w:type="spellStart"/>
            <w:r w:rsidRPr="005C0AD8">
              <w:rPr>
                <w:rFonts w:asciiTheme="majorHAnsi" w:hAnsiTheme="majorHAnsi" w:cstheme="majorHAnsi"/>
                <w:sz w:val="24"/>
                <w:szCs w:val="24"/>
              </w:rPr>
              <w:t>VaV</w:t>
            </w:r>
            <w:proofErr w:type="spellEnd"/>
          </w:p>
        </w:tc>
      </w:tr>
      <w:tr w:rsidR="00A67DA9" w:rsidRPr="005C0AD8" w14:paraId="04855D97" w14:textId="77777777" w:rsidTr="00A67DA9">
        <w:trPr>
          <w:jc w:val="center"/>
        </w:trPr>
        <w:tc>
          <w:tcPr>
            <w:tcW w:w="346" w:type="pct"/>
          </w:tcPr>
          <w:p w14:paraId="7611E0A4" w14:textId="079F4DA7" w:rsidR="00A67DA9" w:rsidRPr="005C0AD8" w:rsidRDefault="00A67DA9" w:rsidP="00A67DA9">
            <w:pPr>
              <w:rPr>
                <w:rFonts w:asciiTheme="majorHAnsi" w:hAnsiTheme="majorHAnsi" w:cstheme="majorHAnsi"/>
                <w:sz w:val="24"/>
                <w:szCs w:val="24"/>
              </w:rPr>
            </w:pPr>
            <w:r w:rsidRPr="005C0AD8">
              <w:rPr>
                <w:rFonts w:asciiTheme="majorHAnsi" w:hAnsiTheme="majorHAnsi" w:cstheme="majorHAnsi"/>
                <w:sz w:val="24"/>
                <w:szCs w:val="24"/>
              </w:rPr>
              <w:t>16</w:t>
            </w:r>
          </w:p>
        </w:tc>
        <w:tc>
          <w:tcPr>
            <w:tcW w:w="2100" w:type="pct"/>
          </w:tcPr>
          <w:p w14:paraId="26E3E638" w14:textId="32D02A55" w:rsidR="00A67DA9" w:rsidRPr="00A67DA9"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A67DA9">
              <w:rPr>
                <w:rFonts w:asciiTheme="majorHAnsi" w:hAnsiTheme="majorHAnsi" w:cstheme="majorHAnsi"/>
                <w:sz w:val="24"/>
                <w:szCs w:val="24"/>
              </w:rPr>
              <w:t>Petr Mašek</w:t>
            </w:r>
          </w:p>
        </w:tc>
        <w:tc>
          <w:tcPr>
            <w:tcW w:w="2554" w:type="pct"/>
          </w:tcPr>
          <w:p w14:paraId="1003C8E4" w14:textId="299B22FC" w:rsidR="00A67DA9" w:rsidRPr="00A67DA9"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proofErr w:type="spellStart"/>
            <w:r w:rsidRPr="00A67DA9">
              <w:rPr>
                <w:rFonts w:asciiTheme="majorHAnsi" w:hAnsiTheme="majorHAnsi" w:cstheme="majorHAnsi"/>
                <w:sz w:val="24"/>
                <w:szCs w:val="24"/>
              </w:rPr>
              <w:t>PwC</w:t>
            </w:r>
            <w:proofErr w:type="spellEnd"/>
          </w:p>
        </w:tc>
      </w:tr>
      <w:tr w:rsidR="00A67DA9" w:rsidRPr="005C0AD8" w14:paraId="14B18D04" w14:textId="77777777" w:rsidTr="00A67DA9">
        <w:trPr>
          <w:jc w:val="center"/>
        </w:trPr>
        <w:tc>
          <w:tcPr>
            <w:tcW w:w="346" w:type="pct"/>
          </w:tcPr>
          <w:p w14:paraId="0B6427AD" w14:textId="0572C4D5" w:rsidR="00A67DA9" w:rsidRPr="005C0AD8" w:rsidRDefault="00A67DA9" w:rsidP="00A67DA9">
            <w:pPr>
              <w:rPr>
                <w:rFonts w:asciiTheme="majorHAnsi" w:hAnsiTheme="majorHAnsi" w:cstheme="majorHAnsi"/>
                <w:sz w:val="24"/>
                <w:szCs w:val="24"/>
              </w:rPr>
            </w:pPr>
            <w:bookmarkStart w:id="0" w:name="_Hlk111139162"/>
            <w:r w:rsidRPr="005C0AD8">
              <w:rPr>
                <w:rFonts w:asciiTheme="majorHAnsi" w:hAnsiTheme="majorHAnsi" w:cstheme="majorHAnsi"/>
                <w:sz w:val="24"/>
                <w:szCs w:val="24"/>
              </w:rPr>
              <w:t>17</w:t>
            </w:r>
          </w:p>
        </w:tc>
        <w:tc>
          <w:tcPr>
            <w:tcW w:w="2100" w:type="pct"/>
          </w:tcPr>
          <w:p w14:paraId="1C52C5B5" w14:textId="77777777"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 xml:space="preserve">Jiří Nesrovnal </w:t>
            </w:r>
          </w:p>
        </w:tc>
        <w:tc>
          <w:tcPr>
            <w:tcW w:w="2554" w:type="pct"/>
          </w:tcPr>
          <w:p w14:paraId="2E776A86" w14:textId="77777777"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sz w:val="24"/>
                <w:szCs w:val="24"/>
              </w:rPr>
            </w:pPr>
            <w:r w:rsidRPr="005C0AD8">
              <w:rPr>
                <w:rFonts w:asciiTheme="majorHAnsi" w:hAnsiTheme="majorHAnsi" w:cstheme="majorHAnsi"/>
                <w:sz w:val="24"/>
                <w:szCs w:val="24"/>
              </w:rPr>
              <w:t>Komora daňových poradců ČR</w:t>
            </w:r>
          </w:p>
        </w:tc>
      </w:tr>
      <w:bookmarkEnd w:id="0"/>
      <w:tr w:rsidR="00A67DA9" w:rsidRPr="005C0AD8" w14:paraId="2197A2A0" w14:textId="77777777" w:rsidTr="00A67DA9">
        <w:trPr>
          <w:jc w:val="center"/>
        </w:trPr>
        <w:tc>
          <w:tcPr>
            <w:tcW w:w="346" w:type="pct"/>
          </w:tcPr>
          <w:p w14:paraId="7A7B99C8" w14:textId="1EF5C598" w:rsidR="00A67DA9" w:rsidRPr="005C0AD8" w:rsidRDefault="00A67DA9" w:rsidP="00A67DA9">
            <w:pPr>
              <w:rPr>
                <w:rFonts w:asciiTheme="majorHAnsi" w:hAnsiTheme="majorHAnsi" w:cstheme="majorHAnsi"/>
                <w:sz w:val="24"/>
                <w:szCs w:val="24"/>
              </w:rPr>
            </w:pPr>
            <w:r w:rsidRPr="005C0AD8">
              <w:rPr>
                <w:rFonts w:asciiTheme="majorHAnsi" w:hAnsiTheme="majorHAnsi" w:cstheme="majorHAnsi"/>
                <w:sz w:val="24"/>
                <w:szCs w:val="24"/>
              </w:rPr>
              <w:t>18</w:t>
            </w:r>
          </w:p>
        </w:tc>
        <w:tc>
          <w:tcPr>
            <w:tcW w:w="2100" w:type="pct"/>
          </w:tcPr>
          <w:p w14:paraId="72C78ADC" w14:textId="77777777"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 xml:space="preserve">Michal Pluta </w:t>
            </w:r>
          </w:p>
        </w:tc>
        <w:tc>
          <w:tcPr>
            <w:tcW w:w="2554" w:type="pct"/>
          </w:tcPr>
          <w:p w14:paraId="6C2707D7" w14:textId="77777777"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sz w:val="24"/>
                <w:szCs w:val="24"/>
              </w:rPr>
            </w:pPr>
            <w:r w:rsidRPr="005C0AD8">
              <w:rPr>
                <w:rFonts w:asciiTheme="majorHAnsi" w:hAnsiTheme="majorHAnsi" w:cstheme="majorHAnsi"/>
                <w:sz w:val="24"/>
                <w:szCs w:val="24"/>
              </w:rPr>
              <w:t>Národní rozvojová banka</w:t>
            </w:r>
          </w:p>
        </w:tc>
      </w:tr>
      <w:tr w:rsidR="00A67DA9" w:rsidRPr="005C0AD8" w14:paraId="32BF63DB" w14:textId="77777777" w:rsidTr="00A67DA9">
        <w:trPr>
          <w:jc w:val="center"/>
        </w:trPr>
        <w:tc>
          <w:tcPr>
            <w:tcW w:w="346" w:type="pct"/>
          </w:tcPr>
          <w:p w14:paraId="51469683" w14:textId="55AA241F" w:rsidR="00A67DA9" w:rsidRPr="005C0AD8" w:rsidRDefault="00A67DA9" w:rsidP="00A67DA9">
            <w:pPr>
              <w:rPr>
                <w:rFonts w:asciiTheme="majorHAnsi" w:hAnsiTheme="majorHAnsi" w:cstheme="majorHAnsi"/>
                <w:sz w:val="24"/>
                <w:szCs w:val="24"/>
              </w:rPr>
            </w:pPr>
            <w:r w:rsidRPr="005C0AD8">
              <w:rPr>
                <w:rFonts w:asciiTheme="majorHAnsi" w:hAnsiTheme="majorHAnsi" w:cstheme="majorHAnsi"/>
                <w:sz w:val="24"/>
                <w:szCs w:val="24"/>
              </w:rPr>
              <w:t>19</w:t>
            </w:r>
          </w:p>
        </w:tc>
        <w:tc>
          <w:tcPr>
            <w:tcW w:w="2100" w:type="pct"/>
          </w:tcPr>
          <w:p w14:paraId="1C08F6E2" w14:textId="77777777"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 xml:space="preserve">Martin </w:t>
            </w:r>
            <w:proofErr w:type="spellStart"/>
            <w:r w:rsidRPr="005C0AD8">
              <w:rPr>
                <w:rFonts w:asciiTheme="majorHAnsi" w:hAnsiTheme="majorHAnsi" w:cstheme="majorHAnsi"/>
                <w:sz w:val="24"/>
                <w:szCs w:val="24"/>
              </w:rPr>
              <w:t>Švolba</w:t>
            </w:r>
            <w:proofErr w:type="spellEnd"/>
            <w:r w:rsidRPr="005C0AD8">
              <w:rPr>
                <w:rFonts w:asciiTheme="majorHAnsi" w:hAnsiTheme="majorHAnsi" w:cstheme="majorHAnsi"/>
                <w:sz w:val="24"/>
                <w:szCs w:val="24"/>
              </w:rPr>
              <w:t xml:space="preserve"> </w:t>
            </w:r>
          </w:p>
        </w:tc>
        <w:tc>
          <w:tcPr>
            <w:tcW w:w="2554" w:type="pct"/>
          </w:tcPr>
          <w:p w14:paraId="1EF40708" w14:textId="77777777"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sz w:val="24"/>
                <w:szCs w:val="24"/>
              </w:rPr>
            </w:pPr>
            <w:r w:rsidRPr="005C0AD8">
              <w:rPr>
                <w:rFonts w:asciiTheme="majorHAnsi" w:hAnsiTheme="majorHAnsi" w:cstheme="majorHAnsi"/>
                <w:sz w:val="24"/>
                <w:szCs w:val="24"/>
              </w:rPr>
              <w:t>MPO</w:t>
            </w:r>
          </w:p>
        </w:tc>
      </w:tr>
      <w:tr w:rsidR="00A67DA9" w:rsidRPr="005C0AD8" w14:paraId="6F0BED7A" w14:textId="77777777" w:rsidTr="00A67DA9">
        <w:trPr>
          <w:jc w:val="center"/>
        </w:trPr>
        <w:tc>
          <w:tcPr>
            <w:tcW w:w="346" w:type="pct"/>
          </w:tcPr>
          <w:p w14:paraId="736698F4" w14:textId="7B38932C" w:rsidR="00A67DA9" w:rsidRPr="005C0AD8" w:rsidRDefault="00A67DA9" w:rsidP="00A67DA9">
            <w:pPr>
              <w:rPr>
                <w:rFonts w:asciiTheme="majorHAnsi" w:hAnsiTheme="majorHAnsi" w:cstheme="majorHAnsi"/>
                <w:sz w:val="24"/>
                <w:szCs w:val="24"/>
              </w:rPr>
            </w:pPr>
            <w:r w:rsidRPr="005C0AD8">
              <w:rPr>
                <w:rFonts w:asciiTheme="majorHAnsi" w:hAnsiTheme="majorHAnsi" w:cstheme="majorHAnsi"/>
                <w:sz w:val="24"/>
                <w:szCs w:val="24"/>
              </w:rPr>
              <w:t>20</w:t>
            </w:r>
          </w:p>
        </w:tc>
        <w:tc>
          <w:tcPr>
            <w:tcW w:w="2100" w:type="pct"/>
          </w:tcPr>
          <w:p w14:paraId="4206C506" w14:textId="77777777" w:rsidR="00A67DA9" w:rsidRPr="005C0AD8" w:rsidRDefault="00A67DA9" w:rsidP="00A67DA9">
            <w:pPr>
              <w:tabs>
                <w:tab w:val="left" w:pos="720"/>
                <w:tab w:val="left" w:pos="1033"/>
                <w:tab w:val="left" w:pos="1440"/>
                <w:tab w:val="left" w:pos="2160"/>
                <w:tab w:val="left" w:pos="2880"/>
                <w:tab w:val="left" w:pos="360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Petr Kopeček</w:t>
            </w:r>
          </w:p>
        </w:tc>
        <w:tc>
          <w:tcPr>
            <w:tcW w:w="2554" w:type="pct"/>
          </w:tcPr>
          <w:p w14:paraId="18C13EBD" w14:textId="77777777"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proofErr w:type="spellStart"/>
            <w:r w:rsidRPr="005C0AD8">
              <w:rPr>
                <w:rFonts w:asciiTheme="majorHAnsi" w:hAnsiTheme="majorHAnsi" w:cstheme="majorHAnsi"/>
                <w:sz w:val="24"/>
                <w:szCs w:val="24"/>
              </w:rPr>
              <w:t>CzechInvest</w:t>
            </w:r>
            <w:proofErr w:type="spellEnd"/>
          </w:p>
        </w:tc>
      </w:tr>
      <w:tr w:rsidR="00A67DA9" w:rsidRPr="005C0AD8" w14:paraId="4E5B8C94" w14:textId="77777777" w:rsidTr="00A67DA9">
        <w:trPr>
          <w:jc w:val="center"/>
        </w:trPr>
        <w:tc>
          <w:tcPr>
            <w:tcW w:w="346" w:type="pct"/>
          </w:tcPr>
          <w:p w14:paraId="37A24739" w14:textId="4472FDFD" w:rsidR="00A67DA9" w:rsidRPr="005C0AD8" w:rsidRDefault="00A67DA9" w:rsidP="00A67DA9">
            <w:pPr>
              <w:rPr>
                <w:rFonts w:asciiTheme="majorHAnsi" w:hAnsiTheme="majorHAnsi" w:cstheme="majorHAnsi"/>
                <w:sz w:val="24"/>
                <w:szCs w:val="24"/>
              </w:rPr>
            </w:pPr>
            <w:r w:rsidRPr="005C0AD8">
              <w:rPr>
                <w:rFonts w:asciiTheme="majorHAnsi" w:hAnsiTheme="majorHAnsi" w:cstheme="majorHAnsi"/>
                <w:sz w:val="24"/>
                <w:szCs w:val="24"/>
              </w:rPr>
              <w:t>21</w:t>
            </w:r>
          </w:p>
        </w:tc>
        <w:tc>
          <w:tcPr>
            <w:tcW w:w="2100" w:type="pct"/>
          </w:tcPr>
          <w:p w14:paraId="679330BE" w14:textId="77777777"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r w:rsidRPr="005C0AD8">
              <w:rPr>
                <w:rFonts w:asciiTheme="majorHAnsi" w:hAnsiTheme="majorHAnsi" w:cstheme="majorHAnsi"/>
                <w:sz w:val="24"/>
                <w:szCs w:val="24"/>
              </w:rPr>
              <w:t xml:space="preserve">Tomáš </w:t>
            </w:r>
            <w:proofErr w:type="spellStart"/>
            <w:r w:rsidRPr="005C0AD8">
              <w:rPr>
                <w:rFonts w:asciiTheme="majorHAnsi" w:hAnsiTheme="majorHAnsi" w:cstheme="majorHAnsi"/>
                <w:sz w:val="24"/>
                <w:szCs w:val="24"/>
              </w:rPr>
              <w:t>Sohlich</w:t>
            </w:r>
            <w:proofErr w:type="spellEnd"/>
          </w:p>
        </w:tc>
        <w:tc>
          <w:tcPr>
            <w:tcW w:w="2554" w:type="pct"/>
          </w:tcPr>
          <w:p w14:paraId="14C1DD77" w14:textId="77777777" w:rsidR="00A67DA9" w:rsidRPr="005C0AD8" w:rsidRDefault="00A67DA9" w:rsidP="00A67DA9">
            <w:pPr>
              <w:tabs>
                <w:tab w:val="left" w:pos="-720"/>
                <w:tab w:val="left" w:pos="0"/>
                <w:tab w:val="left" w:pos="720"/>
                <w:tab w:val="left" w:pos="1440"/>
                <w:tab w:val="left" w:pos="2160"/>
                <w:tab w:val="left" w:pos="2880"/>
                <w:tab w:val="left" w:pos="3600"/>
                <w:tab w:val="left" w:pos="4320"/>
              </w:tabs>
              <w:autoSpaceDE w:val="0"/>
              <w:autoSpaceDN w:val="0"/>
              <w:adjustRightInd w:val="0"/>
              <w:rPr>
                <w:rFonts w:asciiTheme="majorHAnsi" w:hAnsiTheme="majorHAnsi" w:cstheme="majorHAnsi"/>
                <w:sz w:val="24"/>
                <w:szCs w:val="24"/>
              </w:rPr>
            </w:pPr>
            <w:proofErr w:type="spellStart"/>
            <w:r w:rsidRPr="005C0AD8">
              <w:rPr>
                <w:rFonts w:asciiTheme="majorHAnsi" w:hAnsiTheme="majorHAnsi" w:cstheme="majorHAnsi"/>
                <w:sz w:val="24"/>
                <w:szCs w:val="24"/>
              </w:rPr>
              <w:t>CzechInvest</w:t>
            </w:r>
            <w:proofErr w:type="spellEnd"/>
          </w:p>
        </w:tc>
      </w:tr>
    </w:tbl>
    <w:p w14:paraId="28AD65C4" w14:textId="4484B6A8" w:rsidR="00DC32C2" w:rsidRDefault="00DC32C2">
      <w:r>
        <w:br w:type="page"/>
      </w:r>
    </w:p>
    <w:p w14:paraId="6B27A361" w14:textId="670D0F30" w:rsidR="006A7703" w:rsidRDefault="006A7703" w:rsidP="006A7703">
      <w:pPr>
        <w:pStyle w:val="Nadpis1"/>
        <w:numPr>
          <w:ilvl w:val="0"/>
          <w:numId w:val="2"/>
        </w:numPr>
        <w:spacing w:after="240"/>
        <w:ind w:left="567" w:hanging="567"/>
        <w:rPr>
          <w:rFonts w:eastAsia="Calibri"/>
          <w:b/>
          <w:sz w:val="40"/>
          <w:szCs w:val="40"/>
        </w:rPr>
      </w:pPr>
      <w:r w:rsidRPr="006A7703">
        <w:rPr>
          <w:rFonts w:eastAsia="Calibri"/>
          <w:b/>
          <w:sz w:val="40"/>
          <w:szCs w:val="40"/>
        </w:rPr>
        <w:lastRenderedPageBreak/>
        <w:t>Cíle pracovní skupiny PSDO</w:t>
      </w:r>
      <w:r w:rsidR="00234969">
        <w:rPr>
          <w:rFonts w:eastAsia="Calibri"/>
          <w:b/>
          <w:sz w:val="40"/>
          <w:szCs w:val="40"/>
        </w:rPr>
        <w:t xml:space="preserve"> 2022</w:t>
      </w:r>
    </w:p>
    <w:p w14:paraId="7B4F91BB" w14:textId="554DB489" w:rsidR="006A7703" w:rsidRPr="006A7703" w:rsidRDefault="006A7703" w:rsidP="00234969">
      <w:pPr>
        <w:jc w:val="both"/>
        <w:rPr>
          <w:sz w:val="24"/>
          <w:szCs w:val="24"/>
        </w:rPr>
      </w:pPr>
      <w:r w:rsidRPr="006A7703">
        <w:rPr>
          <w:sz w:val="24"/>
          <w:szCs w:val="24"/>
        </w:rPr>
        <w:t>PSDO</w:t>
      </w:r>
      <w:r w:rsidR="0068192A">
        <w:rPr>
          <w:sz w:val="24"/>
          <w:szCs w:val="24"/>
        </w:rPr>
        <w:t xml:space="preserve"> 2022</w:t>
      </w:r>
      <w:r w:rsidRPr="006A7703">
        <w:rPr>
          <w:sz w:val="24"/>
          <w:szCs w:val="24"/>
        </w:rPr>
        <w:t xml:space="preserve"> si na svém prvním jednání dne 23. 9. 2022</w:t>
      </w:r>
      <w:r w:rsidR="00700DFF">
        <w:rPr>
          <w:sz w:val="24"/>
          <w:szCs w:val="24"/>
        </w:rPr>
        <w:t xml:space="preserve"> stanovila cíle své činnosti</w:t>
      </w:r>
      <w:r w:rsidRPr="006A7703">
        <w:rPr>
          <w:sz w:val="24"/>
          <w:szCs w:val="24"/>
        </w:rPr>
        <w:t xml:space="preserve">, které byly předloženy </w:t>
      </w:r>
      <w:r>
        <w:rPr>
          <w:sz w:val="24"/>
          <w:szCs w:val="24"/>
        </w:rPr>
        <w:t>na 382. zasedání</w:t>
      </w:r>
      <w:r w:rsidRPr="0014611A">
        <w:rPr>
          <w:sz w:val="24"/>
          <w:szCs w:val="24"/>
        </w:rPr>
        <w:t xml:space="preserve"> Rad</w:t>
      </w:r>
      <w:r>
        <w:rPr>
          <w:sz w:val="24"/>
          <w:szCs w:val="24"/>
        </w:rPr>
        <w:t>y</w:t>
      </w:r>
      <w:r w:rsidRPr="0014611A">
        <w:rPr>
          <w:sz w:val="24"/>
          <w:szCs w:val="24"/>
        </w:rPr>
        <w:t xml:space="preserve"> </w:t>
      </w:r>
      <w:r>
        <w:rPr>
          <w:sz w:val="24"/>
          <w:szCs w:val="24"/>
        </w:rPr>
        <w:t>30. </w:t>
      </w:r>
      <w:r w:rsidRPr="0014611A">
        <w:rPr>
          <w:sz w:val="24"/>
          <w:szCs w:val="24"/>
        </w:rPr>
        <w:t>září 2022</w:t>
      </w:r>
      <w:r w:rsidR="00234969">
        <w:rPr>
          <w:sz w:val="24"/>
          <w:szCs w:val="24"/>
        </w:rPr>
        <w:t>, a níže je uveden přehled aktuálního plnění cílů. Jednotlivé cíle se v rámci činnosti PSDO 2022 dělí na další dílčí úkoly s určenými nositeli plnění.</w:t>
      </w:r>
    </w:p>
    <w:p w14:paraId="09DB01E2" w14:textId="2B21410A" w:rsidR="006A7703" w:rsidRDefault="006A7703" w:rsidP="006A7703"/>
    <w:p w14:paraId="35C8EE88" w14:textId="77777777" w:rsidR="006A7703" w:rsidRDefault="006A7703" w:rsidP="006A7703"/>
    <w:tbl>
      <w:tblPr>
        <w:tblStyle w:val="Mkatabulky"/>
        <w:tblW w:w="9622" w:type="dxa"/>
        <w:jc w:val="center"/>
        <w:tblLook w:val="04A0" w:firstRow="1" w:lastRow="0" w:firstColumn="1" w:lastColumn="0" w:noHBand="0" w:noVBand="1"/>
      </w:tblPr>
      <w:tblGrid>
        <w:gridCol w:w="1127"/>
        <w:gridCol w:w="6518"/>
        <w:gridCol w:w="1977"/>
      </w:tblGrid>
      <w:tr w:rsidR="006A7703" w14:paraId="20C18D20" w14:textId="77777777" w:rsidTr="00F660D2">
        <w:trPr>
          <w:trHeight w:val="465"/>
          <w:jc w:val="center"/>
        </w:trPr>
        <w:tc>
          <w:tcPr>
            <w:tcW w:w="1127" w:type="dxa"/>
            <w:shd w:val="clear" w:color="auto" w:fill="BDD6EE" w:themeFill="accent1" w:themeFillTint="66"/>
            <w:vAlign w:val="center"/>
          </w:tcPr>
          <w:p w14:paraId="5798D809" w14:textId="77777777" w:rsidR="006A7703" w:rsidRPr="00F258E2" w:rsidRDefault="006A7703" w:rsidP="00F660D2">
            <w:pPr>
              <w:jc w:val="center"/>
              <w:rPr>
                <w:b/>
                <w:sz w:val="24"/>
              </w:rPr>
            </w:pPr>
            <w:r w:rsidRPr="00F258E2">
              <w:rPr>
                <w:b/>
                <w:sz w:val="24"/>
              </w:rPr>
              <w:t>Pořadí</w:t>
            </w:r>
          </w:p>
        </w:tc>
        <w:tc>
          <w:tcPr>
            <w:tcW w:w="6518" w:type="dxa"/>
            <w:shd w:val="clear" w:color="auto" w:fill="BDD6EE" w:themeFill="accent1" w:themeFillTint="66"/>
            <w:vAlign w:val="center"/>
          </w:tcPr>
          <w:p w14:paraId="1DA4C449" w14:textId="77777777" w:rsidR="006A7703" w:rsidRPr="00F258E2" w:rsidRDefault="006A7703" w:rsidP="00F660D2">
            <w:pPr>
              <w:jc w:val="center"/>
              <w:rPr>
                <w:b/>
                <w:sz w:val="24"/>
              </w:rPr>
            </w:pPr>
            <w:r w:rsidRPr="00F258E2">
              <w:rPr>
                <w:b/>
                <w:sz w:val="24"/>
              </w:rPr>
              <w:t>Popis cíle</w:t>
            </w:r>
          </w:p>
        </w:tc>
        <w:tc>
          <w:tcPr>
            <w:tcW w:w="1977" w:type="dxa"/>
            <w:shd w:val="clear" w:color="auto" w:fill="BDD6EE" w:themeFill="accent1" w:themeFillTint="66"/>
            <w:vAlign w:val="center"/>
          </w:tcPr>
          <w:p w14:paraId="550AF764" w14:textId="77777777" w:rsidR="006A7703" w:rsidRPr="00F258E2" w:rsidRDefault="006A7703" w:rsidP="00F660D2">
            <w:pPr>
              <w:jc w:val="center"/>
              <w:rPr>
                <w:b/>
                <w:sz w:val="24"/>
              </w:rPr>
            </w:pPr>
            <w:r w:rsidRPr="00F258E2">
              <w:rPr>
                <w:b/>
                <w:sz w:val="24"/>
              </w:rPr>
              <w:t>Stav</w:t>
            </w:r>
          </w:p>
        </w:tc>
      </w:tr>
      <w:tr w:rsidR="006A7703" w14:paraId="1CB6B1E1" w14:textId="77777777" w:rsidTr="00F660D2">
        <w:trPr>
          <w:trHeight w:val="465"/>
          <w:jc w:val="center"/>
        </w:trPr>
        <w:tc>
          <w:tcPr>
            <w:tcW w:w="1127" w:type="dxa"/>
            <w:vAlign w:val="center"/>
          </w:tcPr>
          <w:p w14:paraId="3C4FB747" w14:textId="77777777" w:rsidR="006A7703" w:rsidRPr="004F70F7" w:rsidRDefault="006A7703" w:rsidP="00F660D2">
            <w:pPr>
              <w:jc w:val="center"/>
              <w:rPr>
                <w:b/>
                <w:sz w:val="24"/>
              </w:rPr>
            </w:pPr>
            <w:r w:rsidRPr="004F70F7">
              <w:rPr>
                <w:b/>
                <w:sz w:val="24"/>
              </w:rPr>
              <w:t>Cíl č. 1</w:t>
            </w:r>
          </w:p>
        </w:tc>
        <w:tc>
          <w:tcPr>
            <w:tcW w:w="6518" w:type="dxa"/>
            <w:vAlign w:val="center"/>
          </w:tcPr>
          <w:p w14:paraId="5936F08A" w14:textId="77777777" w:rsidR="006A7703" w:rsidRPr="004F70F7" w:rsidRDefault="006A7703" w:rsidP="00F660D2">
            <w:pPr>
              <w:jc w:val="both"/>
              <w:rPr>
                <w:sz w:val="24"/>
              </w:rPr>
            </w:pPr>
            <w:r w:rsidRPr="0085710D">
              <w:rPr>
                <w:b/>
                <w:sz w:val="24"/>
              </w:rPr>
              <w:t>Vyhodnocení důsledků změn</w:t>
            </w:r>
            <w:r>
              <w:rPr>
                <w:sz w:val="24"/>
              </w:rPr>
              <w:t xml:space="preserve"> § 34 zákona o dani z příjmu a </w:t>
            </w:r>
            <w:r w:rsidRPr="004F70F7">
              <w:rPr>
                <w:sz w:val="24"/>
              </w:rPr>
              <w:t xml:space="preserve">pokynu Ministerstva financí č. MF-17 k jednotnému postupu při uplatňování ustanovení § 34 odst. 4 a 5 zákona č. 586/1992 Sb., o daních z příjmů, ve znění zákona č. 80/2019 Sb. a pozdějších předpisů </w:t>
            </w:r>
            <w:r>
              <w:rPr>
                <w:sz w:val="24"/>
              </w:rPr>
              <w:t xml:space="preserve">uplatněných v roce </w:t>
            </w:r>
            <w:r w:rsidRPr="004F70F7">
              <w:rPr>
                <w:sz w:val="24"/>
              </w:rPr>
              <w:t>2019, a tyto informace doplnit o statistické údaje Českého statistického úřadu a OECD.</w:t>
            </w:r>
          </w:p>
        </w:tc>
        <w:tc>
          <w:tcPr>
            <w:tcW w:w="1977" w:type="dxa"/>
            <w:vAlign w:val="center"/>
          </w:tcPr>
          <w:p w14:paraId="2BB6BE7E" w14:textId="77777777" w:rsidR="006A7703" w:rsidRPr="004F70F7" w:rsidRDefault="006A7703" w:rsidP="00F660D2">
            <w:pPr>
              <w:jc w:val="center"/>
              <w:rPr>
                <w:b/>
                <w:sz w:val="24"/>
              </w:rPr>
            </w:pPr>
            <w:r>
              <w:rPr>
                <w:b/>
                <w:sz w:val="24"/>
              </w:rPr>
              <w:t>Splněno</w:t>
            </w:r>
          </w:p>
        </w:tc>
      </w:tr>
      <w:tr w:rsidR="006A7703" w14:paraId="639DDF62" w14:textId="77777777" w:rsidTr="00F660D2">
        <w:trPr>
          <w:trHeight w:val="465"/>
          <w:jc w:val="center"/>
        </w:trPr>
        <w:tc>
          <w:tcPr>
            <w:tcW w:w="1127" w:type="dxa"/>
            <w:vAlign w:val="center"/>
          </w:tcPr>
          <w:p w14:paraId="27D2D0DE" w14:textId="77777777" w:rsidR="006A7703" w:rsidRPr="004F70F7" w:rsidRDefault="006A7703" w:rsidP="00F660D2">
            <w:pPr>
              <w:jc w:val="center"/>
              <w:rPr>
                <w:b/>
                <w:sz w:val="24"/>
              </w:rPr>
            </w:pPr>
            <w:r w:rsidRPr="004F70F7">
              <w:rPr>
                <w:b/>
                <w:sz w:val="24"/>
              </w:rPr>
              <w:t>Cíl č. 2</w:t>
            </w:r>
          </w:p>
        </w:tc>
        <w:tc>
          <w:tcPr>
            <w:tcW w:w="6518" w:type="dxa"/>
            <w:vAlign w:val="center"/>
          </w:tcPr>
          <w:p w14:paraId="5DA39D1A" w14:textId="77777777" w:rsidR="006A7703" w:rsidRPr="004F70F7" w:rsidRDefault="006A7703" w:rsidP="00F660D2">
            <w:pPr>
              <w:jc w:val="both"/>
              <w:rPr>
                <w:sz w:val="24"/>
              </w:rPr>
            </w:pPr>
            <w:r w:rsidRPr="0085710D">
              <w:rPr>
                <w:b/>
                <w:sz w:val="24"/>
              </w:rPr>
              <w:t xml:space="preserve">Zdůvodnění snížení využívání daňových odpočtů na </w:t>
            </w:r>
            <w:proofErr w:type="spellStart"/>
            <w:r w:rsidRPr="0085710D">
              <w:rPr>
                <w:b/>
                <w:sz w:val="24"/>
              </w:rPr>
              <w:t>VaV</w:t>
            </w:r>
            <w:proofErr w:type="spellEnd"/>
            <w:r w:rsidRPr="004F70F7">
              <w:rPr>
                <w:sz w:val="24"/>
              </w:rPr>
              <w:t xml:space="preserve"> a snížení počtu subjektů využívajících tuto nepřímou podporu</w:t>
            </w:r>
            <w:r>
              <w:rPr>
                <w:sz w:val="24"/>
              </w:rPr>
              <w:t xml:space="preserve"> a </w:t>
            </w:r>
            <w:r w:rsidRPr="00CE49F0">
              <w:rPr>
                <w:b/>
                <w:sz w:val="24"/>
              </w:rPr>
              <w:t>návrhy řešení vedoucích k zlepšení stavu.</w:t>
            </w:r>
          </w:p>
        </w:tc>
        <w:tc>
          <w:tcPr>
            <w:tcW w:w="1977" w:type="dxa"/>
            <w:vAlign w:val="center"/>
          </w:tcPr>
          <w:p w14:paraId="68CEE115" w14:textId="77777777" w:rsidR="006A7703" w:rsidRPr="004F70F7" w:rsidRDefault="006A7703" w:rsidP="00F660D2">
            <w:pPr>
              <w:jc w:val="center"/>
              <w:rPr>
                <w:b/>
                <w:sz w:val="24"/>
              </w:rPr>
            </w:pPr>
            <w:r>
              <w:rPr>
                <w:b/>
                <w:sz w:val="24"/>
              </w:rPr>
              <w:t>Částečně splněno</w:t>
            </w:r>
          </w:p>
        </w:tc>
      </w:tr>
      <w:tr w:rsidR="006A7703" w14:paraId="06B77E9F" w14:textId="77777777" w:rsidTr="00F660D2">
        <w:trPr>
          <w:trHeight w:val="465"/>
          <w:jc w:val="center"/>
        </w:trPr>
        <w:tc>
          <w:tcPr>
            <w:tcW w:w="1127" w:type="dxa"/>
            <w:vAlign w:val="center"/>
          </w:tcPr>
          <w:p w14:paraId="3A8F9D00" w14:textId="77777777" w:rsidR="006A7703" w:rsidRPr="004F70F7" w:rsidRDefault="006A7703" w:rsidP="00F660D2">
            <w:pPr>
              <w:jc w:val="center"/>
              <w:rPr>
                <w:b/>
                <w:sz w:val="24"/>
              </w:rPr>
            </w:pPr>
            <w:r w:rsidRPr="004F70F7">
              <w:rPr>
                <w:b/>
                <w:sz w:val="24"/>
              </w:rPr>
              <w:t>Cíl č. 3</w:t>
            </w:r>
          </w:p>
        </w:tc>
        <w:tc>
          <w:tcPr>
            <w:tcW w:w="6518" w:type="dxa"/>
            <w:vAlign w:val="center"/>
          </w:tcPr>
          <w:p w14:paraId="3286E025" w14:textId="77777777" w:rsidR="006A7703" w:rsidRPr="004F70F7" w:rsidRDefault="006A7703" w:rsidP="00F660D2">
            <w:pPr>
              <w:jc w:val="both"/>
              <w:rPr>
                <w:sz w:val="24"/>
              </w:rPr>
            </w:pPr>
            <w:r w:rsidRPr="0085710D">
              <w:rPr>
                <w:b/>
                <w:sz w:val="24"/>
              </w:rPr>
              <w:t>Urče</w:t>
            </w:r>
            <w:r>
              <w:rPr>
                <w:b/>
                <w:sz w:val="24"/>
              </w:rPr>
              <w:t>ní zásadních statistických ukazatelů</w:t>
            </w:r>
            <w:r w:rsidRPr="004F70F7">
              <w:rPr>
                <w:sz w:val="24"/>
              </w:rPr>
              <w:t>, které bude nutné sledovat pro vyhodnocení vývoje tohoto druhu nepřímé podpory v dalších letech.</w:t>
            </w:r>
          </w:p>
        </w:tc>
        <w:tc>
          <w:tcPr>
            <w:tcW w:w="1977" w:type="dxa"/>
            <w:vAlign w:val="center"/>
          </w:tcPr>
          <w:p w14:paraId="7B51A86E" w14:textId="2DAA1C51" w:rsidR="006A7703" w:rsidRPr="004F70F7" w:rsidRDefault="0068192A" w:rsidP="0068192A">
            <w:pPr>
              <w:jc w:val="center"/>
              <w:rPr>
                <w:b/>
                <w:sz w:val="24"/>
              </w:rPr>
            </w:pPr>
            <w:r>
              <w:rPr>
                <w:b/>
                <w:sz w:val="24"/>
              </w:rPr>
              <w:t>Částečně splněno / dále v</w:t>
            </w:r>
            <w:r w:rsidR="006A7703" w:rsidRPr="004F70F7">
              <w:rPr>
                <w:b/>
                <w:sz w:val="24"/>
              </w:rPr>
              <w:t xml:space="preserve"> řešení</w:t>
            </w:r>
          </w:p>
        </w:tc>
      </w:tr>
      <w:tr w:rsidR="006A7703" w14:paraId="156229E3" w14:textId="77777777" w:rsidTr="00F660D2">
        <w:trPr>
          <w:trHeight w:val="465"/>
          <w:jc w:val="center"/>
        </w:trPr>
        <w:tc>
          <w:tcPr>
            <w:tcW w:w="1127" w:type="dxa"/>
            <w:vAlign w:val="center"/>
          </w:tcPr>
          <w:p w14:paraId="48815A93" w14:textId="77777777" w:rsidR="006A7703" w:rsidRPr="004F70F7" w:rsidRDefault="006A7703" w:rsidP="00F660D2">
            <w:pPr>
              <w:jc w:val="center"/>
              <w:rPr>
                <w:b/>
                <w:sz w:val="24"/>
              </w:rPr>
            </w:pPr>
            <w:r>
              <w:rPr>
                <w:b/>
                <w:sz w:val="24"/>
              </w:rPr>
              <w:t>Cíl č. 4</w:t>
            </w:r>
          </w:p>
        </w:tc>
        <w:tc>
          <w:tcPr>
            <w:tcW w:w="6518" w:type="dxa"/>
            <w:vAlign w:val="center"/>
          </w:tcPr>
          <w:p w14:paraId="257C97D0" w14:textId="77777777" w:rsidR="006A7703" w:rsidRPr="004F70F7" w:rsidRDefault="006A7703" w:rsidP="00F660D2">
            <w:pPr>
              <w:jc w:val="both"/>
              <w:rPr>
                <w:sz w:val="24"/>
              </w:rPr>
            </w:pPr>
            <w:r w:rsidRPr="000A0D63">
              <w:rPr>
                <w:b/>
                <w:sz w:val="24"/>
              </w:rPr>
              <w:t>Zmapování finančních nástrojů</w:t>
            </w:r>
            <w:r>
              <w:rPr>
                <w:sz w:val="24"/>
              </w:rPr>
              <w:t xml:space="preserve"> využitelných pro podporu </w:t>
            </w:r>
            <w:proofErr w:type="spellStart"/>
            <w:r>
              <w:rPr>
                <w:sz w:val="24"/>
              </w:rPr>
              <w:t>VaV</w:t>
            </w:r>
            <w:proofErr w:type="spellEnd"/>
            <w:r>
              <w:rPr>
                <w:sz w:val="24"/>
              </w:rPr>
              <w:t>.</w:t>
            </w:r>
          </w:p>
        </w:tc>
        <w:tc>
          <w:tcPr>
            <w:tcW w:w="1977" w:type="dxa"/>
            <w:vAlign w:val="center"/>
          </w:tcPr>
          <w:p w14:paraId="37D8DB4F" w14:textId="77777777" w:rsidR="006A7703" w:rsidRPr="004F70F7" w:rsidRDefault="006A7703" w:rsidP="00F660D2">
            <w:pPr>
              <w:jc w:val="center"/>
              <w:rPr>
                <w:sz w:val="24"/>
              </w:rPr>
            </w:pPr>
            <w:r>
              <w:rPr>
                <w:b/>
                <w:sz w:val="24"/>
              </w:rPr>
              <w:t>Splněno</w:t>
            </w:r>
          </w:p>
        </w:tc>
      </w:tr>
      <w:tr w:rsidR="006A7703" w14:paraId="47C792B9" w14:textId="77777777" w:rsidTr="00F660D2">
        <w:trPr>
          <w:trHeight w:val="465"/>
          <w:jc w:val="center"/>
        </w:trPr>
        <w:tc>
          <w:tcPr>
            <w:tcW w:w="1127" w:type="dxa"/>
            <w:vAlign w:val="center"/>
          </w:tcPr>
          <w:p w14:paraId="71EDA82D" w14:textId="77777777" w:rsidR="006A7703" w:rsidRPr="000A0D63" w:rsidRDefault="006A7703" w:rsidP="00F660D2">
            <w:pPr>
              <w:jc w:val="center"/>
              <w:rPr>
                <w:b/>
                <w:sz w:val="24"/>
              </w:rPr>
            </w:pPr>
            <w:r>
              <w:rPr>
                <w:b/>
                <w:sz w:val="24"/>
              </w:rPr>
              <w:t>Cíl č. 5</w:t>
            </w:r>
          </w:p>
        </w:tc>
        <w:tc>
          <w:tcPr>
            <w:tcW w:w="6518" w:type="dxa"/>
            <w:vAlign w:val="center"/>
          </w:tcPr>
          <w:p w14:paraId="4559C7D3" w14:textId="77777777" w:rsidR="006A7703" w:rsidRPr="000A0D63" w:rsidRDefault="006A7703" w:rsidP="00F660D2">
            <w:pPr>
              <w:jc w:val="both"/>
              <w:rPr>
                <w:b/>
                <w:sz w:val="24"/>
              </w:rPr>
            </w:pPr>
            <w:r>
              <w:rPr>
                <w:b/>
                <w:sz w:val="24"/>
              </w:rPr>
              <w:t>Identifikování</w:t>
            </w:r>
            <w:r w:rsidRPr="000A0D63">
              <w:rPr>
                <w:b/>
                <w:sz w:val="24"/>
              </w:rPr>
              <w:t xml:space="preserve"> pilotních finančních nástrojů pro </w:t>
            </w:r>
            <w:proofErr w:type="spellStart"/>
            <w:r w:rsidRPr="000A0D63">
              <w:rPr>
                <w:b/>
                <w:sz w:val="24"/>
              </w:rPr>
              <w:t>VaV</w:t>
            </w:r>
            <w:proofErr w:type="spellEnd"/>
          </w:p>
        </w:tc>
        <w:tc>
          <w:tcPr>
            <w:tcW w:w="1977" w:type="dxa"/>
            <w:vAlign w:val="center"/>
          </w:tcPr>
          <w:p w14:paraId="2053BEB3" w14:textId="77777777" w:rsidR="006A7703" w:rsidRPr="004F70F7" w:rsidRDefault="006A7703" w:rsidP="00F660D2">
            <w:pPr>
              <w:jc w:val="center"/>
              <w:rPr>
                <w:sz w:val="24"/>
              </w:rPr>
            </w:pPr>
            <w:r>
              <w:rPr>
                <w:b/>
                <w:sz w:val="24"/>
              </w:rPr>
              <w:t>V řešení</w:t>
            </w:r>
          </w:p>
        </w:tc>
      </w:tr>
    </w:tbl>
    <w:p w14:paraId="059F274B" w14:textId="22EB8414" w:rsidR="006A7703" w:rsidRDefault="006A7703" w:rsidP="006A7703"/>
    <w:p w14:paraId="4036A671" w14:textId="5E96D8B6" w:rsidR="0068192A" w:rsidRDefault="0068192A">
      <w:r>
        <w:br w:type="page"/>
      </w:r>
    </w:p>
    <w:p w14:paraId="70E7CE34" w14:textId="2EF7954E" w:rsidR="00527EF6" w:rsidRDefault="00106F56" w:rsidP="00E52E86">
      <w:pPr>
        <w:pStyle w:val="Nadpis1"/>
        <w:numPr>
          <w:ilvl w:val="0"/>
          <w:numId w:val="2"/>
        </w:numPr>
        <w:spacing w:after="240"/>
        <w:ind w:left="567" w:hanging="567"/>
        <w:rPr>
          <w:rFonts w:eastAsia="Calibri"/>
          <w:b/>
          <w:sz w:val="40"/>
          <w:szCs w:val="40"/>
        </w:rPr>
      </w:pPr>
      <w:r w:rsidRPr="00106F56">
        <w:rPr>
          <w:rFonts w:eastAsia="Calibri"/>
          <w:b/>
          <w:sz w:val="40"/>
          <w:szCs w:val="40"/>
        </w:rPr>
        <w:lastRenderedPageBreak/>
        <w:t>Problematika daňových odpočtů na výzkum a vývoj</w:t>
      </w:r>
    </w:p>
    <w:p w14:paraId="09FA0F8C" w14:textId="77777777" w:rsidR="00E52E86" w:rsidRDefault="00E52E86" w:rsidP="00FB2F9D"/>
    <w:p w14:paraId="374D8667" w14:textId="24CA554D" w:rsidR="00512700" w:rsidRPr="006A7703" w:rsidRDefault="006A7703" w:rsidP="006A7703">
      <w:pPr>
        <w:pStyle w:val="Nadpis1"/>
        <w:numPr>
          <w:ilvl w:val="0"/>
          <w:numId w:val="25"/>
        </w:numPr>
        <w:spacing w:before="0"/>
        <w:ind w:left="284" w:hanging="284"/>
        <w:rPr>
          <w:rFonts w:eastAsia="Calibri"/>
          <w:b/>
          <w:szCs w:val="40"/>
        </w:rPr>
      </w:pPr>
      <w:r>
        <w:rPr>
          <w:rFonts w:eastAsia="Calibri"/>
          <w:b/>
          <w:szCs w:val="40"/>
        </w:rPr>
        <w:t xml:space="preserve"> </w:t>
      </w:r>
      <w:r w:rsidR="00B4705A">
        <w:rPr>
          <w:rFonts w:eastAsia="Calibri"/>
          <w:b/>
          <w:szCs w:val="40"/>
        </w:rPr>
        <w:t xml:space="preserve">Shrnutí aktuálního stavu využití daňových odpočtů na </w:t>
      </w:r>
      <w:proofErr w:type="spellStart"/>
      <w:r w:rsidR="00B4705A">
        <w:rPr>
          <w:rFonts w:eastAsia="Calibri"/>
          <w:b/>
          <w:szCs w:val="40"/>
        </w:rPr>
        <w:t>VaV</w:t>
      </w:r>
      <w:proofErr w:type="spellEnd"/>
      <w:r w:rsidR="00B4705A">
        <w:rPr>
          <w:rFonts w:eastAsia="Calibri"/>
          <w:b/>
          <w:szCs w:val="40"/>
        </w:rPr>
        <w:t xml:space="preserve"> v ČR</w:t>
      </w:r>
    </w:p>
    <w:p w14:paraId="74CAF236" w14:textId="0EB969E5" w:rsidR="00FB2F9D" w:rsidRDefault="00FB2F9D" w:rsidP="00FB2F9D"/>
    <w:p w14:paraId="4CF92C25" w14:textId="5E2BBAD6" w:rsidR="004747F7" w:rsidRDefault="004747F7" w:rsidP="004747F7">
      <w:pPr>
        <w:pStyle w:val="Nadpis1"/>
        <w:numPr>
          <w:ilvl w:val="0"/>
          <w:numId w:val="17"/>
        </w:numPr>
        <w:spacing w:line="240" w:lineRule="auto"/>
        <w:jc w:val="both"/>
        <w:rPr>
          <w:rFonts w:ascii="Calibri" w:eastAsia="Calibri" w:hAnsi="Calibri" w:cs="Calibri"/>
          <w:b/>
          <w:color w:val="002060"/>
          <w:sz w:val="28"/>
          <w:szCs w:val="22"/>
        </w:rPr>
      </w:pPr>
      <w:r w:rsidRPr="004747F7">
        <w:rPr>
          <w:rFonts w:ascii="Calibri" w:eastAsia="Calibri" w:hAnsi="Calibri" w:cs="Calibri"/>
          <w:b/>
          <w:color w:val="002060"/>
          <w:sz w:val="28"/>
          <w:szCs w:val="22"/>
        </w:rPr>
        <w:t xml:space="preserve">Aktuální stav využití daňových odpočtů na </w:t>
      </w:r>
      <w:proofErr w:type="spellStart"/>
      <w:r w:rsidRPr="004747F7">
        <w:rPr>
          <w:rFonts w:ascii="Calibri" w:eastAsia="Calibri" w:hAnsi="Calibri" w:cs="Calibri"/>
          <w:b/>
          <w:color w:val="002060"/>
          <w:sz w:val="28"/>
          <w:szCs w:val="22"/>
        </w:rPr>
        <w:t>VaV</w:t>
      </w:r>
      <w:proofErr w:type="spellEnd"/>
      <w:r w:rsidRPr="004747F7">
        <w:rPr>
          <w:rFonts w:ascii="Calibri" w:eastAsia="Calibri" w:hAnsi="Calibri" w:cs="Calibri"/>
          <w:b/>
          <w:color w:val="002060"/>
          <w:sz w:val="28"/>
          <w:szCs w:val="22"/>
        </w:rPr>
        <w:t xml:space="preserve"> v ČR dle </w:t>
      </w:r>
      <w:r w:rsidR="00C853BF">
        <w:rPr>
          <w:rFonts w:ascii="Calibri" w:eastAsia="Calibri" w:hAnsi="Calibri" w:cs="Calibri"/>
          <w:b/>
          <w:color w:val="002060"/>
          <w:sz w:val="28"/>
          <w:szCs w:val="22"/>
        </w:rPr>
        <w:t xml:space="preserve">statistických </w:t>
      </w:r>
      <w:r w:rsidRPr="004747F7">
        <w:rPr>
          <w:rFonts w:ascii="Calibri" w:eastAsia="Calibri" w:hAnsi="Calibri" w:cs="Calibri"/>
          <w:b/>
          <w:color w:val="002060"/>
          <w:sz w:val="28"/>
          <w:szCs w:val="22"/>
        </w:rPr>
        <w:t>dat ČSÚ</w:t>
      </w:r>
    </w:p>
    <w:p w14:paraId="5E8F1667" w14:textId="77777777" w:rsidR="004747F7" w:rsidRPr="004747F7" w:rsidRDefault="004747F7" w:rsidP="004747F7"/>
    <w:p w14:paraId="67032062" w14:textId="1808DF78" w:rsidR="004747F7" w:rsidRPr="001A4E27" w:rsidRDefault="004A1DAE" w:rsidP="004747F7">
      <w:pPr>
        <w:spacing w:after="0"/>
        <w:ind w:left="993" w:hanging="709"/>
        <w:rPr>
          <w:b/>
        </w:rPr>
      </w:pPr>
      <w:r>
        <w:rPr>
          <w:b/>
        </w:rPr>
        <w:t>Graf</w:t>
      </w:r>
      <w:r w:rsidR="004747F7" w:rsidRPr="001A4E27">
        <w:rPr>
          <w:b/>
        </w:rPr>
        <w:t xml:space="preserve"> – Nepřímá veřejná podpora </w:t>
      </w:r>
      <w:proofErr w:type="spellStart"/>
      <w:r w:rsidR="004747F7" w:rsidRPr="001A4E27">
        <w:rPr>
          <w:b/>
        </w:rPr>
        <w:t>VaV</w:t>
      </w:r>
      <w:proofErr w:type="spellEnd"/>
      <w:r w:rsidR="004747F7" w:rsidRPr="001A4E27">
        <w:rPr>
          <w:b/>
        </w:rPr>
        <w:t xml:space="preserve"> prostřednictvím daňových úlev v soukromých podnicích </w:t>
      </w:r>
      <w:r w:rsidR="004747F7">
        <w:rPr>
          <w:b/>
        </w:rPr>
        <w:t>v ČR (zdroj: ČSÚ)</w:t>
      </w:r>
    </w:p>
    <w:p w14:paraId="7A2030A2" w14:textId="6B039A68" w:rsidR="003239E3" w:rsidRDefault="00617599" w:rsidP="00FB2F9D">
      <w:r w:rsidRPr="005604F5">
        <w:rPr>
          <w:noProof/>
        </w:rPr>
        <w:drawing>
          <wp:anchor distT="0" distB="0" distL="114300" distR="114300" simplePos="0" relativeHeight="251669504" behindDoc="1" locked="0" layoutInCell="1" allowOverlap="1" wp14:anchorId="7DFE43BD" wp14:editId="7E11C647">
            <wp:simplePos x="0" y="0"/>
            <wp:positionH relativeFrom="column">
              <wp:posOffset>765192</wp:posOffset>
            </wp:positionH>
            <wp:positionV relativeFrom="paragraph">
              <wp:posOffset>322077</wp:posOffset>
            </wp:positionV>
            <wp:extent cx="4733925" cy="2565400"/>
            <wp:effectExtent l="0" t="0" r="9525" b="6350"/>
            <wp:wrapTopAndBottom/>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lum bright="-20000" contrast="50000"/>
                      <a:extLst>
                        <a:ext uri="{28A0092B-C50C-407E-A947-70E740481C1C}">
                          <a14:useLocalDpi xmlns:a14="http://schemas.microsoft.com/office/drawing/2010/main" val="0"/>
                        </a:ext>
                      </a:extLst>
                    </a:blip>
                    <a:srcRect/>
                    <a:stretch>
                      <a:fillRect/>
                    </a:stretch>
                  </pic:blipFill>
                  <pic:spPr bwMode="auto">
                    <a:xfrm>
                      <a:off x="0" y="0"/>
                      <a:ext cx="4733925" cy="2565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3BBB962" w14:textId="77777777" w:rsidR="0076491D" w:rsidRDefault="00C853BF" w:rsidP="00C853BF">
      <w:pPr>
        <w:spacing w:after="240"/>
        <w:ind w:left="567" w:hanging="142"/>
        <w:rPr>
          <w:sz w:val="8"/>
        </w:rPr>
      </w:pPr>
      <w:r>
        <w:rPr>
          <w:sz w:val="8"/>
        </w:rPr>
        <w:tab/>
      </w:r>
    </w:p>
    <w:p w14:paraId="6A4BCB72" w14:textId="48BB47BB" w:rsidR="00C853BF" w:rsidRPr="0061764F" w:rsidRDefault="00C853BF" w:rsidP="00C853BF">
      <w:pPr>
        <w:spacing w:after="240"/>
        <w:ind w:left="567" w:hanging="142"/>
        <w:rPr>
          <w:b/>
          <w:sz w:val="24"/>
          <w:szCs w:val="24"/>
          <w:u w:val="single"/>
        </w:rPr>
      </w:pPr>
      <w:r>
        <w:rPr>
          <w:b/>
          <w:sz w:val="24"/>
          <w:szCs w:val="24"/>
          <w:u w:val="single"/>
        </w:rPr>
        <w:t>Zásadní údaje</w:t>
      </w:r>
      <w:r w:rsidRPr="00A275E1">
        <w:rPr>
          <w:b/>
          <w:sz w:val="24"/>
          <w:szCs w:val="24"/>
        </w:rPr>
        <w:t>:</w:t>
      </w:r>
    </w:p>
    <w:p w14:paraId="78C8CE9E" w14:textId="5339ACA8" w:rsidR="00C853BF" w:rsidRPr="0061764F" w:rsidRDefault="00EA373E" w:rsidP="00C853BF">
      <w:pPr>
        <w:pStyle w:val="Odstavecseseznamem"/>
        <w:numPr>
          <w:ilvl w:val="0"/>
          <w:numId w:val="18"/>
        </w:numPr>
        <w:jc w:val="both"/>
        <w:rPr>
          <w:sz w:val="24"/>
        </w:rPr>
      </w:pPr>
      <w:r>
        <w:rPr>
          <w:sz w:val="24"/>
        </w:rPr>
        <w:t xml:space="preserve">Od roku 2015 dochází k velkému poklesu počtu firem </w:t>
      </w:r>
      <w:r w:rsidR="00777570">
        <w:rPr>
          <w:sz w:val="24"/>
        </w:rPr>
        <w:t>uplatňujících daňový odpočet na </w:t>
      </w:r>
      <w:proofErr w:type="spellStart"/>
      <w:r>
        <w:rPr>
          <w:sz w:val="24"/>
        </w:rPr>
        <w:t>VaV</w:t>
      </w:r>
      <w:proofErr w:type="spellEnd"/>
      <w:r>
        <w:rPr>
          <w:sz w:val="24"/>
        </w:rPr>
        <w:t xml:space="preserve">. </w:t>
      </w:r>
      <w:r w:rsidR="00C853BF" w:rsidRPr="00F3636D">
        <w:rPr>
          <w:b/>
          <w:sz w:val="24"/>
        </w:rPr>
        <w:t xml:space="preserve">Meziročně klesá počet firem o cca 100 </w:t>
      </w:r>
      <w:r w:rsidR="00C853BF">
        <w:rPr>
          <w:b/>
          <w:sz w:val="24"/>
        </w:rPr>
        <w:t>subjektů</w:t>
      </w:r>
      <w:r w:rsidR="00C853BF">
        <w:rPr>
          <w:sz w:val="24"/>
        </w:rPr>
        <w:t xml:space="preserve"> v systému daňových odpočtů. </w:t>
      </w:r>
      <w:r w:rsidR="00C853BF">
        <w:rPr>
          <w:b/>
          <w:sz w:val="24"/>
        </w:rPr>
        <w:t xml:space="preserve">Od roku 2015 klesl počet firem </w:t>
      </w:r>
      <w:r w:rsidR="00775B24">
        <w:rPr>
          <w:b/>
          <w:sz w:val="24"/>
        </w:rPr>
        <w:t xml:space="preserve">téměř </w:t>
      </w:r>
      <w:r w:rsidR="00C853BF">
        <w:rPr>
          <w:b/>
          <w:sz w:val="24"/>
        </w:rPr>
        <w:t>o 40 %.</w:t>
      </w:r>
    </w:p>
    <w:p w14:paraId="4AAB8D6B" w14:textId="77777777" w:rsidR="00C853BF" w:rsidRDefault="00C853BF" w:rsidP="00C853BF">
      <w:pPr>
        <w:pStyle w:val="Odstavecseseznamem"/>
        <w:numPr>
          <w:ilvl w:val="0"/>
          <w:numId w:val="18"/>
        </w:numPr>
        <w:jc w:val="both"/>
        <w:rPr>
          <w:sz w:val="24"/>
        </w:rPr>
      </w:pPr>
      <w:r>
        <w:rPr>
          <w:sz w:val="24"/>
        </w:rPr>
        <w:t xml:space="preserve">Z celkového množství firem, které </w:t>
      </w:r>
      <w:r w:rsidRPr="00F3636D">
        <w:rPr>
          <w:b/>
          <w:sz w:val="24"/>
        </w:rPr>
        <w:t xml:space="preserve">provádí </w:t>
      </w:r>
      <w:proofErr w:type="spellStart"/>
      <w:r w:rsidRPr="00F3636D">
        <w:rPr>
          <w:b/>
          <w:sz w:val="24"/>
        </w:rPr>
        <w:t>VaV</w:t>
      </w:r>
      <w:proofErr w:type="spellEnd"/>
      <w:r w:rsidRPr="00F3636D">
        <w:rPr>
          <w:b/>
          <w:sz w:val="24"/>
        </w:rPr>
        <w:t xml:space="preserve"> využívá tento nástroj pouze 30 % z možných</w:t>
      </w:r>
      <w:r>
        <w:rPr>
          <w:sz w:val="24"/>
        </w:rPr>
        <w:t xml:space="preserve"> (celkový počet firem provádějících </w:t>
      </w:r>
      <w:proofErr w:type="spellStart"/>
      <w:r>
        <w:rPr>
          <w:sz w:val="24"/>
        </w:rPr>
        <w:t>VaV</w:t>
      </w:r>
      <w:proofErr w:type="spellEnd"/>
      <w:r>
        <w:rPr>
          <w:sz w:val="24"/>
        </w:rPr>
        <w:t xml:space="preserve"> na území ČR je 2 600 – 2 800 subjektů).</w:t>
      </w:r>
    </w:p>
    <w:p w14:paraId="5A6D1B1D" w14:textId="77777777" w:rsidR="00174377" w:rsidRDefault="00C853BF" w:rsidP="00C853BF">
      <w:pPr>
        <w:pStyle w:val="Odstavecseseznamem"/>
        <w:numPr>
          <w:ilvl w:val="0"/>
          <w:numId w:val="18"/>
        </w:numPr>
        <w:jc w:val="both"/>
        <w:rPr>
          <w:sz w:val="24"/>
        </w:rPr>
      </w:pPr>
      <w:r w:rsidRPr="000F7803">
        <w:rPr>
          <w:sz w:val="24"/>
        </w:rPr>
        <w:t xml:space="preserve">Daňový odpočet má </w:t>
      </w:r>
      <w:r w:rsidRPr="002279E8">
        <w:rPr>
          <w:b/>
          <w:sz w:val="24"/>
        </w:rPr>
        <w:t>dopad na státní rozpočet pouze průměrně 0,2 % z celkových příjmů státního rozpočtu</w:t>
      </w:r>
      <w:r w:rsidRPr="005A0087">
        <w:rPr>
          <w:sz w:val="24"/>
        </w:rPr>
        <w:t>.</w:t>
      </w:r>
      <w:r>
        <w:rPr>
          <w:sz w:val="24"/>
        </w:rPr>
        <w:t xml:space="preserve"> </w:t>
      </w:r>
    </w:p>
    <w:p w14:paraId="325D0BD4" w14:textId="5F2CF2D7" w:rsidR="00C853BF" w:rsidRPr="000F7803" w:rsidRDefault="00C853BF" w:rsidP="00C853BF">
      <w:pPr>
        <w:pStyle w:val="Odstavecseseznamem"/>
        <w:numPr>
          <w:ilvl w:val="0"/>
          <w:numId w:val="18"/>
        </w:numPr>
        <w:jc w:val="both"/>
        <w:rPr>
          <w:sz w:val="24"/>
        </w:rPr>
      </w:pPr>
      <w:r w:rsidRPr="000F7803">
        <w:rPr>
          <w:sz w:val="24"/>
        </w:rPr>
        <w:t>Výše uplatněného odpočtu v roce 2020 byla 11,1 mld. Kč, ale rostla výše odloženého</w:t>
      </w:r>
      <w:r>
        <w:rPr>
          <w:sz w:val="24"/>
        </w:rPr>
        <w:t xml:space="preserve"> uplatnění do výše 8,7 mld. Kč. </w:t>
      </w:r>
      <w:r w:rsidRPr="000F7803">
        <w:rPr>
          <w:b/>
          <w:sz w:val="24"/>
        </w:rPr>
        <w:t>Průměrně je uplatněna výše odpočtů ročně 13 mld. Kč.</w:t>
      </w:r>
    </w:p>
    <w:p w14:paraId="369B8235" w14:textId="77777777" w:rsidR="00C853BF" w:rsidRDefault="00C853BF" w:rsidP="00C853BF">
      <w:pPr>
        <w:pStyle w:val="Odstavecseseznamem"/>
        <w:numPr>
          <w:ilvl w:val="0"/>
          <w:numId w:val="18"/>
        </w:numPr>
        <w:jc w:val="both"/>
        <w:rPr>
          <w:sz w:val="24"/>
        </w:rPr>
      </w:pPr>
      <w:r>
        <w:rPr>
          <w:sz w:val="24"/>
        </w:rPr>
        <w:t xml:space="preserve">Tuto podporu využívají ve </w:t>
      </w:r>
      <w:r w:rsidRPr="00F3636D">
        <w:rPr>
          <w:b/>
          <w:sz w:val="24"/>
        </w:rPr>
        <w:t>větší míře velké firmy a se zahraničním vlastnictvím.</w:t>
      </w:r>
    </w:p>
    <w:p w14:paraId="33748B2B" w14:textId="77777777" w:rsidR="00C853BF" w:rsidRPr="0061764F" w:rsidRDefault="00C853BF" w:rsidP="00C853BF">
      <w:pPr>
        <w:pStyle w:val="Odstavecseseznamem"/>
        <w:numPr>
          <w:ilvl w:val="0"/>
          <w:numId w:val="18"/>
        </w:numPr>
        <w:jc w:val="both"/>
        <w:rPr>
          <w:sz w:val="24"/>
        </w:rPr>
      </w:pPr>
      <w:r>
        <w:rPr>
          <w:sz w:val="24"/>
        </w:rPr>
        <w:t xml:space="preserve">V posledních letech využívají firmy </w:t>
      </w:r>
      <w:r w:rsidRPr="00F3636D">
        <w:rPr>
          <w:b/>
          <w:sz w:val="24"/>
        </w:rPr>
        <w:t>více přímou podporu než nepřímou</w:t>
      </w:r>
      <w:r w:rsidRPr="0061764F">
        <w:rPr>
          <w:b/>
          <w:sz w:val="24"/>
        </w:rPr>
        <w:t>.</w:t>
      </w:r>
    </w:p>
    <w:p w14:paraId="190BCE0F" w14:textId="77777777" w:rsidR="00C853BF" w:rsidRPr="0061764F" w:rsidRDefault="00C853BF" w:rsidP="00C853BF">
      <w:pPr>
        <w:pStyle w:val="Odstavecseseznamem"/>
        <w:numPr>
          <w:ilvl w:val="0"/>
          <w:numId w:val="18"/>
        </w:numPr>
        <w:jc w:val="both"/>
        <w:rPr>
          <w:sz w:val="24"/>
        </w:rPr>
      </w:pPr>
      <w:r w:rsidRPr="0061764F">
        <w:rPr>
          <w:sz w:val="24"/>
        </w:rPr>
        <w:t>Ve srovnání</w:t>
      </w:r>
      <w:r>
        <w:rPr>
          <w:sz w:val="24"/>
        </w:rPr>
        <w:t xml:space="preserve"> např.</w:t>
      </w:r>
      <w:r w:rsidRPr="0061764F">
        <w:rPr>
          <w:sz w:val="24"/>
        </w:rPr>
        <w:t xml:space="preserve"> s Rakouskem v poměru k HDP je využíván </w:t>
      </w:r>
      <w:r w:rsidRPr="0061764F">
        <w:rPr>
          <w:b/>
          <w:sz w:val="24"/>
        </w:rPr>
        <w:t>daňový odpočet v ČR 4 krát méně.</w:t>
      </w:r>
    </w:p>
    <w:p w14:paraId="13876D4C" w14:textId="7609532A" w:rsidR="00617599" w:rsidRPr="00617599" w:rsidRDefault="00A55AEC" w:rsidP="00C853BF">
      <w:pPr>
        <w:pStyle w:val="Nadpis1"/>
        <w:numPr>
          <w:ilvl w:val="0"/>
          <w:numId w:val="17"/>
        </w:numPr>
        <w:spacing w:line="240" w:lineRule="auto"/>
        <w:jc w:val="both"/>
        <w:rPr>
          <w:rFonts w:asciiTheme="minorHAnsi" w:eastAsia="Calibri" w:hAnsiTheme="minorHAnsi" w:cstheme="minorHAnsi"/>
          <w:b/>
          <w:sz w:val="28"/>
          <w:szCs w:val="28"/>
          <w:u w:val="single"/>
        </w:rPr>
      </w:pPr>
      <w:r w:rsidRPr="004747F7">
        <w:rPr>
          <w:rFonts w:ascii="Calibri" w:eastAsia="Calibri" w:hAnsi="Calibri" w:cs="Calibri"/>
          <w:b/>
          <w:color w:val="002060"/>
          <w:sz w:val="28"/>
          <w:szCs w:val="22"/>
        </w:rPr>
        <w:lastRenderedPageBreak/>
        <w:t xml:space="preserve">Aktuální stav využití daňových odpočtů na </w:t>
      </w:r>
      <w:proofErr w:type="spellStart"/>
      <w:r w:rsidRPr="004747F7">
        <w:rPr>
          <w:rFonts w:ascii="Calibri" w:eastAsia="Calibri" w:hAnsi="Calibri" w:cs="Calibri"/>
          <w:b/>
          <w:color w:val="002060"/>
          <w:sz w:val="28"/>
          <w:szCs w:val="22"/>
        </w:rPr>
        <w:t>VaV</w:t>
      </w:r>
      <w:proofErr w:type="spellEnd"/>
      <w:r w:rsidRPr="004747F7">
        <w:rPr>
          <w:rFonts w:ascii="Calibri" w:eastAsia="Calibri" w:hAnsi="Calibri" w:cs="Calibri"/>
          <w:b/>
          <w:color w:val="002060"/>
          <w:sz w:val="28"/>
          <w:szCs w:val="22"/>
        </w:rPr>
        <w:t xml:space="preserve"> v</w:t>
      </w:r>
      <w:r w:rsidR="00EE15EB" w:rsidRPr="004747F7">
        <w:rPr>
          <w:rFonts w:ascii="Calibri" w:eastAsia="Calibri" w:hAnsi="Calibri" w:cs="Calibri"/>
          <w:b/>
          <w:color w:val="002060"/>
          <w:sz w:val="28"/>
          <w:szCs w:val="22"/>
        </w:rPr>
        <w:t> </w:t>
      </w:r>
      <w:r w:rsidRPr="004747F7">
        <w:rPr>
          <w:rFonts w:ascii="Calibri" w:eastAsia="Calibri" w:hAnsi="Calibri" w:cs="Calibri"/>
          <w:b/>
          <w:color w:val="002060"/>
          <w:sz w:val="28"/>
          <w:szCs w:val="22"/>
        </w:rPr>
        <w:t>ČR</w:t>
      </w:r>
      <w:r w:rsidR="00617599">
        <w:rPr>
          <w:rFonts w:ascii="Calibri" w:eastAsia="Calibri" w:hAnsi="Calibri" w:cs="Calibri"/>
          <w:b/>
          <w:color w:val="002060"/>
          <w:sz w:val="28"/>
          <w:szCs w:val="22"/>
        </w:rPr>
        <w:t xml:space="preserve"> dle S</w:t>
      </w:r>
      <w:r w:rsidR="003B47BA">
        <w:rPr>
          <w:rFonts w:ascii="Calibri" w:eastAsia="Calibri" w:hAnsi="Calibri" w:cs="Calibri"/>
          <w:b/>
          <w:color w:val="002060"/>
          <w:sz w:val="28"/>
          <w:szCs w:val="22"/>
        </w:rPr>
        <w:t>vazu průmyslu a dopravy</w:t>
      </w:r>
      <w:r w:rsidR="00617599">
        <w:rPr>
          <w:rFonts w:ascii="Calibri" w:eastAsia="Calibri" w:hAnsi="Calibri" w:cs="Calibri"/>
          <w:b/>
          <w:color w:val="002060"/>
          <w:sz w:val="28"/>
          <w:szCs w:val="22"/>
        </w:rPr>
        <w:t xml:space="preserve"> ČR</w:t>
      </w:r>
    </w:p>
    <w:p w14:paraId="66FB0B4D" w14:textId="01D2B057" w:rsidR="00EE15EB" w:rsidRDefault="00173910" w:rsidP="00617599">
      <w:pPr>
        <w:pStyle w:val="Nadpis1"/>
        <w:spacing w:line="240" w:lineRule="auto"/>
        <w:ind w:left="360"/>
        <w:jc w:val="both"/>
        <w:rPr>
          <w:rFonts w:asciiTheme="minorHAnsi" w:eastAsiaTheme="minorEastAsia" w:hAnsiTheme="minorHAnsi" w:cstheme="minorBidi"/>
          <w:color w:val="auto"/>
          <w:sz w:val="24"/>
          <w:szCs w:val="24"/>
        </w:rPr>
      </w:pPr>
      <w:r>
        <w:rPr>
          <w:rFonts w:asciiTheme="minorHAnsi" w:eastAsiaTheme="minorEastAsia" w:hAnsiTheme="minorHAnsi" w:cstheme="minorBidi"/>
          <w:color w:val="auto"/>
          <w:sz w:val="24"/>
          <w:szCs w:val="24"/>
        </w:rPr>
        <w:t>Svaz</w:t>
      </w:r>
      <w:r w:rsidR="00174377" w:rsidRPr="00174377">
        <w:rPr>
          <w:rFonts w:asciiTheme="minorHAnsi" w:eastAsiaTheme="minorEastAsia" w:hAnsiTheme="minorHAnsi" w:cstheme="minorBidi"/>
          <w:color w:val="auto"/>
          <w:sz w:val="24"/>
          <w:szCs w:val="24"/>
        </w:rPr>
        <w:t xml:space="preserve"> průmyslu a dopravy ČR (dále jen „SP ČR“)</w:t>
      </w:r>
      <w:r w:rsidR="00174377">
        <w:rPr>
          <w:rFonts w:asciiTheme="minorHAnsi" w:eastAsiaTheme="minorEastAsia" w:hAnsiTheme="minorHAnsi" w:cstheme="minorBidi"/>
          <w:color w:val="auto"/>
          <w:sz w:val="24"/>
          <w:szCs w:val="24"/>
        </w:rPr>
        <w:t xml:space="preserve"> </w:t>
      </w:r>
      <w:r w:rsidR="00617599" w:rsidRPr="00617599">
        <w:rPr>
          <w:rFonts w:asciiTheme="minorHAnsi" w:eastAsiaTheme="minorEastAsia" w:hAnsiTheme="minorHAnsi" w:cstheme="minorBidi"/>
          <w:color w:val="auto"/>
          <w:sz w:val="24"/>
          <w:szCs w:val="24"/>
        </w:rPr>
        <w:t xml:space="preserve">provedl každoroční </w:t>
      </w:r>
      <w:r w:rsidR="004747F7" w:rsidRPr="00617599">
        <w:rPr>
          <w:rFonts w:asciiTheme="minorHAnsi" w:eastAsiaTheme="minorEastAsia" w:hAnsiTheme="minorHAnsi" w:cstheme="minorBidi"/>
          <w:color w:val="auto"/>
          <w:sz w:val="24"/>
          <w:szCs w:val="24"/>
        </w:rPr>
        <w:t>z</w:t>
      </w:r>
      <w:r w:rsidR="00EE15EB" w:rsidRPr="00617599">
        <w:rPr>
          <w:rFonts w:asciiTheme="minorHAnsi" w:eastAsiaTheme="minorEastAsia" w:hAnsiTheme="minorHAnsi" w:cstheme="minorBidi"/>
          <w:color w:val="auto"/>
          <w:sz w:val="24"/>
          <w:szCs w:val="24"/>
        </w:rPr>
        <w:t>ákladní zhodnocení stavu uplatňování daňových odpočtů na </w:t>
      </w:r>
      <w:proofErr w:type="spellStart"/>
      <w:r w:rsidR="00EE15EB" w:rsidRPr="00617599">
        <w:rPr>
          <w:rFonts w:asciiTheme="minorHAnsi" w:eastAsiaTheme="minorEastAsia" w:hAnsiTheme="minorHAnsi" w:cstheme="minorBidi"/>
          <w:color w:val="auto"/>
          <w:sz w:val="24"/>
          <w:szCs w:val="24"/>
        </w:rPr>
        <w:t>VaV</w:t>
      </w:r>
      <w:proofErr w:type="spellEnd"/>
      <w:r w:rsidR="00EE15EB" w:rsidRPr="00617599">
        <w:rPr>
          <w:rFonts w:asciiTheme="minorHAnsi" w:eastAsiaTheme="minorEastAsia" w:hAnsiTheme="minorHAnsi" w:cstheme="minorBidi"/>
          <w:color w:val="auto"/>
          <w:sz w:val="24"/>
          <w:szCs w:val="24"/>
        </w:rPr>
        <w:t xml:space="preserve"> z pohledu podnikatelské sféry</w:t>
      </w:r>
      <w:r w:rsidR="003B47BA">
        <w:rPr>
          <w:rFonts w:asciiTheme="minorHAnsi" w:eastAsiaTheme="minorEastAsia" w:hAnsiTheme="minorHAnsi" w:cstheme="minorBidi"/>
          <w:color w:val="auto"/>
          <w:sz w:val="24"/>
          <w:szCs w:val="24"/>
        </w:rPr>
        <w:t>, který zaslal dopisem prezidenta SP ČR Jaroslava Hanáka dne 16. listopadu 2022 n</w:t>
      </w:r>
      <w:r w:rsidR="00174377">
        <w:rPr>
          <w:rFonts w:asciiTheme="minorHAnsi" w:eastAsiaTheme="minorEastAsia" w:hAnsiTheme="minorHAnsi" w:cstheme="minorBidi"/>
          <w:color w:val="auto"/>
          <w:sz w:val="24"/>
          <w:szCs w:val="24"/>
        </w:rPr>
        <w:t>a ministryni pro vědu, výzkum a </w:t>
      </w:r>
      <w:r w:rsidR="003B47BA">
        <w:rPr>
          <w:rFonts w:asciiTheme="minorHAnsi" w:eastAsiaTheme="minorEastAsia" w:hAnsiTheme="minorHAnsi" w:cstheme="minorBidi"/>
          <w:color w:val="auto"/>
          <w:sz w:val="24"/>
          <w:szCs w:val="24"/>
        </w:rPr>
        <w:t xml:space="preserve">inovace Mgr. Helenu </w:t>
      </w:r>
      <w:proofErr w:type="spellStart"/>
      <w:r w:rsidR="003B47BA">
        <w:rPr>
          <w:rFonts w:asciiTheme="minorHAnsi" w:eastAsiaTheme="minorEastAsia" w:hAnsiTheme="minorHAnsi" w:cstheme="minorBidi"/>
          <w:color w:val="auto"/>
          <w:sz w:val="24"/>
          <w:szCs w:val="24"/>
        </w:rPr>
        <w:t>Langšáslovou</w:t>
      </w:r>
      <w:proofErr w:type="spellEnd"/>
      <w:r w:rsidR="003B47BA">
        <w:rPr>
          <w:rFonts w:asciiTheme="minorHAnsi" w:eastAsiaTheme="minorEastAsia" w:hAnsiTheme="minorHAnsi" w:cstheme="minorBidi"/>
          <w:color w:val="auto"/>
          <w:sz w:val="24"/>
          <w:szCs w:val="24"/>
        </w:rPr>
        <w:t xml:space="preserve"> a členy Rady (viz příloha).</w:t>
      </w:r>
      <w:r w:rsidR="00617599">
        <w:rPr>
          <w:rFonts w:asciiTheme="minorHAnsi" w:eastAsiaTheme="minorEastAsia" w:hAnsiTheme="minorHAnsi" w:cstheme="minorBidi"/>
          <w:color w:val="auto"/>
          <w:sz w:val="24"/>
          <w:szCs w:val="24"/>
        </w:rPr>
        <w:t xml:space="preserve"> </w:t>
      </w:r>
    </w:p>
    <w:p w14:paraId="37A24DDE" w14:textId="0C29968B" w:rsidR="00737936" w:rsidRDefault="00737936" w:rsidP="00737936">
      <w:pPr>
        <w:pStyle w:val="Nadpis1"/>
        <w:spacing w:line="240" w:lineRule="auto"/>
        <w:ind w:left="360"/>
        <w:jc w:val="both"/>
        <w:rPr>
          <w:rFonts w:asciiTheme="minorHAnsi" w:eastAsiaTheme="minorEastAsia" w:hAnsiTheme="minorHAnsi" w:cstheme="minorBidi"/>
          <w:color w:val="auto"/>
          <w:sz w:val="24"/>
          <w:szCs w:val="24"/>
        </w:rPr>
      </w:pPr>
      <w:r w:rsidRPr="00737936">
        <w:rPr>
          <w:rFonts w:asciiTheme="minorHAnsi" w:eastAsiaTheme="minorEastAsia" w:hAnsiTheme="minorHAnsi" w:cstheme="minorBidi"/>
          <w:color w:val="auto"/>
          <w:sz w:val="24"/>
          <w:szCs w:val="24"/>
        </w:rPr>
        <w:t xml:space="preserve">Prezident Hanák ve svém dopise </w:t>
      </w:r>
      <w:r w:rsidR="00B4705A">
        <w:rPr>
          <w:rFonts w:asciiTheme="minorHAnsi" w:eastAsiaTheme="minorEastAsia" w:hAnsiTheme="minorHAnsi" w:cstheme="minorBidi"/>
          <w:color w:val="auto"/>
          <w:sz w:val="24"/>
          <w:szCs w:val="24"/>
        </w:rPr>
        <w:t xml:space="preserve">děkuje za obnovení činnosti PSDO 2022 a žádá o silný mandát pro její práci, aby mohla připravit návrhy, které povedou k pozitivnímu rozvoji tohoto nástroje. Ve svém dopise rovněž uvádí </w:t>
      </w:r>
      <w:r w:rsidRPr="00737936">
        <w:rPr>
          <w:rFonts w:asciiTheme="minorHAnsi" w:eastAsiaTheme="minorEastAsia" w:hAnsiTheme="minorHAnsi" w:cstheme="minorBidi"/>
          <w:color w:val="auto"/>
          <w:sz w:val="24"/>
          <w:szCs w:val="24"/>
        </w:rPr>
        <w:t>tyto zásadní informace</w:t>
      </w:r>
      <w:r w:rsidR="00174377">
        <w:rPr>
          <w:rFonts w:asciiTheme="minorHAnsi" w:eastAsiaTheme="minorEastAsia" w:hAnsiTheme="minorHAnsi" w:cstheme="minorBidi"/>
          <w:color w:val="auto"/>
          <w:sz w:val="24"/>
          <w:szCs w:val="24"/>
        </w:rPr>
        <w:t xml:space="preserve"> (volně citováno)</w:t>
      </w:r>
      <w:r w:rsidRPr="00737936">
        <w:rPr>
          <w:rFonts w:asciiTheme="minorHAnsi" w:eastAsiaTheme="minorEastAsia" w:hAnsiTheme="minorHAnsi" w:cstheme="minorBidi"/>
          <w:color w:val="auto"/>
          <w:sz w:val="24"/>
          <w:szCs w:val="24"/>
        </w:rPr>
        <w:t>:</w:t>
      </w:r>
    </w:p>
    <w:p w14:paraId="314B755D" w14:textId="63EB0187" w:rsidR="00737936" w:rsidRPr="00775B24" w:rsidRDefault="00737936" w:rsidP="00775B24">
      <w:pPr>
        <w:pStyle w:val="Odstavecseseznamem"/>
        <w:numPr>
          <w:ilvl w:val="0"/>
          <w:numId w:val="27"/>
        </w:numPr>
        <w:jc w:val="both"/>
        <w:rPr>
          <w:sz w:val="24"/>
          <w:szCs w:val="24"/>
        </w:rPr>
      </w:pPr>
      <w:r w:rsidRPr="00775B24">
        <w:rPr>
          <w:sz w:val="24"/>
          <w:szCs w:val="24"/>
        </w:rPr>
        <w:t xml:space="preserve">Daňové odpočty na </w:t>
      </w:r>
      <w:proofErr w:type="spellStart"/>
      <w:r w:rsidRPr="00775B24">
        <w:rPr>
          <w:sz w:val="24"/>
          <w:szCs w:val="24"/>
        </w:rPr>
        <w:t>VaV</w:t>
      </w:r>
      <w:proofErr w:type="spellEnd"/>
      <w:r w:rsidRPr="00775B24">
        <w:rPr>
          <w:sz w:val="24"/>
          <w:szCs w:val="24"/>
        </w:rPr>
        <w:t xml:space="preserve"> hrají ve vyspělých zemích čím dál větší roli a podílí se na jejich konkurenceschopnosti. Jsou totiž ve srovnání s dotacemi pružnější, tematicky neohraničené, záměry vycházejí z </w:t>
      </w:r>
      <w:proofErr w:type="spellStart"/>
      <w:r w:rsidRPr="00775B24">
        <w:rPr>
          <w:sz w:val="24"/>
          <w:szCs w:val="24"/>
        </w:rPr>
        <w:t>bottom</w:t>
      </w:r>
      <w:proofErr w:type="spellEnd"/>
      <w:r w:rsidRPr="00775B24">
        <w:rPr>
          <w:sz w:val="24"/>
          <w:szCs w:val="24"/>
        </w:rPr>
        <w:t>-up přístupu a mají mnohá další pozitiva.</w:t>
      </w:r>
    </w:p>
    <w:p w14:paraId="49A673AE" w14:textId="41E890CE" w:rsidR="00737936" w:rsidRPr="00775B24" w:rsidRDefault="00737936" w:rsidP="00775B24">
      <w:pPr>
        <w:pStyle w:val="Odstavecseseznamem"/>
        <w:numPr>
          <w:ilvl w:val="0"/>
          <w:numId w:val="27"/>
        </w:numPr>
        <w:jc w:val="both"/>
        <w:rPr>
          <w:sz w:val="24"/>
          <w:szCs w:val="24"/>
        </w:rPr>
      </w:pPr>
      <w:r w:rsidRPr="00775B24">
        <w:rPr>
          <w:sz w:val="24"/>
          <w:szCs w:val="24"/>
        </w:rPr>
        <w:t xml:space="preserve">V roce 2020 mohly podniky daňové výhody využívat ve 21 zemích EU a ve 33 zemích OECD. Na rozdíl od ČR v průměru za země EU objem této nepřímé podpory </w:t>
      </w:r>
      <w:proofErr w:type="spellStart"/>
      <w:r w:rsidRPr="00775B24">
        <w:rPr>
          <w:sz w:val="24"/>
          <w:szCs w:val="24"/>
        </w:rPr>
        <w:t>VaV</w:t>
      </w:r>
      <w:proofErr w:type="spellEnd"/>
      <w:r w:rsidRPr="00775B24">
        <w:rPr>
          <w:sz w:val="24"/>
          <w:szCs w:val="24"/>
        </w:rPr>
        <w:t xml:space="preserve"> již převyšuje finanční prostředky, které firmy získávají přes přímé dotace z veřejných zdrojů</w:t>
      </w:r>
    </w:p>
    <w:p w14:paraId="12080814" w14:textId="1FE37D1B" w:rsidR="00737936" w:rsidRPr="00775B24" w:rsidRDefault="00737936" w:rsidP="00775B24">
      <w:pPr>
        <w:pStyle w:val="Odstavecseseznamem"/>
        <w:numPr>
          <w:ilvl w:val="0"/>
          <w:numId w:val="27"/>
        </w:numPr>
        <w:jc w:val="both"/>
        <w:rPr>
          <w:sz w:val="24"/>
          <w:szCs w:val="24"/>
        </w:rPr>
      </w:pPr>
      <w:r w:rsidRPr="00775B24">
        <w:rPr>
          <w:sz w:val="24"/>
          <w:szCs w:val="24"/>
        </w:rPr>
        <w:t xml:space="preserve">V letech 2015 až 2019 měl v ČR daňový odpočet na </w:t>
      </w:r>
      <w:proofErr w:type="spellStart"/>
      <w:r w:rsidRPr="00775B24">
        <w:rPr>
          <w:sz w:val="24"/>
          <w:szCs w:val="24"/>
        </w:rPr>
        <w:t>VaV</w:t>
      </w:r>
      <w:proofErr w:type="spellEnd"/>
      <w:r w:rsidRPr="00775B24">
        <w:rPr>
          <w:sz w:val="24"/>
          <w:szCs w:val="24"/>
        </w:rPr>
        <w:t xml:space="preserve"> na státní rozpočet dopad v průměru 2,5 mld. Kč, což představuje necelých 0,2 % z celkových výdajů státního rozpočtu. To je mnohem méně, než s čím se při jeho schvalování počítalo nebo i v mezinárodním srovnání. V ČR proto vidíme značný nevyužitý potenciál odpočtů, který by mohl podnítit mnoho firem k většímu zaměření na </w:t>
      </w:r>
      <w:proofErr w:type="spellStart"/>
      <w:r w:rsidRPr="00775B24">
        <w:rPr>
          <w:sz w:val="24"/>
          <w:szCs w:val="24"/>
        </w:rPr>
        <w:t>VaV</w:t>
      </w:r>
      <w:proofErr w:type="spellEnd"/>
      <w:r w:rsidRPr="00775B24">
        <w:rPr>
          <w:sz w:val="24"/>
          <w:szCs w:val="24"/>
        </w:rPr>
        <w:t xml:space="preserve"> a rozvoji dalších projektů, což v konečném důsledku přinese prosperitu ČR a tím i zdroje do veřejných rozpočtů skrze vyšší přidanou hodnotu.</w:t>
      </w:r>
    </w:p>
    <w:p w14:paraId="7543329F" w14:textId="1DB4D7E1" w:rsidR="00737936" w:rsidRPr="00775B24" w:rsidRDefault="00737936" w:rsidP="00775B24">
      <w:pPr>
        <w:pStyle w:val="Odstavecseseznamem"/>
        <w:numPr>
          <w:ilvl w:val="0"/>
          <w:numId w:val="27"/>
        </w:numPr>
        <w:jc w:val="both"/>
        <w:rPr>
          <w:sz w:val="24"/>
          <w:szCs w:val="24"/>
        </w:rPr>
      </w:pPr>
      <w:r w:rsidRPr="00775B24">
        <w:rPr>
          <w:sz w:val="24"/>
          <w:szCs w:val="24"/>
        </w:rPr>
        <w:t>Od roku 2015 dle dat Českého statistického úřadu poklesl o 37 % počet firem, které odpočty využívají, což v absolutních počtech činí pokles z 1 306 firem na 829 v roce 2020.</w:t>
      </w:r>
    </w:p>
    <w:p w14:paraId="07BD516C" w14:textId="1A6DD75E" w:rsidR="00775B24" w:rsidRPr="00775B24" w:rsidRDefault="00174377" w:rsidP="00775B24">
      <w:pPr>
        <w:pStyle w:val="Odstavecseseznamem"/>
        <w:numPr>
          <w:ilvl w:val="0"/>
          <w:numId w:val="27"/>
        </w:numPr>
        <w:jc w:val="both"/>
        <w:rPr>
          <w:sz w:val="24"/>
          <w:szCs w:val="24"/>
        </w:rPr>
      </w:pPr>
      <w:r>
        <w:rPr>
          <w:sz w:val="24"/>
          <w:szCs w:val="24"/>
        </w:rPr>
        <w:t>SP ČR se domnívá</w:t>
      </w:r>
      <w:r w:rsidR="00775B24" w:rsidRPr="00775B24">
        <w:rPr>
          <w:sz w:val="24"/>
          <w:szCs w:val="24"/>
        </w:rPr>
        <w:t xml:space="preserve">, že dlouhodobým cílem ČR by mohlo být i více jak dvojnásobné množství firem, které odpočty uplatňují. Mohli bychom se tak alespoň přiblížit Rakousku, které ve vztahu k HDP uvádí čtyřikrát vyšší částku uplatňovaných odpočtů na </w:t>
      </w:r>
      <w:proofErr w:type="spellStart"/>
      <w:r w:rsidR="00775B24" w:rsidRPr="00775B24">
        <w:rPr>
          <w:sz w:val="24"/>
          <w:szCs w:val="24"/>
        </w:rPr>
        <w:t>VaV</w:t>
      </w:r>
      <w:proofErr w:type="spellEnd"/>
      <w:r w:rsidR="00B4705A">
        <w:rPr>
          <w:sz w:val="24"/>
          <w:szCs w:val="24"/>
        </w:rPr>
        <w:t xml:space="preserve"> než Česko</w:t>
      </w:r>
      <w:r w:rsidR="00775B24" w:rsidRPr="00775B24">
        <w:rPr>
          <w:sz w:val="24"/>
          <w:szCs w:val="24"/>
        </w:rPr>
        <w:t>.</w:t>
      </w:r>
    </w:p>
    <w:p w14:paraId="44A781AB" w14:textId="163D8F8D" w:rsidR="00775B24" w:rsidRPr="00775B24" w:rsidRDefault="00174377" w:rsidP="00775B24">
      <w:pPr>
        <w:pStyle w:val="Odstavecseseznamem"/>
        <w:numPr>
          <w:ilvl w:val="0"/>
          <w:numId w:val="27"/>
        </w:numPr>
        <w:jc w:val="both"/>
        <w:rPr>
          <w:sz w:val="24"/>
          <w:szCs w:val="24"/>
        </w:rPr>
      </w:pPr>
      <w:r>
        <w:rPr>
          <w:sz w:val="24"/>
          <w:szCs w:val="24"/>
        </w:rPr>
        <w:t>S</w:t>
      </w:r>
      <w:r w:rsidR="00775B24" w:rsidRPr="00775B24">
        <w:rPr>
          <w:sz w:val="24"/>
          <w:szCs w:val="24"/>
        </w:rPr>
        <w:t>oučasná situace v ČR nenaznačuje obrat ve využívání tohoto nepřímého nástroje podpory, natož jeho růst. Dle rozhovorů</w:t>
      </w:r>
      <w:r>
        <w:rPr>
          <w:sz w:val="24"/>
          <w:szCs w:val="24"/>
        </w:rPr>
        <w:t xml:space="preserve"> SP ČR</w:t>
      </w:r>
      <w:r w:rsidR="00775B24" w:rsidRPr="00775B24">
        <w:rPr>
          <w:sz w:val="24"/>
          <w:szCs w:val="24"/>
        </w:rPr>
        <w:t xml:space="preserve"> s firmami, především malými a středními, za to může především přetrvávající obava z průběhu a délky daňových kontrol či nároky na vedení dokumentace, což při celkovém porovnání s přínosy odpočtů vede firmy k jejich menšímu využívání.</w:t>
      </w:r>
    </w:p>
    <w:p w14:paraId="517EF894" w14:textId="14D01516" w:rsidR="00775B24" w:rsidRPr="00174377" w:rsidRDefault="00174377" w:rsidP="00174377">
      <w:pPr>
        <w:ind w:left="360"/>
        <w:jc w:val="both"/>
        <w:rPr>
          <w:b/>
          <w:sz w:val="24"/>
          <w:szCs w:val="24"/>
        </w:rPr>
      </w:pPr>
      <w:r>
        <w:rPr>
          <w:b/>
          <w:sz w:val="24"/>
          <w:szCs w:val="24"/>
        </w:rPr>
        <w:t>Závěrem prezident Hanák uvádí, že</w:t>
      </w:r>
      <w:r w:rsidR="00775B24" w:rsidRPr="00174377">
        <w:rPr>
          <w:b/>
          <w:sz w:val="24"/>
          <w:szCs w:val="24"/>
        </w:rPr>
        <w:t xml:space="preserve"> </w:t>
      </w:r>
      <w:r>
        <w:rPr>
          <w:b/>
          <w:sz w:val="24"/>
          <w:szCs w:val="24"/>
        </w:rPr>
        <w:t>podporuje</w:t>
      </w:r>
      <w:r w:rsidR="00775B24" w:rsidRPr="00174377">
        <w:rPr>
          <w:b/>
          <w:sz w:val="24"/>
          <w:szCs w:val="24"/>
        </w:rPr>
        <w:t xml:space="preserve"> diskutova</w:t>
      </w:r>
      <w:r>
        <w:rPr>
          <w:b/>
          <w:sz w:val="24"/>
          <w:szCs w:val="24"/>
        </w:rPr>
        <w:t>ná řešení na pracovní skupině k </w:t>
      </w:r>
      <w:r w:rsidR="00775B24" w:rsidRPr="00174377">
        <w:rPr>
          <w:b/>
          <w:sz w:val="24"/>
          <w:szCs w:val="24"/>
        </w:rPr>
        <w:t>odpočtům, která jsou zacílena na několik úrovní. K prosazení změn a posílení důvěry se jako nezbytná jeví politická deklarace členů vlády, že odpočty jsou výhodnou investicí do budoucna a důležitým prvkem podpory konkurenceschopnosti ČR, který se firmy nemusí bát využívat. Důležitá bude pro zjednodušení administrativy či lepší dokazování skutečností změna zákona č. 586/1992 Sb., o daních z příjmu. Dále by měly být disku</w:t>
      </w:r>
      <w:r>
        <w:rPr>
          <w:b/>
          <w:sz w:val="24"/>
          <w:szCs w:val="24"/>
        </w:rPr>
        <w:t>továny také parametry odpočtů a </w:t>
      </w:r>
      <w:r w:rsidR="00775B24" w:rsidRPr="00174377">
        <w:rPr>
          <w:b/>
          <w:sz w:val="24"/>
          <w:szCs w:val="24"/>
        </w:rPr>
        <w:t xml:space="preserve">možnosti jejich zatraktivnění, jako je např. zavedení refundace při daňové ztrátě či vyšší zvýhodnění pro MSP. Ke změně přístupu a zlepšení atmosféry by rovněž pomohlo uspořádání konference či školení pro všechny zainteresované aktéry, </w:t>
      </w:r>
      <w:r>
        <w:rPr>
          <w:b/>
          <w:sz w:val="24"/>
          <w:szCs w:val="24"/>
        </w:rPr>
        <w:t>od pracovníků finanční správy a </w:t>
      </w:r>
      <w:r w:rsidR="00775B24" w:rsidRPr="00174377">
        <w:rPr>
          <w:b/>
          <w:sz w:val="24"/>
          <w:szCs w:val="24"/>
        </w:rPr>
        <w:t>inovativních firem až po znalce a soudce.</w:t>
      </w:r>
    </w:p>
    <w:p w14:paraId="037D233F" w14:textId="64AFCD1B" w:rsidR="00B90CC0" w:rsidRPr="006A7703" w:rsidRDefault="004767A9" w:rsidP="00B90CC0">
      <w:pPr>
        <w:pStyle w:val="Nadpis1"/>
        <w:numPr>
          <w:ilvl w:val="0"/>
          <w:numId w:val="25"/>
        </w:numPr>
        <w:spacing w:before="0"/>
        <w:ind w:left="284" w:hanging="284"/>
        <w:rPr>
          <w:rFonts w:eastAsia="Calibri"/>
          <w:b/>
          <w:szCs w:val="40"/>
        </w:rPr>
      </w:pPr>
      <w:r>
        <w:rPr>
          <w:rFonts w:eastAsia="Calibri"/>
          <w:b/>
          <w:szCs w:val="40"/>
        </w:rPr>
        <w:lastRenderedPageBreak/>
        <w:t xml:space="preserve">Financování </w:t>
      </w:r>
      <w:proofErr w:type="spellStart"/>
      <w:r>
        <w:rPr>
          <w:rFonts w:eastAsia="Calibri"/>
          <w:b/>
          <w:szCs w:val="40"/>
        </w:rPr>
        <w:t>VaV</w:t>
      </w:r>
      <w:proofErr w:type="spellEnd"/>
      <w:r>
        <w:rPr>
          <w:rFonts w:eastAsia="Calibri"/>
          <w:b/>
          <w:szCs w:val="40"/>
        </w:rPr>
        <w:t xml:space="preserve"> a mezinárodní srovnání</w:t>
      </w:r>
      <w:r w:rsidR="00B90CC0" w:rsidRPr="00467179">
        <w:rPr>
          <w:rFonts w:eastAsia="Calibri"/>
          <w:b/>
          <w:szCs w:val="40"/>
        </w:rPr>
        <w:t xml:space="preserve"> </w:t>
      </w:r>
    </w:p>
    <w:p w14:paraId="72BDC8C7" w14:textId="77777777" w:rsidR="00B90CC0" w:rsidRDefault="00B90CC0" w:rsidP="00B90CC0"/>
    <w:p w14:paraId="1DDA6CDF" w14:textId="5D08E830" w:rsidR="00B90CC0" w:rsidRPr="00B90CC0" w:rsidRDefault="004767A9" w:rsidP="001F5009">
      <w:pPr>
        <w:pStyle w:val="Odstavecseseznamem"/>
        <w:numPr>
          <w:ilvl w:val="0"/>
          <w:numId w:val="28"/>
        </w:numPr>
        <w:spacing w:line="240" w:lineRule="auto"/>
        <w:ind w:left="426"/>
        <w:jc w:val="both"/>
        <w:rPr>
          <w:rFonts w:ascii="Calibri" w:eastAsia="Calibri" w:hAnsi="Calibri" w:cs="Calibri"/>
          <w:b/>
          <w:bCs/>
          <w:color w:val="002060"/>
          <w:sz w:val="28"/>
        </w:rPr>
      </w:pPr>
      <w:r>
        <w:rPr>
          <w:rFonts w:ascii="Calibri" w:eastAsia="Calibri" w:hAnsi="Calibri" w:cs="Calibri"/>
          <w:b/>
          <w:bCs/>
          <w:color w:val="002060"/>
          <w:sz w:val="28"/>
        </w:rPr>
        <w:t xml:space="preserve">Stručná charakteristika financování </w:t>
      </w:r>
      <w:proofErr w:type="spellStart"/>
      <w:r>
        <w:rPr>
          <w:rFonts w:ascii="Calibri" w:eastAsia="Calibri" w:hAnsi="Calibri" w:cs="Calibri"/>
          <w:b/>
          <w:bCs/>
          <w:color w:val="002060"/>
          <w:sz w:val="28"/>
        </w:rPr>
        <w:t>VaV</w:t>
      </w:r>
      <w:proofErr w:type="spellEnd"/>
      <w:r>
        <w:rPr>
          <w:rFonts w:ascii="Calibri" w:eastAsia="Calibri" w:hAnsi="Calibri" w:cs="Calibri"/>
          <w:b/>
          <w:bCs/>
          <w:color w:val="002060"/>
          <w:sz w:val="28"/>
        </w:rPr>
        <w:t xml:space="preserve"> v ČR</w:t>
      </w:r>
    </w:p>
    <w:p w14:paraId="5F8F5F95" w14:textId="77777777" w:rsidR="00B90CC0" w:rsidRPr="00A138A4" w:rsidRDefault="00B90CC0" w:rsidP="00B90CC0">
      <w:pPr>
        <w:pStyle w:val="Odstavecseseznamem"/>
        <w:spacing w:line="240" w:lineRule="auto"/>
        <w:ind w:left="284" w:hanging="284"/>
        <w:jc w:val="both"/>
        <w:rPr>
          <w:rFonts w:ascii="Calibri" w:eastAsia="Calibri" w:hAnsi="Calibri" w:cs="Calibri"/>
          <w:b/>
          <w:bCs/>
          <w:sz w:val="24"/>
          <w:szCs w:val="24"/>
        </w:rPr>
      </w:pPr>
    </w:p>
    <w:p w14:paraId="1A52B64A" w14:textId="758B5A6C" w:rsidR="00B90CC0" w:rsidRPr="004A293D" w:rsidRDefault="004A293D" w:rsidP="004A293D">
      <w:pPr>
        <w:spacing w:after="60" w:line="276" w:lineRule="auto"/>
        <w:jc w:val="both"/>
        <w:rPr>
          <w:rFonts w:eastAsia="Times New Roman" w:cstheme="minorHAnsi"/>
          <w:sz w:val="24"/>
          <w:szCs w:val="24"/>
        </w:rPr>
      </w:pPr>
      <w:r w:rsidRPr="004A293D">
        <w:rPr>
          <w:rFonts w:eastAsia="Times New Roman" w:cstheme="minorHAnsi"/>
          <w:sz w:val="24"/>
          <w:szCs w:val="24"/>
        </w:rPr>
        <w:t>Ú</w:t>
      </w:r>
      <w:r w:rsidR="00B90CC0" w:rsidRPr="004A293D">
        <w:rPr>
          <w:rFonts w:eastAsia="Times New Roman" w:cstheme="minorHAnsi"/>
          <w:sz w:val="24"/>
          <w:szCs w:val="24"/>
        </w:rPr>
        <w:t xml:space="preserve">daje </w:t>
      </w:r>
      <w:r w:rsidRPr="004A293D">
        <w:rPr>
          <w:rFonts w:eastAsia="Times New Roman" w:cstheme="minorHAnsi"/>
          <w:sz w:val="24"/>
          <w:szCs w:val="24"/>
        </w:rPr>
        <w:t>vycházejí z</w:t>
      </w:r>
      <w:r w:rsidR="00B90CC0" w:rsidRPr="004A293D">
        <w:rPr>
          <w:rFonts w:eastAsia="Times New Roman" w:cstheme="minorHAnsi"/>
          <w:sz w:val="24"/>
          <w:szCs w:val="24"/>
        </w:rPr>
        <w:t xml:space="preserve"> </w:t>
      </w:r>
      <w:hyperlink r:id="rId9" w:history="1">
        <w:r w:rsidR="00B90CC0" w:rsidRPr="004A293D">
          <w:rPr>
            <w:rStyle w:val="Hypertextovodkaz"/>
            <w:rFonts w:eastAsia="Times New Roman" w:cstheme="minorHAnsi"/>
            <w:sz w:val="24"/>
            <w:szCs w:val="24"/>
          </w:rPr>
          <w:t>Analýz</w:t>
        </w:r>
        <w:r w:rsidRPr="004A293D">
          <w:rPr>
            <w:rStyle w:val="Hypertextovodkaz"/>
            <w:rFonts w:eastAsia="Times New Roman" w:cstheme="minorHAnsi"/>
            <w:sz w:val="24"/>
            <w:szCs w:val="24"/>
          </w:rPr>
          <w:t>y</w:t>
        </w:r>
        <w:r w:rsidR="00B90CC0" w:rsidRPr="004A293D">
          <w:rPr>
            <w:rStyle w:val="Hypertextovodkaz"/>
            <w:rFonts w:eastAsia="Times New Roman" w:cstheme="minorHAnsi"/>
            <w:sz w:val="24"/>
            <w:szCs w:val="24"/>
          </w:rPr>
          <w:t xml:space="preserve"> </w:t>
        </w:r>
        <w:r w:rsidRPr="004A293D">
          <w:rPr>
            <w:rStyle w:val="Hypertextovodkaz"/>
            <w:rFonts w:eastAsia="Times New Roman" w:cstheme="minorHAnsi"/>
            <w:sz w:val="24"/>
            <w:szCs w:val="24"/>
          </w:rPr>
          <w:t>stavu výzkumu, vývoje a inovací v ČR a jejich srovnání se zahraničím v roce 2020</w:t>
        </w:r>
      </w:hyperlink>
      <w:r w:rsidR="00DE03A1">
        <w:rPr>
          <w:rFonts w:eastAsia="Times New Roman" w:cstheme="minorHAnsi"/>
          <w:sz w:val="24"/>
          <w:szCs w:val="24"/>
        </w:rPr>
        <w:t xml:space="preserve"> (dále jen „Analýza </w:t>
      </w:r>
      <w:proofErr w:type="spellStart"/>
      <w:r w:rsidR="00DE03A1">
        <w:rPr>
          <w:rFonts w:eastAsia="Times New Roman" w:cstheme="minorHAnsi"/>
          <w:sz w:val="24"/>
          <w:szCs w:val="24"/>
        </w:rPr>
        <w:t>VaVaI</w:t>
      </w:r>
      <w:proofErr w:type="spellEnd"/>
      <w:r w:rsidR="00DE03A1">
        <w:rPr>
          <w:rFonts w:eastAsia="Times New Roman" w:cstheme="minorHAnsi"/>
          <w:sz w:val="24"/>
          <w:szCs w:val="24"/>
        </w:rPr>
        <w:t>“)</w:t>
      </w:r>
      <w:r w:rsidR="00B90CC0" w:rsidRPr="004A293D">
        <w:rPr>
          <w:rFonts w:eastAsia="Times New Roman" w:cstheme="minorHAnsi"/>
          <w:sz w:val="24"/>
          <w:szCs w:val="24"/>
        </w:rPr>
        <w:t>, která je každoročně</w:t>
      </w:r>
      <w:r w:rsidRPr="004A293D">
        <w:rPr>
          <w:rFonts w:eastAsia="Times New Roman" w:cstheme="minorHAnsi"/>
          <w:sz w:val="24"/>
          <w:szCs w:val="24"/>
        </w:rPr>
        <w:t xml:space="preserve"> připravována</w:t>
      </w:r>
      <w:r w:rsidR="00B90CC0" w:rsidRPr="004A293D">
        <w:rPr>
          <w:rFonts w:eastAsia="Times New Roman" w:cstheme="minorHAnsi"/>
          <w:sz w:val="24"/>
          <w:szCs w:val="24"/>
        </w:rPr>
        <w:t xml:space="preserve"> </w:t>
      </w:r>
      <w:r w:rsidRPr="004A293D">
        <w:rPr>
          <w:rFonts w:eastAsia="Times New Roman" w:cstheme="minorHAnsi"/>
          <w:sz w:val="24"/>
          <w:szCs w:val="24"/>
        </w:rPr>
        <w:t>O</w:t>
      </w:r>
      <w:r w:rsidR="00B90CC0" w:rsidRPr="004A293D">
        <w:rPr>
          <w:rFonts w:eastAsia="Times New Roman" w:cstheme="minorHAnsi"/>
          <w:sz w:val="24"/>
          <w:szCs w:val="24"/>
        </w:rPr>
        <w:t xml:space="preserve">ddělením analýz a koordinace </w:t>
      </w:r>
      <w:proofErr w:type="spellStart"/>
      <w:r w:rsidR="00B90CC0" w:rsidRPr="004A293D">
        <w:rPr>
          <w:rFonts w:eastAsia="Times New Roman" w:cstheme="minorHAnsi"/>
          <w:sz w:val="24"/>
          <w:szCs w:val="24"/>
        </w:rPr>
        <w:t>VaVaI</w:t>
      </w:r>
      <w:proofErr w:type="spellEnd"/>
      <w:r w:rsidR="00B90CC0" w:rsidRPr="004A293D">
        <w:rPr>
          <w:rFonts w:eastAsia="Times New Roman" w:cstheme="minorHAnsi"/>
          <w:sz w:val="24"/>
          <w:szCs w:val="24"/>
        </w:rPr>
        <w:t xml:space="preserve"> ÚV ČR</w:t>
      </w:r>
      <w:r w:rsidRPr="004A293D">
        <w:rPr>
          <w:rFonts w:eastAsia="Times New Roman" w:cstheme="minorHAnsi"/>
          <w:sz w:val="24"/>
          <w:szCs w:val="24"/>
        </w:rPr>
        <w:t>.</w:t>
      </w:r>
      <w:r w:rsidR="00B90CC0" w:rsidRPr="004A293D">
        <w:rPr>
          <w:rFonts w:eastAsia="Times New Roman" w:cstheme="minorHAnsi"/>
          <w:sz w:val="24"/>
          <w:szCs w:val="24"/>
        </w:rPr>
        <w:t xml:space="preserve"> </w:t>
      </w:r>
    </w:p>
    <w:p w14:paraId="03F7F5D5" w14:textId="77777777" w:rsidR="00B90CC0" w:rsidRPr="00A138A4" w:rsidRDefault="00B90CC0" w:rsidP="004A293D">
      <w:pPr>
        <w:spacing w:after="60" w:line="276" w:lineRule="auto"/>
        <w:jc w:val="both"/>
        <w:rPr>
          <w:rFonts w:eastAsia="Times New Roman" w:cstheme="minorHAnsi"/>
          <w:sz w:val="24"/>
          <w:szCs w:val="24"/>
        </w:rPr>
      </w:pPr>
      <w:r w:rsidRPr="00A138A4">
        <w:rPr>
          <w:rFonts w:eastAsia="Times New Roman" w:cstheme="minorHAnsi"/>
          <w:sz w:val="24"/>
          <w:szCs w:val="24"/>
        </w:rPr>
        <w:t xml:space="preserve">Celkové výdaje na </w:t>
      </w:r>
      <w:proofErr w:type="spellStart"/>
      <w:r w:rsidRPr="00A138A4">
        <w:rPr>
          <w:rFonts w:eastAsia="Times New Roman" w:cstheme="minorHAnsi"/>
          <w:sz w:val="24"/>
          <w:szCs w:val="24"/>
        </w:rPr>
        <w:t>VaV</w:t>
      </w:r>
      <w:proofErr w:type="spellEnd"/>
      <w:r w:rsidRPr="00A138A4">
        <w:rPr>
          <w:rFonts w:eastAsia="Times New Roman" w:cstheme="minorHAnsi"/>
          <w:sz w:val="24"/>
          <w:szCs w:val="24"/>
        </w:rPr>
        <w:t> v ČR vykazují dlouhodobě růst. I navzdory pandemii onemocnění covid-19 překonaly v roce 2021 hranici 120 mld. Kč. Oproti roku 2020 se tak zvýšily o 8,5 mld. Kč (tj. o 7,5 %).</w:t>
      </w:r>
    </w:p>
    <w:p w14:paraId="5A9EAED7" w14:textId="07260640" w:rsidR="00B90CC0" w:rsidRPr="00A138A4" w:rsidRDefault="00B90CC0" w:rsidP="00B90CC0">
      <w:pPr>
        <w:spacing w:after="60" w:line="276" w:lineRule="auto"/>
        <w:jc w:val="both"/>
        <w:rPr>
          <w:rFonts w:eastAsia="Times New Roman" w:cstheme="minorHAnsi"/>
          <w:sz w:val="24"/>
          <w:szCs w:val="24"/>
        </w:rPr>
      </w:pPr>
      <w:r w:rsidRPr="00A138A4">
        <w:rPr>
          <w:rFonts w:eastAsia="Times New Roman" w:cstheme="minorHAnsi"/>
          <w:sz w:val="24"/>
          <w:szCs w:val="24"/>
        </w:rPr>
        <w:t>V desetileté časové řadě v letech 2012−2021 byl pravidelný meziroční růst narušen pouze v roce 2016, kdy vlivem přechodu na nové programové období došl</w:t>
      </w:r>
      <w:r w:rsidR="004767A9">
        <w:rPr>
          <w:rFonts w:eastAsia="Times New Roman" w:cstheme="minorHAnsi"/>
          <w:sz w:val="24"/>
          <w:szCs w:val="24"/>
        </w:rPr>
        <w:t>o k výpadku veřejných zdrojů ze </w:t>
      </w:r>
      <w:r w:rsidRPr="00A138A4">
        <w:rPr>
          <w:rFonts w:eastAsia="Times New Roman" w:cstheme="minorHAnsi"/>
          <w:sz w:val="24"/>
          <w:szCs w:val="24"/>
        </w:rPr>
        <w:t>zahraničí.</w:t>
      </w:r>
    </w:p>
    <w:p w14:paraId="14A64C5E" w14:textId="76745F9D" w:rsidR="00B90CC0" w:rsidRPr="00831BB7" w:rsidRDefault="004A1DAE" w:rsidP="00B90CC0">
      <w:pPr>
        <w:pStyle w:val="Obrzek-nadpis"/>
        <w:rPr>
          <w:rFonts w:asciiTheme="minorHAnsi" w:hAnsiTheme="minorHAnsi" w:cstheme="minorHAnsi"/>
        </w:rPr>
      </w:pPr>
      <w:r>
        <w:rPr>
          <w:rFonts w:asciiTheme="minorHAnsi" w:hAnsiTheme="minorHAnsi" w:cstheme="minorHAnsi"/>
        </w:rPr>
        <w:t>Graf</w:t>
      </w:r>
      <w:r w:rsidR="00B90CC0">
        <w:rPr>
          <w:rFonts w:asciiTheme="minorHAnsi" w:hAnsiTheme="minorHAnsi" w:cstheme="minorHAnsi"/>
        </w:rPr>
        <w:t xml:space="preserve">: </w:t>
      </w:r>
      <w:r w:rsidR="00B90CC0" w:rsidRPr="00831BB7">
        <w:rPr>
          <w:rFonts w:asciiTheme="minorHAnsi" w:hAnsiTheme="minorHAnsi" w:cstheme="minorHAnsi"/>
        </w:rPr>
        <w:t>Celkové výdaje na výzkum a vývoj (GERD) v ČR v letech 2012–2021 podle zdrojů financování (v běžných cenách)</w:t>
      </w:r>
    </w:p>
    <w:p w14:paraId="4ACC78F5" w14:textId="77777777" w:rsidR="00B90CC0" w:rsidRPr="00831BB7" w:rsidRDefault="00B90CC0" w:rsidP="00B90CC0">
      <w:pPr>
        <w:spacing w:after="240" w:line="240" w:lineRule="auto"/>
        <w:jc w:val="center"/>
        <w:rPr>
          <w:rFonts w:eastAsia="Times New Roman" w:cstheme="minorHAnsi"/>
          <w:b/>
          <w:sz w:val="24"/>
          <w:szCs w:val="24"/>
          <w:highlight w:val="yellow"/>
        </w:rPr>
      </w:pPr>
      <w:r w:rsidRPr="00831BB7">
        <w:rPr>
          <w:rFonts w:cstheme="minorHAnsi"/>
          <w:noProof/>
        </w:rPr>
        <w:drawing>
          <wp:inline distT="0" distB="0" distL="0" distR="0" wp14:anchorId="0EC40DB2" wp14:editId="124E29C7">
            <wp:extent cx="5543550" cy="2838450"/>
            <wp:effectExtent l="0" t="0" r="0" b="0"/>
            <wp:docPr id="7" name="Graf 7">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1491B6F" w14:textId="77777777" w:rsidR="00B90CC0" w:rsidRPr="00831BB7" w:rsidRDefault="00B90CC0" w:rsidP="00B90CC0">
      <w:pPr>
        <w:pStyle w:val="Zdrojapoznmka"/>
        <w:rPr>
          <w:rFonts w:asciiTheme="minorHAnsi" w:hAnsiTheme="minorHAnsi" w:cstheme="minorHAnsi"/>
        </w:rPr>
      </w:pPr>
      <w:r w:rsidRPr="00831BB7">
        <w:rPr>
          <w:rFonts w:asciiTheme="minorHAnsi" w:hAnsiTheme="minorHAnsi" w:cstheme="minorHAnsi"/>
        </w:rPr>
        <w:t>Zdroj: ČSÚ, Roční výkaz o výzkumu a vývoji | zpracováno v rámci chystaného dokumentu Analýza stavu výzkumu, vývoje a inovací a jejich mezinárodní srovnání se zahraničím v roce 2021 (bude předloženo na 385. jednání Rady dne 16. 12. 2022).</w:t>
      </w:r>
    </w:p>
    <w:p w14:paraId="2A3893B0" w14:textId="77777777" w:rsidR="001F5009" w:rsidRDefault="001F5009" w:rsidP="00B90CC0">
      <w:pPr>
        <w:spacing w:after="60" w:line="276" w:lineRule="auto"/>
        <w:jc w:val="both"/>
        <w:rPr>
          <w:rFonts w:eastAsia="Times New Roman" w:cstheme="minorHAnsi"/>
          <w:sz w:val="24"/>
          <w:szCs w:val="24"/>
        </w:rPr>
      </w:pPr>
    </w:p>
    <w:p w14:paraId="0CAE2F4B" w14:textId="60C615A0" w:rsidR="00B90CC0" w:rsidRPr="00A138A4" w:rsidRDefault="00B90CC0" w:rsidP="00B90CC0">
      <w:pPr>
        <w:spacing w:after="60" w:line="276" w:lineRule="auto"/>
        <w:jc w:val="both"/>
        <w:rPr>
          <w:rFonts w:eastAsia="Times New Roman" w:cstheme="minorHAnsi"/>
          <w:sz w:val="24"/>
          <w:szCs w:val="24"/>
        </w:rPr>
      </w:pPr>
      <w:r w:rsidRPr="00A138A4">
        <w:rPr>
          <w:rFonts w:eastAsia="Times New Roman" w:cstheme="minorHAnsi"/>
          <w:sz w:val="24"/>
          <w:szCs w:val="24"/>
        </w:rPr>
        <w:t xml:space="preserve">Hlavní složkou výdajů, která přispěla k dlouhodobému růstu výdajů na </w:t>
      </w:r>
      <w:proofErr w:type="spellStart"/>
      <w:r w:rsidRPr="00A138A4">
        <w:rPr>
          <w:rFonts w:eastAsia="Times New Roman" w:cstheme="minorHAnsi"/>
          <w:sz w:val="24"/>
          <w:szCs w:val="24"/>
        </w:rPr>
        <w:t>VaV</w:t>
      </w:r>
      <w:proofErr w:type="spellEnd"/>
      <w:r w:rsidRPr="00A138A4">
        <w:rPr>
          <w:rFonts w:eastAsia="Times New Roman" w:cstheme="minorHAnsi"/>
          <w:sz w:val="24"/>
          <w:szCs w:val="24"/>
        </w:rPr>
        <w:t xml:space="preserve">, jsou výdaje </w:t>
      </w:r>
      <w:r w:rsidRPr="00A138A4">
        <w:rPr>
          <w:rFonts w:eastAsia="Times New Roman" w:cstheme="minorHAnsi"/>
          <w:b/>
          <w:bCs/>
          <w:sz w:val="24"/>
          <w:szCs w:val="24"/>
        </w:rPr>
        <w:t>z podnikatelských zdrojů</w:t>
      </w:r>
      <w:r w:rsidRPr="00A138A4">
        <w:rPr>
          <w:rFonts w:eastAsia="Times New Roman" w:cstheme="minorHAnsi"/>
          <w:sz w:val="24"/>
          <w:szCs w:val="24"/>
        </w:rPr>
        <w:t>.</w:t>
      </w:r>
    </w:p>
    <w:p w14:paraId="11590C0B" w14:textId="77777777" w:rsidR="00B90CC0" w:rsidRPr="00A138A4" w:rsidRDefault="00B90CC0" w:rsidP="00B90CC0">
      <w:pPr>
        <w:spacing w:after="60" w:line="276" w:lineRule="auto"/>
        <w:jc w:val="both"/>
        <w:rPr>
          <w:rFonts w:eastAsia="Times New Roman" w:cstheme="minorHAnsi"/>
          <w:sz w:val="24"/>
          <w:szCs w:val="24"/>
        </w:rPr>
      </w:pPr>
      <w:r w:rsidRPr="00A138A4">
        <w:rPr>
          <w:rFonts w:eastAsia="Times New Roman" w:cstheme="minorHAnsi"/>
          <w:sz w:val="24"/>
          <w:szCs w:val="24"/>
        </w:rPr>
        <w:t xml:space="preserve">Další složkou celkových výdajů, která přispěla k dlouhodobému růstu celkových výdajů na </w:t>
      </w:r>
      <w:proofErr w:type="spellStart"/>
      <w:r w:rsidRPr="00A138A4">
        <w:rPr>
          <w:rFonts w:eastAsia="Times New Roman" w:cstheme="minorHAnsi"/>
          <w:sz w:val="24"/>
          <w:szCs w:val="24"/>
        </w:rPr>
        <w:t>VaV</w:t>
      </w:r>
      <w:proofErr w:type="spellEnd"/>
      <w:r w:rsidRPr="00A138A4">
        <w:rPr>
          <w:rFonts w:eastAsia="Times New Roman" w:cstheme="minorHAnsi"/>
          <w:sz w:val="24"/>
          <w:szCs w:val="24"/>
        </w:rPr>
        <w:t xml:space="preserve">, jsou </w:t>
      </w:r>
      <w:r w:rsidRPr="00A138A4">
        <w:rPr>
          <w:rFonts w:eastAsia="Times New Roman" w:cstheme="minorHAnsi"/>
          <w:b/>
          <w:sz w:val="24"/>
          <w:szCs w:val="24"/>
        </w:rPr>
        <w:t>veřejné tuzemské zdroje.</w:t>
      </w:r>
      <w:r w:rsidRPr="00A138A4">
        <w:rPr>
          <w:rFonts w:eastAsia="Times New Roman" w:cstheme="minorHAnsi"/>
          <w:sz w:val="24"/>
          <w:szCs w:val="24"/>
        </w:rPr>
        <w:t xml:space="preserve"> Tyto výdaje vykazovaly sice nižší, avšak relativně stabilní tempo růstu oproti podnikatelským zdrojům.</w:t>
      </w:r>
    </w:p>
    <w:p w14:paraId="202FB387" w14:textId="3DBD7C46" w:rsidR="00B90CC0" w:rsidRPr="00A138A4" w:rsidRDefault="00B90CC0" w:rsidP="00B90CC0">
      <w:pPr>
        <w:spacing w:after="60" w:line="276" w:lineRule="auto"/>
        <w:jc w:val="both"/>
        <w:rPr>
          <w:rFonts w:eastAsia="Times New Roman" w:cstheme="minorHAnsi"/>
          <w:bCs/>
          <w:sz w:val="24"/>
          <w:szCs w:val="24"/>
        </w:rPr>
      </w:pPr>
      <w:r w:rsidRPr="00A138A4">
        <w:rPr>
          <w:rFonts w:eastAsia="Times New Roman" w:cstheme="minorHAnsi"/>
          <w:sz w:val="24"/>
          <w:szCs w:val="24"/>
        </w:rPr>
        <w:t>Neméně důležitou složkou celkových výdajů na </w:t>
      </w:r>
      <w:proofErr w:type="spellStart"/>
      <w:r w:rsidRPr="00A138A4">
        <w:rPr>
          <w:rFonts w:eastAsia="Times New Roman" w:cstheme="minorHAnsi"/>
          <w:sz w:val="24"/>
          <w:szCs w:val="24"/>
        </w:rPr>
        <w:t>VaV</w:t>
      </w:r>
      <w:proofErr w:type="spellEnd"/>
      <w:r w:rsidRPr="00A138A4">
        <w:rPr>
          <w:rFonts w:eastAsia="Times New Roman" w:cstheme="minorHAnsi"/>
          <w:sz w:val="24"/>
          <w:szCs w:val="24"/>
        </w:rPr>
        <w:t xml:space="preserve"> jsou </w:t>
      </w:r>
      <w:r w:rsidRPr="00A138A4">
        <w:rPr>
          <w:rFonts w:eastAsia="Times New Roman" w:cstheme="minorHAnsi"/>
          <w:b/>
          <w:sz w:val="24"/>
          <w:szCs w:val="24"/>
        </w:rPr>
        <w:t>zahraniční veřejné zdroje</w:t>
      </w:r>
      <w:r w:rsidRPr="00A138A4">
        <w:rPr>
          <w:rFonts w:eastAsia="Times New Roman" w:cstheme="minorHAnsi"/>
          <w:sz w:val="24"/>
          <w:szCs w:val="24"/>
        </w:rPr>
        <w:t xml:space="preserve">. Pro tento druh veřejné podpory je typický její cyklický vývoj </w:t>
      </w:r>
      <w:r w:rsidR="00C74D36">
        <w:rPr>
          <w:rFonts w:eastAsia="Times New Roman" w:cstheme="minorHAnsi"/>
          <w:sz w:val="24"/>
          <w:szCs w:val="24"/>
        </w:rPr>
        <w:t>odpovídající čerpání z fondů EU</w:t>
      </w:r>
      <w:r w:rsidRPr="00A138A4">
        <w:rPr>
          <w:rFonts w:eastAsia="Times New Roman" w:cstheme="minorHAnsi"/>
          <w:sz w:val="24"/>
          <w:szCs w:val="24"/>
        </w:rPr>
        <w:t>.</w:t>
      </w:r>
    </w:p>
    <w:p w14:paraId="6106F7FD" w14:textId="4A6F9578" w:rsidR="00B90CC0" w:rsidRPr="00831BB7" w:rsidRDefault="00B90CC0" w:rsidP="00B90CC0">
      <w:pPr>
        <w:pStyle w:val="Obrzek-nadpis"/>
        <w:rPr>
          <w:rFonts w:asciiTheme="minorHAnsi" w:hAnsiTheme="minorHAnsi" w:cstheme="minorHAnsi"/>
        </w:rPr>
      </w:pPr>
      <w:r>
        <w:rPr>
          <w:rFonts w:asciiTheme="minorHAnsi" w:hAnsiTheme="minorHAnsi" w:cstheme="minorHAnsi"/>
        </w:rPr>
        <w:lastRenderedPageBreak/>
        <w:t xml:space="preserve">Graf: </w:t>
      </w:r>
      <w:r w:rsidRPr="00831BB7">
        <w:rPr>
          <w:rFonts w:asciiTheme="minorHAnsi" w:hAnsiTheme="minorHAnsi" w:cstheme="minorHAnsi"/>
        </w:rPr>
        <w:t>Zdroje financování celkových výdajů na výzkum a vývoj (GERD) v běžných cenách vyjádřené jako % hrubého domácího produktu (HDP)</w:t>
      </w:r>
    </w:p>
    <w:p w14:paraId="63649CB8" w14:textId="77777777" w:rsidR="00B90CC0" w:rsidRPr="00831BB7" w:rsidRDefault="00B90CC0" w:rsidP="00B90CC0">
      <w:pPr>
        <w:pStyle w:val="Obrzek"/>
        <w:rPr>
          <w:rFonts w:asciiTheme="minorHAnsi" w:hAnsiTheme="minorHAnsi" w:cstheme="minorHAnsi"/>
        </w:rPr>
      </w:pPr>
      <w:r w:rsidRPr="00831BB7">
        <w:rPr>
          <w:rFonts w:asciiTheme="minorHAnsi" w:hAnsiTheme="minorHAnsi" w:cstheme="minorHAnsi"/>
          <w:noProof/>
        </w:rPr>
        <w:drawing>
          <wp:inline distT="0" distB="0" distL="0" distR="0" wp14:anchorId="5BA56F0A" wp14:editId="74A1B1DD">
            <wp:extent cx="6120000" cy="3275620"/>
            <wp:effectExtent l="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a:extLst>
                        <a:ext uri="{28A0092B-C50C-407E-A947-70E740481C1C}">
                          <a14:useLocalDpi xmlns:a14="http://schemas.microsoft.com/office/drawing/2010/main" val="0"/>
                        </a:ext>
                      </a:extLst>
                    </a:blip>
                    <a:srcRect l="8560" t="4553"/>
                    <a:stretch/>
                  </pic:blipFill>
                  <pic:spPr bwMode="auto">
                    <a:xfrm>
                      <a:off x="0" y="0"/>
                      <a:ext cx="6120000" cy="3275620"/>
                    </a:xfrm>
                    <a:prstGeom prst="rect">
                      <a:avLst/>
                    </a:prstGeom>
                    <a:noFill/>
                    <a:ln>
                      <a:noFill/>
                    </a:ln>
                    <a:extLst>
                      <a:ext uri="{53640926-AAD7-44D8-BBD7-CCE9431645EC}">
                        <a14:shadowObscured xmlns:a14="http://schemas.microsoft.com/office/drawing/2010/main"/>
                      </a:ext>
                    </a:extLst>
                  </pic:spPr>
                </pic:pic>
              </a:graphicData>
            </a:graphic>
          </wp:inline>
        </w:drawing>
      </w:r>
    </w:p>
    <w:p w14:paraId="25DD29B2" w14:textId="77777777" w:rsidR="00B90CC0" w:rsidRPr="00831BB7" w:rsidRDefault="00B90CC0" w:rsidP="00B90CC0">
      <w:pPr>
        <w:pStyle w:val="Zdrojapoznmka"/>
        <w:rPr>
          <w:rFonts w:asciiTheme="minorHAnsi" w:hAnsiTheme="minorHAnsi" w:cstheme="minorHAnsi"/>
          <w:sz w:val="20"/>
        </w:rPr>
      </w:pPr>
      <w:r w:rsidRPr="00831BB7">
        <w:rPr>
          <w:rFonts w:asciiTheme="minorHAnsi" w:hAnsiTheme="minorHAnsi" w:cstheme="minorHAnsi"/>
          <w:sz w:val="20"/>
        </w:rPr>
        <w:t>Zdroj: ČSÚ | zpracováno v rámci chystaného dokumentu Analýza stavu výzkumu, vývoje a inovací a jejich mezinárodní srovnání se zahraničím v roce 2021 (bude předloženo na 385. jednání Rady dne 16. 12. 2022).</w:t>
      </w:r>
    </w:p>
    <w:p w14:paraId="7D5D8C3E" w14:textId="77777777" w:rsidR="001F5009" w:rsidRDefault="001F5009" w:rsidP="00B90CC0">
      <w:pPr>
        <w:spacing w:after="60" w:line="276" w:lineRule="auto"/>
        <w:jc w:val="both"/>
        <w:rPr>
          <w:rFonts w:eastAsia="Times New Roman" w:cstheme="minorHAnsi"/>
          <w:b/>
          <w:bCs/>
          <w:i/>
          <w:sz w:val="24"/>
        </w:rPr>
      </w:pPr>
    </w:p>
    <w:p w14:paraId="309545E4" w14:textId="70C62A9C" w:rsidR="00B90CC0" w:rsidRPr="001F5009" w:rsidRDefault="00B90CC0" w:rsidP="00B90CC0">
      <w:pPr>
        <w:spacing w:after="60" w:line="276" w:lineRule="auto"/>
        <w:jc w:val="both"/>
        <w:rPr>
          <w:rFonts w:eastAsia="Times New Roman" w:cstheme="minorHAnsi"/>
          <w:b/>
          <w:bCs/>
          <w:i/>
          <w:sz w:val="24"/>
        </w:rPr>
      </w:pPr>
      <w:r w:rsidRPr="001F5009">
        <w:rPr>
          <w:rFonts w:eastAsia="Times New Roman" w:cstheme="minorHAnsi"/>
          <w:b/>
          <w:bCs/>
          <w:i/>
          <w:sz w:val="24"/>
        </w:rPr>
        <w:t>Poznámka k veřejným zdrojům ze zahraniční:</w:t>
      </w:r>
    </w:p>
    <w:p w14:paraId="47AF8D0C" w14:textId="48825082" w:rsidR="00B90CC0" w:rsidRPr="001F5009" w:rsidRDefault="00B90CC0" w:rsidP="00B90CC0">
      <w:pPr>
        <w:spacing w:after="60" w:line="276" w:lineRule="auto"/>
        <w:jc w:val="both"/>
        <w:rPr>
          <w:rFonts w:eastAsia="Times New Roman" w:cstheme="minorHAnsi"/>
          <w:i/>
          <w:sz w:val="24"/>
        </w:rPr>
      </w:pPr>
      <w:r w:rsidRPr="001F5009">
        <w:rPr>
          <w:rFonts w:eastAsia="Times New Roman" w:cstheme="minorHAnsi"/>
          <w:i/>
          <w:sz w:val="24"/>
        </w:rPr>
        <w:t xml:space="preserve">V programovém období mezi lety 2007–2013 byly v ČR realizovány poměrně vysoké investiční výdaje financované ze zahraničních veřejných zdrojů (OP </w:t>
      </w:r>
      <w:proofErr w:type="spellStart"/>
      <w:r w:rsidRPr="001F5009">
        <w:rPr>
          <w:rFonts w:eastAsia="Times New Roman" w:cstheme="minorHAnsi"/>
          <w:i/>
          <w:sz w:val="24"/>
        </w:rPr>
        <w:t>VaVpI</w:t>
      </w:r>
      <w:proofErr w:type="spellEnd"/>
      <w:r w:rsidRPr="001F5009">
        <w:rPr>
          <w:rFonts w:eastAsia="Times New Roman" w:cstheme="minorHAnsi"/>
          <w:i/>
          <w:sz w:val="24"/>
        </w:rPr>
        <w:t>). Jedn</w:t>
      </w:r>
      <w:r w:rsidR="004767A9">
        <w:rPr>
          <w:rFonts w:eastAsia="Times New Roman" w:cstheme="minorHAnsi"/>
          <w:i/>
          <w:sz w:val="24"/>
        </w:rPr>
        <w:t>alo se především o investice do </w:t>
      </w:r>
      <w:r w:rsidRPr="001F5009">
        <w:rPr>
          <w:rFonts w:eastAsia="Times New Roman" w:cstheme="minorHAnsi"/>
          <w:i/>
          <w:sz w:val="24"/>
        </w:rPr>
        <w:t xml:space="preserve">budování tzv. excelentních center </w:t>
      </w:r>
      <w:proofErr w:type="spellStart"/>
      <w:r w:rsidRPr="001F5009">
        <w:rPr>
          <w:rFonts w:eastAsia="Times New Roman" w:cstheme="minorHAnsi"/>
          <w:i/>
          <w:sz w:val="24"/>
        </w:rPr>
        <w:t>VaV</w:t>
      </w:r>
      <w:proofErr w:type="spellEnd"/>
      <w:r w:rsidRPr="001F5009">
        <w:rPr>
          <w:rFonts w:eastAsia="Times New Roman" w:cstheme="minorHAnsi"/>
          <w:i/>
          <w:sz w:val="24"/>
        </w:rPr>
        <w:t>.</w:t>
      </w:r>
    </w:p>
    <w:p w14:paraId="34C2D755" w14:textId="77777777" w:rsidR="00B90CC0" w:rsidRPr="001F5009" w:rsidRDefault="00B90CC0" w:rsidP="00B90CC0">
      <w:pPr>
        <w:spacing w:after="60" w:line="276" w:lineRule="auto"/>
        <w:jc w:val="both"/>
        <w:rPr>
          <w:rFonts w:eastAsia="Times New Roman" w:cstheme="minorHAnsi"/>
          <w:i/>
          <w:sz w:val="24"/>
        </w:rPr>
      </w:pPr>
      <w:r w:rsidRPr="001F5009">
        <w:rPr>
          <w:rFonts w:eastAsia="Times New Roman" w:cstheme="minorHAnsi"/>
          <w:i/>
          <w:sz w:val="24"/>
        </w:rPr>
        <w:t xml:space="preserve">V průběhu programového období 2014–2020 výdaje z veřejných zahraničních zdrojů nedosahovaly takové výše jako v předešlém období, nicméně i tak byly tyto výdaje pro systém </w:t>
      </w:r>
      <w:proofErr w:type="spellStart"/>
      <w:r w:rsidRPr="001F5009">
        <w:rPr>
          <w:rFonts w:eastAsia="Times New Roman" w:cstheme="minorHAnsi"/>
          <w:i/>
          <w:sz w:val="24"/>
        </w:rPr>
        <w:t>VaV</w:t>
      </w:r>
      <w:proofErr w:type="spellEnd"/>
      <w:r w:rsidRPr="001F5009">
        <w:rPr>
          <w:rFonts w:eastAsia="Times New Roman" w:cstheme="minorHAnsi"/>
          <w:i/>
          <w:sz w:val="24"/>
        </w:rPr>
        <w:t xml:space="preserve"> významné. V rámci OP VVV byly financovány především témata: Podpora výzkumných infrastruktur, Podpora mobility a MSCA. V rámci OP PIK pak podpora cílila na podporu zvýšení inovační výkonnosti podniků.</w:t>
      </w:r>
    </w:p>
    <w:p w14:paraId="31CBA6C8" w14:textId="02E4E12E" w:rsidR="001F5009" w:rsidRDefault="00B90CC0" w:rsidP="00B90CC0">
      <w:pPr>
        <w:spacing w:after="60" w:line="276" w:lineRule="auto"/>
        <w:jc w:val="both"/>
        <w:rPr>
          <w:rFonts w:eastAsia="Times New Roman" w:cstheme="minorHAnsi"/>
          <w:i/>
          <w:sz w:val="24"/>
        </w:rPr>
      </w:pPr>
      <w:r w:rsidRPr="001F5009">
        <w:rPr>
          <w:rFonts w:eastAsia="Times New Roman" w:cstheme="minorHAnsi"/>
          <w:i/>
          <w:sz w:val="24"/>
        </w:rPr>
        <w:t xml:space="preserve">Těžiště podpory ze zahraničních veřejných zdrojů v rámci současného programového období 2021–2027 zůstává v gesci MŠMT a MPO (tj. především OP JAK a OP TAK), vedle toho má ČR možnost čerpat podporu na aktivity </w:t>
      </w:r>
      <w:proofErr w:type="spellStart"/>
      <w:r w:rsidRPr="001F5009">
        <w:rPr>
          <w:rFonts w:eastAsia="Times New Roman" w:cstheme="minorHAnsi"/>
          <w:i/>
          <w:sz w:val="24"/>
        </w:rPr>
        <w:t>VaV</w:t>
      </w:r>
      <w:proofErr w:type="spellEnd"/>
      <w:r w:rsidRPr="001F5009">
        <w:rPr>
          <w:rFonts w:eastAsia="Times New Roman" w:cstheme="minorHAnsi"/>
          <w:i/>
          <w:sz w:val="24"/>
        </w:rPr>
        <w:t xml:space="preserve"> v rámci tzv. </w:t>
      </w:r>
      <w:r w:rsidR="00C74D36" w:rsidRPr="001F5009">
        <w:rPr>
          <w:rFonts w:eastAsia="Times New Roman" w:cstheme="minorHAnsi"/>
          <w:i/>
          <w:sz w:val="24"/>
        </w:rPr>
        <w:t>Národním plánu obnovy</w:t>
      </w:r>
      <w:r w:rsidRPr="001F5009">
        <w:rPr>
          <w:rFonts w:eastAsia="Times New Roman" w:cstheme="minorHAnsi"/>
          <w:i/>
          <w:sz w:val="24"/>
        </w:rPr>
        <w:t xml:space="preserve">, přičemž by měla ČR i nadále usilovat o zvýšení účasti v rámcovém programu </w:t>
      </w:r>
      <w:proofErr w:type="spellStart"/>
      <w:r w:rsidRPr="001F5009">
        <w:rPr>
          <w:rFonts w:eastAsia="Times New Roman" w:cstheme="minorHAnsi"/>
          <w:i/>
          <w:sz w:val="24"/>
        </w:rPr>
        <w:t>Horizon</w:t>
      </w:r>
      <w:proofErr w:type="spellEnd"/>
      <w:r w:rsidRPr="001F5009">
        <w:rPr>
          <w:rFonts w:eastAsia="Times New Roman" w:cstheme="minorHAnsi"/>
          <w:i/>
          <w:sz w:val="24"/>
        </w:rPr>
        <w:t xml:space="preserve"> Evropa.</w:t>
      </w:r>
    </w:p>
    <w:p w14:paraId="1197AD6D" w14:textId="1A054318" w:rsidR="00B90CC0" w:rsidRPr="001F5009" w:rsidRDefault="001F5009" w:rsidP="001F5009">
      <w:pPr>
        <w:rPr>
          <w:rFonts w:eastAsia="Times New Roman" w:cstheme="minorHAnsi"/>
          <w:i/>
          <w:sz w:val="24"/>
        </w:rPr>
      </w:pPr>
      <w:r>
        <w:rPr>
          <w:rFonts w:eastAsia="Times New Roman" w:cstheme="minorHAnsi"/>
          <w:i/>
          <w:sz w:val="24"/>
        </w:rPr>
        <w:br w:type="page"/>
      </w:r>
    </w:p>
    <w:p w14:paraId="2AA3218A" w14:textId="77777777" w:rsidR="004767A9" w:rsidRPr="00B90CC0" w:rsidRDefault="004767A9" w:rsidP="004767A9">
      <w:pPr>
        <w:pStyle w:val="Odstavecseseznamem"/>
        <w:numPr>
          <w:ilvl w:val="0"/>
          <w:numId w:val="28"/>
        </w:numPr>
        <w:spacing w:line="240" w:lineRule="auto"/>
        <w:ind w:left="426"/>
        <w:jc w:val="both"/>
        <w:rPr>
          <w:rFonts w:ascii="Calibri" w:eastAsia="Calibri" w:hAnsi="Calibri" w:cs="Calibri"/>
          <w:b/>
          <w:bCs/>
          <w:color w:val="002060"/>
          <w:sz w:val="28"/>
        </w:rPr>
      </w:pPr>
      <w:r w:rsidRPr="009B4E58">
        <w:rPr>
          <w:rFonts w:ascii="Calibri" w:eastAsia="Calibri" w:hAnsi="Calibri" w:cs="Calibri"/>
          <w:b/>
          <w:bCs/>
          <w:color w:val="002060"/>
          <w:sz w:val="28"/>
        </w:rPr>
        <w:lastRenderedPageBreak/>
        <w:t>Mezinárodní srovnání výda</w:t>
      </w:r>
      <w:r>
        <w:rPr>
          <w:rFonts w:ascii="Calibri" w:eastAsia="Calibri" w:hAnsi="Calibri" w:cs="Calibri"/>
          <w:b/>
          <w:bCs/>
          <w:color w:val="002060"/>
          <w:sz w:val="28"/>
        </w:rPr>
        <w:t xml:space="preserve">jů </w:t>
      </w:r>
      <w:proofErr w:type="spellStart"/>
      <w:r>
        <w:rPr>
          <w:rFonts w:ascii="Calibri" w:eastAsia="Calibri" w:hAnsi="Calibri" w:cs="Calibri"/>
          <w:b/>
          <w:bCs/>
          <w:color w:val="002060"/>
          <w:sz w:val="28"/>
        </w:rPr>
        <w:t>VaV</w:t>
      </w:r>
      <w:proofErr w:type="spellEnd"/>
      <w:r>
        <w:rPr>
          <w:rFonts w:ascii="Calibri" w:eastAsia="Calibri" w:hAnsi="Calibri" w:cs="Calibri"/>
          <w:b/>
          <w:bCs/>
          <w:color w:val="002060"/>
          <w:sz w:val="28"/>
        </w:rPr>
        <w:t xml:space="preserve"> podle zdroje financování</w:t>
      </w:r>
    </w:p>
    <w:p w14:paraId="243FB9C0" w14:textId="77777777" w:rsidR="004767A9" w:rsidRDefault="004767A9" w:rsidP="00B90CC0">
      <w:pPr>
        <w:spacing w:after="60" w:line="276" w:lineRule="auto"/>
        <w:jc w:val="both"/>
        <w:rPr>
          <w:rFonts w:cstheme="minorHAnsi"/>
          <w:sz w:val="24"/>
        </w:rPr>
      </w:pPr>
    </w:p>
    <w:p w14:paraId="1D178A4F" w14:textId="40F22344" w:rsidR="00B90CC0" w:rsidRPr="00831BB7" w:rsidRDefault="00B90CC0" w:rsidP="00B90CC0">
      <w:pPr>
        <w:spacing w:after="60" w:line="276" w:lineRule="auto"/>
        <w:jc w:val="both"/>
        <w:rPr>
          <w:rFonts w:cstheme="minorHAnsi"/>
          <w:sz w:val="24"/>
        </w:rPr>
      </w:pPr>
      <w:r w:rsidRPr="00831BB7">
        <w:rPr>
          <w:rFonts w:cstheme="minorHAnsi"/>
          <w:sz w:val="24"/>
        </w:rPr>
        <w:t>Z mezinárodního srovnání vyplývá, že ČR patří k zemím EU, u nichž se objevuje složka veřejných výdajů ze zahraničních zdrojů tvořená především finanční</w:t>
      </w:r>
      <w:r w:rsidR="004767A9">
        <w:rPr>
          <w:rFonts w:cstheme="minorHAnsi"/>
          <w:sz w:val="24"/>
        </w:rPr>
        <w:t>mi</w:t>
      </w:r>
      <w:r w:rsidRPr="00831BB7">
        <w:rPr>
          <w:rFonts w:cstheme="minorHAnsi"/>
          <w:sz w:val="24"/>
        </w:rPr>
        <w:t xml:space="preserve"> zdroji z operačních programů (MŠMT a MPO). V budoucnu by však měla ČR cílit na zvýšení účasti v rámcových programech (aktuálně </w:t>
      </w:r>
      <w:proofErr w:type="spellStart"/>
      <w:r w:rsidRPr="00831BB7">
        <w:rPr>
          <w:rFonts w:cstheme="minorHAnsi"/>
          <w:sz w:val="24"/>
        </w:rPr>
        <w:t>Horizon</w:t>
      </w:r>
      <w:proofErr w:type="spellEnd"/>
      <w:r w:rsidRPr="00831BB7">
        <w:rPr>
          <w:rFonts w:cstheme="minorHAnsi"/>
          <w:sz w:val="24"/>
        </w:rPr>
        <w:t xml:space="preserve"> Evropa) a tím i zvýšení čerpané podpory.</w:t>
      </w:r>
    </w:p>
    <w:p w14:paraId="2B21B6AB" w14:textId="45FA56BB" w:rsidR="00B90CC0" w:rsidRDefault="00B90CC0" w:rsidP="00B90CC0">
      <w:pPr>
        <w:spacing w:after="60" w:line="276" w:lineRule="auto"/>
        <w:jc w:val="both"/>
        <w:rPr>
          <w:rFonts w:cstheme="minorHAnsi"/>
          <w:sz w:val="24"/>
        </w:rPr>
      </w:pPr>
      <w:r w:rsidRPr="00831BB7">
        <w:rPr>
          <w:rFonts w:cstheme="minorHAnsi"/>
          <w:sz w:val="24"/>
        </w:rPr>
        <w:t xml:space="preserve">Země, které mají vyšší ukazatel R&amp;D Intensity (tj. podíl výdajů na </w:t>
      </w:r>
      <w:proofErr w:type="spellStart"/>
      <w:r w:rsidRPr="00831BB7">
        <w:rPr>
          <w:rFonts w:cstheme="minorHAnsi"/>
          <w:sz w:val="24"/>
        </w:rPr>
        <w:t>VaV</w:t>
      </w:r>
      <w:proofErr w:type="spellEnd"/>
      <w:r w:rsidRPr="00831BB7">
        <w:rPr>
          <w:rFonts w:cstheme="minorHAnsi"/>
          <w:sz w:val="24"/>
        </w:rPr>
        <w:t xml:space="preserve"> jako % HDP), mají těžiště výdajů na </w:t>
      </w:r>
      <w:proofErr w:type="spellStart"/>
      <w:r w:rsidRPr="00831BB7">
        <w:rPr>
          <w:rFonts w:cstheme="minorHAnsi"/>
          <w:sz w:val="24"/>
        </w:rPr>
        <w:t>VaV</w:t>
      </w:r>
      <w:proofErr w:type="spellEnd"/>
      <w:r w:rsidRPr="00831BB7">
        <w:rPr>
          <w:rFonts w:cstheme="minorHAnsi"/>
          <w:sz w:val="24"/>
        </w:rPr>
        <w:t xml:space="preserve"> v podnikatelských zdrojích</w:t>
      </w:r>
      <w:r w:rsidR="009A52FF">
        <w:rPr>
          <w:rFonts w:cstheme="minorHAnsi"/>
          <w:sz w:val="24"/>
        </w:rPr>
        <w:t>, viz grafy na další straně</w:t>
      </w:r>
      <w:r w:rsidRPr="00831BB7">
        <w:rPr>
          <w:rFonts w:cstheme="minorHAnsi"/>
          <w:sz w:val="24"/>
        </w:rPr>
        <w:t>. Země, jako jsou Litva (LT), Lotyšsko (LV) či Kypr (CY), měly v obou sledovaných letech (2015 a 2020) poměrně vysoký podíl podpory z veřejných zahraničních zdrojů.</w:t>
      </w:r>
    </w:p>
    <w:p w14:paraId="476979EA" w14:textId="4AC5D289" w:rsidR="00B90CC0" w:rsidRPr="00831BB7" w:rsidRDefault="00DE03A1" w:rsidP="00B90CC0">
      <w:pPr>
        <w:spacing w:after="60" w:line="276" w:lineRule="auto"/>
        <w:jc w:val="both"/>
        <w:rPr>
          <w:rFonts w:cstheme="minorHAnsi"/>
          <w:sz w:val="24"/>
        </w:rPr>
      </w:pPr>
      <w:r w:rsidRPr="00DE03A1">
        <w:rPr>
          <w:rFonts w:cstheme="minorHAnsi"/>
          <w:sz w:val="24"/>
        </w:rPr>
        <w:t xml:space="preserve">Pro akceleraci soukromých výdajů na </w:t>
      </w:r>
      <w:proofErr w:type="spellStart"/>
      <w:r w:rsidRPr="00DE03A1">
        <w:rPr>
          <w:rFonts w:cstheme="minorHAnsi"/>
          <w:sz w:val="24"/>
        </w:rPr>
        <w:t>VaV</w:t>
      </w:r>
      <w:proofErr w:type="spellEnd"/>
      <w:r w:rsidRPr="00DE03A1">
        <w:rPr>
          <w:rFonts w:cstheme="minorHAnsi"/>
          <w:sz w:val="24"/>
        </w:rPr>
        <w:t xml:space="preserve"> je nutné sledovat úroveň </w:t>
      </w:r>
      <w:proofErr w:type="spellStart"/>
      <w:r w:rsidRPr="00DE03A1">
        <w:rPr>
          <w:rFonts w:cstheme="minorHAnsi"/>
          <w:sz w:val="24"/>
        </w:rPr>
        <w:t>adicionality</w:t>
      </w:r>
      <w:proofErr w:type="spellEnd"/>
      <w:r w:rsidRPr="00DE03A1">
        <w:rPr>
          <w:rFonts w:cstheme="minorHAnsi"/>
          <w:sz w:val="24"/>
        </w:rPr>
        <w:t xml:space="preserve"> veřejné podpory, neboť cílem a smyslem veřejné podpory </w:t>
      </w:r>
      <w:proofErr w:type="spellStart"/>
      <w:r w:rsidRPr="00DE03A1">
        <w:rPr>
          <w:rFonts w:cstheme="minorHAnsi"/>
          <w:sz w:val="24"/>
        </w:rPr>
        <w:t>VaV</w:t>
      </w:r>
      <w:proofErr w:type="spellEnd"/>
      <w:r w:rsidRPr="00DE03A1">
        <w:rPr>
          <w:rFonts w:cstheme="minorHAnsi"/>
          <w:sz w:val="24"/>
        </w:rPr>
        <w:t xml:space="preserve"> by mělo být především doplňovat, nikoli nahrazovat soukromé zdroje. V této oblasti by bylo žádoucí provést hlubší analýzu zaměřenou na druhy </w:t>
      </w:r>
      <w:proofErr w:type="spellStart"/>
      <w:r w:rsidRPr="00DE03A1">
        <w:rPr>
          <w:rFonts w:cstheme="minorHAnsi"/>
          <w:sz w:val="24"/>
        </w:rPr>
        <w:t>adicionality</w:t>
      </w:r>
      <w:proofErr w:type="spellEnd"/>
      <w:r w:rsidRPr="00DE03A1">
        <w:rPr>
          <w:rFonts w:cstheme="minorHAnsi"/>
          <w:sz w:val="24"/>
        </w:rPr>
        <w:t xml:space="preserve"> veřejné podpory, přičemž by měla být zohledněna odvětvová a případně další specifika dosud podporovaných podniků.</w:t>
      </w:r>
    </w:p>
    <w:p w14:paraId="572DC218" w14:textId="174BC1D6" w:rsidR="001F5009" w:rsidRDefault="00B90CC0" w:rsidP="00B90CC0">
      <w:pPr>
        <w:spacing w:after="60" w:line="276" w:lineRule="auto"/>
        <w:jc w:val="both"/>
        <w:rPr>
          <w:rFonts w:cstheme="minorHAnsi"/>
          <w:sz w:val="24"/>
        </w:rPr>
      </w:pPr>
      <w:r w:rsidRPr="00831BB7">
        <w:rPr>
          <w:rFonts w:cstheme="minorHAnsi"/>
          <w:sz w:val="24"/>
        </w:rPr>
        <w:t xml:space="preserve">Podrobnější mezinárodní srovnání výdajů na </w:t>
      </w:r>
      <w:proofErr w:type="spellStart"/>
      <w:r w:rsidRPr="00831BB7">
        <w:rPr>
          <w:rFonts w:cstheme="minorHAnsi"/>
          <w:sz w:val="24"/>
        </w:rPr>
        <w:t>VaV</w:t>
      </w:r>
      <w:proofErr w:type="spellEnd"/>
      <w:r w:rsidRPr="00831BB7">
        <w:rPr>
          <w:rFonts w:cstheme="minorHAnsi"/>
          <w:sz w:val="24"/>
        </w:rPr>
        <w:t xml:space="preserve"> v jednotlivých sektorech provádění či např. dle oborového srovnání je zpracováváno v rámci Analýzy </w:t>
      </w:r>
      <w:proofErr w:type="spellStart"/>
      <w:r w:rsidRPr="00831BB7">
        <w:rPr>
          <w:rFonts w:cstheme="minorHAnsi"/>
          <w:sz w:val="24"/>
        </w:rPr>
        <w:t>VaVaI</w:t>
      </w:r>
      <w:proofErr w:type="spellEnd"/>
      <w:r w:rsidRPr="00831BB7">
        <w:rPr>
          <w:rFonts w:cstheme="minorHAnsi"/>
          <w:sz w:val="24"/>
        </w:rPr>
        <w:t xml:space="preserve"> (viz především Kapitoly 1–3), předpokládaný termín předložení</w:t>
      </w:r>
      <w:r w:rsidR="00DE03A1">
        <w:rPr>
          <w:rFonts w:cstheme="minorHAnsi"/>
          <w:sz w:val="24"/>
        </w:rPr>
        <w:t xml:space="preserve"> této analýzy</w:t>
      </w:r>
      <w:r w:rsidRPr="00831BB7">
        <w:rPr>
          <w:rFonts w:cstheme="minorHAnsi"/>
          <w:sz w:val="24"/>
        </w:rPr>
        <w:t xml:space="preserve"> je na 385. jednání Rady dne 16. 12. 2022.</w:t>
      </w:r>
      <w:r w:rsidRPr="00831BB7">
        <w:rPr>
          <w:rStyle w:val="Znakapoznpodarou"/>
          <w:rFonts w:cstheme="minorHAnsi"/>
          <w:sz w:val="24"/>
        </w:rPr>
        <w:footnoteReference w:id="1"/>
      </w:r>
    </w:p>
    <w:p w14:paraId="5057E5BD" w14:textId="77777777" w:rsidR="001F5009" w:rsidRDefault="001F5009">
      <w:pPr>
        <w:rPr>
          <w:rFonts w:cstheme="minorHAnsi"/>
          <w:sz w:val="24"/>
        </w:rPr>
      </w:pPr>
      <w:r>
        <w:rPr>
          <w:rFonts w:cstheme="minorHAnsi"/>
          <w:sz w:val="24"/>
        </w:rPr>
        <w:br w:type="page"/>
      </w:r>
    </w:p>
    <w:p w14:paraId="5CBB7E43" w14:textId="4D96C30B" w:rsidR="00B90CC0" w:rsidRPr="00831BB7" w:rsidRDefault="00B90CC0" w:rsidP="00B90CC0">
      <w:pPr>
        <w:pStyle w:val="Obrzek-nadpis"/>
        <w:rPr>
          <w:rFonts w:asciiTheme="minorHAnsi" w:hAnsiTheme="minorHAnsi" w:cstheme="minorHAnsi"/>
          <w:sz w:val="24"/>
        </w:rPr>
      </w:pPr>
      <w:r>
        <w:rPr>
          <w:rFonts w:asciiTheme="minorHAnsi" w:hAnsiTheme="minorHAnsi" w:cstheme="minorHAnsi"/>
          <w:sz w:val="24"/>
        </w:rPr>
        <w:lastRenderedPageBreak/>
        <w:t>Graf</w:t>
      </w:r>
      <w:r w:rsidR="004A1DAE">
        <w:rPr>
          <w:rFonts w:asciiTheme="minorHAnsi" w:hAnsiTheme="minorHAnsi" w:cstheme="minorHAnsi"/>
          <w:sz w:val="24"/>
        </w:rPr>
        <w:t>y</w:t>
      </w:r>
      <w:r>
        <w:rPr>
          <w:rFonts w:asciiTheme="minorHAnsi" w:hAnsiTheme="minorHAnsi" w:cstheme="minorHAnsi"/>
          <w:sz w:val="24"/>
        </w:rPr>
        <w:t xml:space="preserve">: </w:t>
      </w:r>
      <w:r w:rsidRPr="00831BB7">
        <w:rPr>
          <w:rFonts w:asciiTheme="minorHAnsi" w:hAnsiTheme="minorHAnsi" w:cstheme="minorHAnsi"/>
          <w:sz w:val="24"/>
        </w:rPr>
        <w:t xml:space="preserve">Mezinárodní srovnání výdajů </w:t>
      </w:r>
      <w:proofErr w:type="spellStart"/>
      <w:r w:rsidRPr="00831BB7">
        <w:rPr>
          <w:rFonts w:asciiTheme="minorHAnsi" w:hAnsiTheme="minorHAnsi" w:cstheme="minorHAnsi"/>
          <w:sz w:val="24"/>
        </w:rPr>
        <w:t>VaV</w:t>
      </w:r>
      <w:proofErr w:type="spellEnd"/>
      <w:r w:rsidRPr="00831BB7">
        <w:rPr>
          <w:rFonts w:asciiTheme="minorHAnsi" w:hAnsiTheme="minorHAnsi" w:cstheme="minorHAnsi"/>
          <w:sz w:val="24"/>
        </w:rPr>
        <w:t xml:space="preserve"> podle zdroje financování (roky 2015 a 2020)</w:t>
      </w:r>
    </w:p>
    <w:p w14:paraId="1FE7C156" w14:textId="77777777" w:rsidR="00B90CC0" w:rsidRPr="00831BB7" w:rsidRDefault="00B90CC0" w:rsidP="00B90CC0">
      <w:pPr>
        <w:rPr>
          <w:rFonts w:eastAsia="Times New Roman" w:cstheme="minorHAnsi"/>
          <w:b/>
          <w:szCs w:val="24"/>
        </w:rPr>
      </w:pPr>
      <w:r w:rsidRPr="00831BB7">
        <w:rPr>
          <w:rFonts w:cstheme="minorHAnsi"/>
          <w:noProof/>
        </w:rPr>
        <w:drawing>
          <wp:inline distT="0" distB="0" distL="0" distR="0" wp14:anchorId="7A316650" wp14:editId="542F1528">
            <wp:extent cx="5225143" cy="3667737"/>
            <wp:effectExtent l="0" t="0" r="0" b="9525"/>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59666" cy="3691970"/>
                    </a:xfrm>
                    <a:prstGeom prst="rect">
                      <a:avLst/>
                    </a:prstGeom>
                  </pic:spPr>
                </pic:pic>
              </a:graphicData>
            </a:graphic>
          </wp:inline>
        </w:drawing>
      </w:r>
    </w:p>
    <w:p w14:paraId="18F0B06C" w14:textId="77777777" w:rsidR="00B90CC0" w:rsidRPr="00831BB7" w:rsidRDefault="00B90CC0" w:rsidP="00B90CC0">
      <w:pPr>
        <w:rPr>
          <w:rFonts w:cstheme="minorHAnsi"/>
        </w:rPr>
      </w:pPr>
      <w:r w:rsidRPr="00831BB7">
        <w:rPr>
          <w:rFonts w:cstheme="minorHAnsi"/>
          <w:noProof/>
        </w:rPr>
        <w:drawing>
          <wp:inline distT="0" distB="0" distL="0" distR="0" wp14:anchorId="2D4B7061" wp14:editId="422312B4">
            <wp:extent cx="5224780" cy="3685912"/>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30442" cy="3689906"/>
                    </a:xfrm>
                    <a:prstGeom prst="rect">
                      <a:avLst/>
                    </a:prstGeom>
                  </pic:spPr>
                </pic:pic>
              </a:graphicData>
            </a:graphic>
          </wp:inline>
        </w:drawing>
      </w:r>
    </w:p>
    <w:p w14:paraId="64ACF134" w14:textId="77777777" w:rsidR="00B90CC0" w:rsidRPr="00831BB7" w:rsidRDefault="00B90CC0" w:rsidP="00B90CC0">
      <w:pPr>
        <w:pStyle w:val="Zdrojapoznmka"/>
        <w:spacing w:before="0"/>
        <w:rPr>
          <w:rFonts w:asciiTheme="minorHAnsi" w:hAnsiTheme="minorHAnsi" w:cstheme="minorHAnsi"/>
          <w:sz w:val="20"/>
        </w:rPr>
      </w:pPr>
      <w:r w:rsidRPr="00831BB7">
        <w:rPr>
          <w:rFonts w:asciiTheme="minorHAnsi" w:hAnsiTheme="minorHAnsi" w:cstheme="minorHAnsi"/>
          <w:sz w:val="20"/>
        </w:rPr>
        <w:t xml:space="preserve">Zdroj: </w:t>
      </w:r>
      <w:proofErr w:type="spellStart"/>
      <w:r w:rsidRPr="00831BB7">
        <w:rPr>
          <w:rFonts w:asciiTheme="minorHAnsi" w:hAnsiTheme="minorHAnsi" w:cstheme="minorHAnsi"/>
          <w:sz w:val="20"/>
        </w:rPr>
        <w:t>Eurostat</w:t>
      </w:r>
      <w:proofErr w:type="spellEnd"/>
      <w:r w:rsidRPr="00831BB7">
        <w:rPr>
          <w:rFonts w:asciiTheme="minorHAnsi" w:hAnsiTheme="minorHAnsi" w:cstheme="minorHAnsi"/>
          <w:sz w:val="20"/>
        </w:rPr>
        <w:t xml:space="preserve">, vlastní dopočty | Zahraniční zdroje (Rest </w:t>
      </w:r>
      <w:proofErr w:type="spellStart"/>
      <w:r w:rsidRPr="00831BB7">
        <w:rPr>
          <w:rFonts w:asciiTheme="minorHAnsi" w:hAnsiTheme="minorHAnsi" w:cstheme="minorHAnsi"/>
          <w:sz w:val="20"/>
        </w:rPr>
        <w:t>of</w:t>
      </w:r>
      <w:proofErr w:type="spellEnd"/>
      <w:r w:rsidRPr="00831BB7">
        <w:rPr>
          <w:rFonts w:asciiTheme="minorHAnsi" w:hAnsiTheme="minorHAnsi" w:cstheme="minorHAnsi"/>
          <w:sz w:val="20"/>
        </w:rPr>
        <w:t xml:space="preserve"> </w:t>
      </w:r>
      <w:proofErr w:type="spellStart"/>
      <w:r w:rsidRPr="00831BB7">
        <w:rPr>
          <w:rFonts w:asciiTheme="minorHAnsi" w:hAnsiTheme="minorHAnsi" w:cstheme="minorHAnsi"/>
          <w:sz w:val="20"/>
        </w:rPr>
        <w:t>the</w:t>
      </w:r>
      <w:proofErr w:type="spellEnd"/>
      <w:r w:rsidRPr="00831BB7">
        <w:rPr>
          <w:rFonts w:asciiTheme="minorHAnsi" w:hAnsiTheme="minorHAnsi" w:cstheme="minorHAnsi"/>
          <w:sz w:val="20"/>
        </w:rPr>
        <w:t xml:space="preserve"> </w:t>
      </w:r>
      <w:proofErr w:type="spellStart"/>
      <w:r w:rsidRPr="00831BB7">
        <w:rPr>
          <w:rFonts w:asciiTheme="minorHAnsi" w:hAnsiTheme="minorHAnsi" w:cstheme="minorHAnsi"/>
          <w:sz w:val="20"/>
        </w:rPr>
        <w:t>world</w:t>
      </w:r>
      <w:proofErr w:type="spellEnd"/>
      <w:r w:rsidRPr="00831BB7">
        <w:rPr>
          <w:rFonts w:asciiTheme="minorHAnsi" w:hAnsiTheme="minorHAnsi" w:cstheme="minorHAnsi"/>
          <w:sz w:val="20"/>
        </w:rPr>
        <w:t xml:space="preserve"> – </w:t>
      </w:r>
      <w:proofErr w:type="spellStart"/>
      <w:r w:rsidRPr="00831BB7">
        <w:rPr>
          <w:rFonts w:asciiTheme="minorHAnsi" w:hAnsiTheme="minorHAnsi" w:cstheme="minorHAnsi"/>
          <w:sz w:val="20"/>
        </w:rPr>
        <w:t>European</w:t>
      </w:r>
      <w:proofErr w:type="spellEnd"/>
      <w:r w:rsidRPr="00831BB7">
        <w:rPr>
          <w:rFonts w:asciiTheme="minorHAnsi" w:hAnsiTheme="minorHAnsi" w:cstheme="minorHAnsi"/>
          <w:sz w:val="20"/>
        </w:rPr>
        <w:t xml:space="preserve"> </w:t>
      </w:r>
      <w:proofErr w:type="spellStart"/>
      <w:r w:rsidRPr="00831BB7">
        <w:rPr>
          <w:rFonts w:asciiTheme="minorHAnsi" w:hAnsiTheme="minorHAnsi" w:cstheme="minorHAnsi"/>
          <w:sz w:val="20"/>
        </w:rPr>
        <w:t>Commission</w:t>
      </w:r>
      <w:proofErr w:type="spellEnd"/>
      <w:r w:rsidRPr="00831BB7">
        <w:rPr>
          <w:rFonts w:asciiTheme="minorHAnsi" w:hAnsiTheme="minorHAnsi" w:cstheme="minorHAnsi"/>
          <w:sz w:val="20"/>
        </w:rPr>
        <w:t xml:space="preserve"> a </w:t>
      </w:r>
      <w:proofErr w:type="spellStart"/>
      <w:r w:rsidRPr="00831BB7">
        <w:rPr>
          <w:rFonts w:asciiTheme="minorHAnsi" w:hAnsiTheme="minorHAnsi" w:cstheme="minorHAnsi"/>
          <w:sz w:val="20"/>
        </w:rPr>
        <w:t>international</w:t>
      </w:r>
      <w:proofErr w:type="spellEnd"/>
      <w:r w:rsidRPr="00831BB7">
        <w:rPr>
          <w:rFonts w:asciiTheme="minorHAnsi" w:hAnsiTheme="minorHAnsi" w:cstheme="minorHAnsi"/>
          <w:sz w:val="20"/>
        </w:rPr>
        <w:t xml:space="preserve"> </w:t>
      </w:r>
      <w:proofErr w:type="spellStart"/>
      <w:r w:rsidRPr="00831BB7">
        <w:rPr>
          <w:rFonts w:asciiTheme="minorHAnsi" w:hAnsiTheme="minorHAnsi" w:cstheme="minorHAnsi"/>
          <w:sz w:val="20"/>
        </w:rPr>
        <w:t>organisation</w:t>
      </w:r>
      <w:proofErr w:type="spellEnd"/>
      <w:r w:rsidRPr="00831BB7">
        <w:rPr>
          <w:rFonts w:asciiTheme="minorHAnsi" w:hAnsiTheme="minorHAnsi" w:cstheme="minorHAnsi"/>
          <w:sz w:val="20"/>
        </w:rPr>
        <w:t>); Ostatní zdroje (</w:t>
      </w:r>
      <w:proofErr w:type="spellStart"/>
      <w:r w:rsidRPr="00831BB7">
        <w:rPr>
          <w:rFonts w:asciiTheme="minorHAnsi" w:hAnsiTheme="minorHAnsi" w:cstheme="minorHAnsi"/>
          <w:sz w:val="20"/>
        </w:rPr>
        <w:t>Private</w:t>
      </w:r>
      <w:proofErr w:type="spellEnd"/>
      <w:r w:rsidRPr="00831BB7">
        <w:rPr>
          <w:rFonts w:asciiTheme="minorHAnsi" w:hAnsiTheme="minorHAnsi" w:cstheme="minorHAnsi"/>
          <w:sz w:val="20"/>
        </w:rPr>
        <w:t xml:space="preserve"> non-profit </w:t>
      </w:r>
      <w:proofErr w:type="spellStart"/>
      <w:r w:rsidRPr="00831BB7">
        <w:rPr>
          <w:rFonts w:asciiTheme="minorHAnsi" w:hAnsiTheme="minorHAnsi" w:cstheme="minorHAnsi"/>
          <w:sz w:val="20"/>
        </w:rPr>
        <w:t>sector</w:t>
      </w:r>
      <w:proofErr w:type="spellEnd"/>
      <w:r w:rsidRPr="00831BB7">
        <w:rPr>
          <w:rFonts w:asciiTheme="minorHAnsi" w:hAnsiTheme="minorHAnsi" w:cstheme="minorHAnsi"/>
          <w:sz w:val="20"/>
        </w:rPr>
        <w:t xml:space="preserve"> a Rest </w:t>
      </w:r>
      <w:proofErr w:type="spellStart"/>
      <w:r w:rsidRPr="00831BB7">
        <w:rPr>
          <w:rFonts w:asciiTheme="minorHAnsi" w:hAnsiTheme="minorHAnsi" w:cstheme="minorHAnsi"/>
          <w:sz w:val="20"/>
        </w:rPr>
        <w:t>of</w:t>
      </w:r>
      <w:proofErr w:type="spellEnd"/>
      <w:r w:rsidRPr="00831BB7">
        <w:rPr>
          <w:rFonts w:asciiTheme="minorHAnsi" w:hAnsiTheme="minorHAnsi" w:cstheme="minorHAnsi"/>
          <w:sz w:val="20"/>
        </w:rPr>
        <w:t xml:space="preserve"> </w:t>
      </w:r>
      <w:proofErr w:type="spellStart"/>
      <w:r w:rsidRPr="00831BB7">
        <w:rPr>
          <w:rFonts w:asciiTheme="minorHAnsi" w:hAnsiTheme="minorHAnsi" w:cstheme="minorHAnsi"/>
          <w:sz w:val="20"/>
        </w:rPr>
        <w:t>the</w:t>
      </w:r>
      <w:proofErr w:type="spellEnd"/>
      <w:r w:rsidRPr="00831BB7">
        <w:rPr>
          <w:rFonts w:asciiTheme="minorHAnsi" w:hAnsiTheme="minorHAnsi" w:cstheme="minorHAnsi"/>
          <w:sz w:val="20"/>
        </w:rPr>
        <w:t xml:space="preserve"> </w:t>
      </w:r>
      <w:proofErr w:type="spellStart"/>
      <w:r w:rsidRPr="00831BB7">
        <w:rPr>
          <w:rFonts w:asciiTheme="minorHAnsi" w:hAnsiTheme="minorHAnsi" w:cstheme="minorHAnsi"/>
          <w:sz w:val="20"/>
        </w:rPr>
        <w:t>world</w:t>
      </w:r>
      <w:proofErr w:type="spellEnd"/>
      <w:r w:rsidRPr="00831BB7">
        <w:rPr>
          <w:rFonts w:asciiTheme="minorHAnsi" w:hAnsiTheme="minorHAnsi" w:cstheme="minorHAnsi"/>
          <w:sz w:val="20"/>
        </w:rPr>
        <w:t xml:space="preserve"> – </w:t>
      </w:r>
      <w:proofErr w:type="spellStart"/>
      <w:r w:rsidRPr="00831BB7">
        <w:rPr>
          <w:rFonts w:asciiTheme="minorHAnsi" w:hAnsiTheme="minorHAnsi" w:cstheme="minorHAnsi"/>
          <w:sz w:val="20"/>
        </w:rPr>
        <w:t>other</w:t>
      </w:r>
      <w:proofErr w:type="spellEnd"/>
      <w:r w:rsidRPr="00831BB7">
        <w:rPr>
          <w:rFonts w:asciiTheme="minorHAnsi" w:hAnsiTheme="minorHAnsi" w:cstheme="minorHAnsi"/>
          <w:sz w:val="20"/>
        </w:rPr>
        <w:t xml:space="preserve"> a nezařazené), v případě SE a DK podstatnou část ostatních zdrojů tvoří tzv. nezařazené).</w:t>
      </w:r>
    </w:p>
    <w:p w14:paraId="6143F6F5" w14:textId="1BA24464" w:rsidR="00062F7C" w:rsidRPr="00A15A0A" w:rsidRDefault="00062F7C" w:rsidP="00062F7C">
      <w:pPr>
        <w:rPr>
          <w:sz w:val="24"/>
          <w:szCs w:val="24"/>
        </w:rPr>
      </w:pPr>
      <w:bookmarkStart w:id="1" w:name="_GoBack"/>
      <w:r w:rsidRPr="00A15A0A">
        <w:rPr>
          <w:sz w:val="24"/>
          <w:szCs w:val="24"/>
        </w:rPr>
        <w:lastRenderedPageBreak/>
        <w:t xml:space="preserve">Ze statistik ČSÚ lze identifikovat, kolik ve firmách investují z tržeb na </w:t>
      </w:r>
      <w:proofErr w:type="spellStart"/>
      <w:r w:rsidRPr="00A15A0A">
        <w:rPr>
          <w:sz w:val="24"/>
          <w:szCs w:val="24"/>
        </w:rPr>
        <w:t>VaV</w:t>
      </w:r>
      <w:proofErr w:type="spellEnd"/>
      <w:r w:rsidRPr="00A15A0A">
        <w:rPr>
          <w:sz w:val="24"/>
          <w:szCs w:val="24"/>
        </w:rPr>
        <w:t xml:space="preserve"> jako podíl z celkových tržeb. ČR je v těchto statistikách pod průměrem EU, viz následující tabulky. Rok 2017 byl </w:t>
      </w:r>
      <w:r w:rsidR="00173910" w:rsidRPr="00A15A0A">
        <w:rPr>
          <w:sz w:val="24"/>
          <w:szCs w:val="24"/>
        </w:rPr>
        <w:t>vybrán pro dostupnost dat z </w:t>
      </w:r>
      <w:r w:rsidRPr="00A15A0A">
        <w:rPr>
          <w:sz w:val="24"/>
          <w:szCs w:val="24"/>
        </w:rPr>
        <w:t>nejvíce zemí.</w:t>
      </w:r>
    </w:p>
    <w:tbl>
      <w:tblPr>
        <w:tblStyle w:val="Mkatabulky"/>
        <w:tblpPr w:leftFromText="141" w:rightFromText="141" w:vertAnchor="text" w:horzAnchor="margin" w:tblpY="331"/>
        <w:tblW w:w="9067" w:type="dxa"/>
        <w:tblCellMar>
          <w:left w:w="142" w:type="dxa"/>
        </w:tblCellMar>
        <w:tblLook w:val="04A0" w:firstRow="1" w:lastRow="0" w:firstColumn="1" w:lastColumn="0" w:noHBand="0" w:noVBand="1"/>
      </w:tblPr>
      <w:tblGrid>
        <w:gridCol w:w="3114"/>
        <w:gridCol w:w="992"/>
        <w:gridCol w:w="709"/>
        <w:gridCol w:w="3260"/>
        <w:gridCol w:w="992"/>
      </w:tblGrid>
      <w:tr w:rsidR="00062F7C" w14:paraId="0B53FA3F" w14:textId="77777777" w:rsidTr="004D3CE0">
        <w:trPr>
          <w:trHeight w:val="1402"/>
        </w:trPr>
        <w:tc>
          <w:tcPr>
            <w:tcW w:w="3114" w:type="dxa"/>
            <w:vAlign w:val="center"/>
          </w:tcPr>
          <w:bookmarkEnd w:id="1"/>
          <w:p w14:paraId="239503F4" w14:textId="77777777" w:rsidR="00062F7C" w:rsidRDefault="00062F7C" w:rsidP="00062F7C">
            <w:pPr>
              <w:pStyle w:val="Odstavecseseznamem"/>
              <w:ind w:left="0"/>
              <w:rPr>
                <w:rFonts w:ascii="Calibri" w:eastAsia="Calibri" w:hAnsi="Calibri" w:cs="Calibri"/>
                <w:b/>
                <w:i/>
                <w:sz w:val="24"/>
                <w:szCs w:val="24"/>
              </w:rPr>
            </w:pPr>
            <w:r w:rsidRPr="00DF23F1">
              <w:rPr>
                <w:rFonts w:eastAsia="Calibri" w:cstheme="minorHAnsi"/>
                <w:b/>
                <w:szCs w:val="24"/>
              </w:rPr>
              <w:t xml:space="preserve">Nepřímá veřejná podpora </w:t>
            </w:r>
            <w:proofErr w:type="spellStart"/>
            <w:r w:rsidRPr="00DF23F1">
              <w:rPr>
                <w:rFonts w:eastAsia="Calibri" w:cstheme="minorHAnsi"/>
                <w:b/>
                <w:szCs w:val="24"/>
              </w:rPr>
              <w:t>VaV</w:t>
            </w:r>
            <w:proofErr w:type="spellEnd"/>
            <w:r w:rsidRPr="00DF23F1">
              <w:rPr>
                <w:rFonts w:eastAsia="Calibri" w:cstheme="minorHAnsi"/>
                <w:b/>
                <w:szCs w:val="24"/>
              </w:rPr>
              <w:t xml:space="preserve"> v podnicích ve vybraných státech světa - podíl na HDP</w:t>
            </w:r>
            <w:r>
              <w:rPr>
                <w:rFonts w:eastAsia="Calibri" w:cstheme="minorHAnsi"/>
                <w:b/>
                <w:szCs w:val="24"/>
              </w:rPr>
              <w:t xml:space="preserve"> </w:t>
            </w:r>
            <w:r w:rsidRPr="00946C78">
              <w:rPr>
                <w:rFonts w:eastAsia="Calibri" w:cstheme="minorHAnsi"/>
                <w:b/>
                <w:i/>
                <w:szCs w:val="24"/>
              </w:rPr>
              <w:t xml:space="preserve">(list </w:t>
            </w:r>
            <w:r>
              <w:rPr>
                <w:rFonts w:eastAsia="Calibri" w:cstheme="minorHAnsi"/>
                <w:b/>
                <w:i/>
                <w:szCs w:val="24"/>
              </w:rPr>
              <w:t>t</w:t>
            </w:r>
            <w:r w:rsidRPr="00946C78">
              <w:rPr>
                <w:rFonts w:eastAsia="Calibri" w:cstheme="minorHAnsi"/>
                <w:b/>
                <w:i/>
                <w:szCs w:val="24"/>
              </w:rPr>
              <w:t>ab. 23 ČSÚ)</w:t>
            </w:r>
          </w:p>
        </w:tc>
        <w:tc>
          <w:tcPr>
            <w:tcW w:w="992" w:type="dxa"/>
            <w:vAlign w:val="center"/>
          </w:tcPr>
          <w:p w14:paraId="26C5659C" w14:textId="77777777" w:rsidR="00062F7C" w:rsidRPr="00DF23F1" w:rsidRDefault="00062F7C" w:rsidP="00062F7C">
            <w:pPr>
              <w:pStyle w:val="Odstavecseseznamem"/>
              <w:ind w:left="0"/>
              <w:jc w:val="center"/>
              <w:rPr>
                <w:rFonts w:eastAsia="Calibri" w:cstheme="minorHAnsi"/>
                <w:b/>
                <w:szCs w:val="24"/>
              </w:rPr>
            </w:pPr>
            <w:r>
              <w:rPr>
                <w:rFonts w:eastAsia="Calibri" w:cstheme="minorHAnsi"/>
                <w:b/>
                <w:szCs w:val="24"/>
              </w:rPr>
              <w:t>rok 2017 [%]</w:t>
            </w:r>
          </w:p>
        </w:tc>
        <w:tc>
          <w:tcPr>
            <w:tcW w:w="709" w:type="dxa"/>
            <w:tcBorders>
              <w:top w:val="single" w:sz="4" w:space="0" w:color="FFFFFF" w:themeColor="background1"/>
              <w:bottom w:val="single" w:sz="4" w:space="0" w:color="FFFFFF" w:themeColor="background1"/>
            </w:tcBorders>
          </w:tcPr>
          <w:p w14:paraId="7DD7D8F6" w14:textId="77777777" w:rsidR="00062F7C" w:rsidRPr="00DF23F1" w:rsidRDefault="00062F7C" w:rsidP="00062F7C">
            <w:pPr>
              <w:pStyle w:val="Odstavecseseznamem"/>
              <w:ind w:left="0"/>
              <w:rPr>
                <w:rFonts w:eastAsia="Calibri" w:cstheme="minorHAnsi"/>
                <w:b/>
                <w:szCs w:val="24"/>
              </w:rPr>
            </w:pPr>
          </w:p>
        </w:tc>
        <w:tc>
          <w:tcPr>
            <w:tcW w:w="3260" w:type="dxa"/>
            <w:vAlign w:val="center"/>
          </w:tcPr>
          <w:p w14:paraId="5CAB6245" w14:textId="77777777" w:rsidR="00062F7C" w:rsidRPr="00DF23F1" w:rsidRDefault="00062F7C" w:rsidP="00062F7C">
            <w:pPr>
              <w:pStyle w:val="Odstavecseseznamem"/>
              <w:ind w:left="0"/>
              <w:rPr>
                <w:rFonts w:eastAsia="Calibri" w:cstheme="minorHAnsi"/>
                <w:b/>
                <w:szCs w:val="24"/>
              </w:rPr>
            </w:pPr>
            <w:r>
              <w:rPr>
                <w:rFonts w:eastAsia="Calibri" w:cstheme="minorHAnsi"/>
                <w:b/>
                <w:szCs w:val="24"/>
              </w:rPr>
              <w:t xml:space="preserve">Nepřímá veřejná podpora </w:t>
            </w:r>
            <w:proofErr w:type="spellStart"/>
            <w:r>
              <w:rPr>
                <w:rFonts w:eastAsia="Calibri" w:cstheme="minorHAnsi"/>
                <w:b/>
                <w:szCs w:val="24"/>
              </w:rPr>
              <w:t>VaV</w:t>
            </w:r>
            <w:proofErr w:type="spellEnd"/>
            <w:r>
              <w:rPr>
                <w:rFonts w:eastAsia="Calibri" w:cstheme="minorHAnsi"/>
                <w:b/>
                <w:szCs w:val="24"/>
              </w:rPr>
              <w:t xml:space="preserve"> v </w:t>
            </w:r>
            <w:r w:rsidRPr="00DF23F1">
              <w:rPr>
                <w:rFonts w:eastAsia="Calibri" w:cstheme="minorHAnsi"/>
                <w:b/>
                <w:szCs w:val="24"/>
              </w:rPr>
              <w:t xml:space="preserve">podnicích ve vybraných státech světa - podíl </w:t>
            </w:r>
            <w:r>
              <w:rPr>
                <w:rFonts w:eastAsia="Calibri" w:cstheme="minorHAnsi"/>
                <w:b/>
                <w:szCs w:val="24"/>
              </w:rPr>
              <w:t xml:space="preserve">na podnikových výdajích na </w:t>
            </w:r>
            <w:proofErr w:type="spellStart"/>
            <w:r>
              <w:rPr>
                <w:rFonts w:eastAsia="Calibri" w:cstheme="minorHAnsi"/>
                <w:b/>
                <w:szCs w:val="24"/>
              </w:rPr>
              <w:t>VaV</w:t>
            </w:r>
            <w:proofErr w:type="spellEnd"/>
            <w:r>
              <w:rPr>
                <w:rFonts w:eastAsia="Calibri" w:cstheme="minorHAnsi"/>
                <w:b/>
                <w:szCs w:val="24"/>
              </w:rPr>
              <w:t xml:space="preserve"> /ukazatel BERD </w:t>
            </w:r>
            <w:r w:rsidRPr="00946C78">
              <w:rPr>
                <w:rFonts w:eastAsia="Calibri" w:cstheme="minorHAnsi"/>
                <w:b/>
                <w:i/>
                <w:szCs w:val="24"/>
              </w:rPr>
              <w:t xml:space="preserve">(list </w:t>
            </w:r>
            <w:r>
              <w:rPr>
                <w:rFonts w:eastAsia="Calibri" w:cstheme="minorHAnsi"/>
                <w:b/>
                <w:i/>
                <w:szCs w:val="24"/>
              </w:rPr>
              <w:t>t</w:t>
            </w:r>
            <w:r w:rsidRPr="00946C78">
              <w:rPr>
                <w:rFonts w:eastAsia="Calibri" w:cstheme="minorHAnsi"/>
                <w:b/>
                <w:i/>
                <w:szCs w:val="24"/>
              </w:rPr>
              <w:t>ab. 2</w:t>
            </w:r>
            <w:r>
              <w:rPr>
                <w:rFonts w:eastAsia="Calibri" w:cstheme="minorHAnsi"/>
                <w:b/>
                <w:i/>
                <w:szCs w:val="24"/>
              </w:rPr>
              <w:t>5</w:t>
            </w:r>
            <w:r w:rsidRPr="00946C78">
              <w:rPr>
                <w:rFonts w:eastAsia="Calibri" w:cstheme="minorHAnsi"/>
                <w:b/>
                <w:i/>
                <w:szCs w:val="24"/>
              </w:rPr>
              <w:t xml:space="preserve"> ČSÚ)</w:t>
            </w:r>
            <w:r>
              <w:rPr>
                <w:rFonts w:eastAsia="Calibri" w:cstheme="minorHAnsi"/>
                <w:b/>
                <w:szCs w:val="24"/>
              </w:rPr>
              <w:t xml:space="preserve"> </w:t>
            </w:r>
          </w:p>
        </w:tc>
        <w:tc>
          <w:tcPr>
            <w:tcW w:w="992" w:type="dxa"/>
            <w:tcBorders>
              <w:bottom w:val="single" w:sz="4" w:space="0" w:color="auto"/>
            </w:tcBorders>
            <w:vAlign w:val="center"/>
          </w:tcPr>
          <w:p w14:paraId="35E5CDE7" w14:textId="77777777" w:rsidR="00062F7C" w:rsidRDefault="00062F7C" w:rsidP="00062F7C">
            <w:pPr>
              <w:pStyle w:val="Odstavecseseznamem"/>
              <w:ind w:left="0"/>
              <w:jc w:val="center"/>
              <w:rPr>
                <w:rFonts w:eastAsia="Calibri" w:cstheme="minorHAnsi"/>
                <w:b/>
                <w:szCs w:val="24"/>
              </w:rPr>
            </w:pPr>
            <w:r>
              <w:rPr>
                <w:rFonts w:eastAsia="Calibri" w:cstheme="minorHAnsi"/>
                <w:b/>
                <w:szCs w:val="24"/>
              </w:rPr>
              <w:t>rok</w:t>
            </w:r>
          </w:p>
          <w:p w14:paraId="4C18F2C8" w14:textId="77777777" w:rsidR="00062F7C" w:rsidRDefault="00062F7C" w:rsidP="00062F7C">
            <w:pPr>
              <w:pStyle w:val="Odstavecseseznamem"/>
              <w:ind w:left="0"/>
              <w:jc w:val="center"/>
              <w:rPr>
                <w:rFonts w:eastAsia="Calibri" w:cstheme="minorHAnsi"/>
                <w:b/>
                <w:szCs w:val="24"/>
              </w:rPr>
            </w:pPr>
            <w:r>
              <w:rPr>
                <w:rFonts w:eastAsia="Calibri" w:cstheme="minorHAnsi"/>
                <w:b/>
                <w:szCs w:val="24"/>
              </w:rPr>
              <w:t xml:space="preserve"> 2017</w:t>
            </w:r>
          </w:p>
          <w:p w14:paraId="7426B0A7" w14:textId="77777777" w:rsidR="00062F7C" w:rsidRDefault="00062F7C" w:rsidP="00062F7C">
            <w:pPr>
              <w:pStyle w:val="Odstavecseseznamem"/>
              <w:ind w:left="0"/>
              <w:jc w:val="center"/>
              <w:rPr>
                <w:rFonts w:eastAsia="Calibri" w:cstheme="minorHAnsi"/>
                <w:b/>
                <w:szCs w:val="24"/>
              </w:rPr>
            </w:pPr>
            <w:r>
              <w:rPr>
                <w:rFonts w:eastAsia="Calibri" w:cstheme="minorHAnsi"/>
                <w:b/>
                <w:szCs w:val="24"/>
              </w:rPr>
              <w:t xml:space="preserve"> [%]</w:t>
            </w:r>
          </w:p>
        </w:tc>
      </w:tr>
      <w:tr w:rsidR="00062F7C" w14:paraId="181C1AFA" w14:textId="77777777" w:rsidTr="004D3CE0">
        <w:trPr>
          <w:trHeight w:val="369"/>
        </w:trPr>
        <w:tc>
          <w:tcPr>
            <w:tcW w:w="3114" w:type="dxa"/>
            <w:vAlign w:val="center"/>
          </w:tcPr>
          <w:p w14:paraId="2FB3F4DD" w14:textId="77777777" w:rsidR="00062F7C" w:rsidRPr="006C2606" w:rsidRDefault="00062F7C" w:rsidP="00062F7C">
            <w:pPr>
              <w:pStyle w:val="Odstavecseseznamem"/>
              <w:ind w:left="0"/>
              <w:rPr>
                <w:rFonts w:eastAsia="Calibri" w:cstheme="minorHAnsi"/>
                <w:b/>
                <w:i/>
              </w:rPr>
            </w:pPr>
            <w:r>
              <w:rPr>
                <w:rFonts w:cstheme="minorHAnsi"/>
              </w:rPr>
              <w:t xml:space="preserve">1. </w:t>
            </w:r>
            <w:r w:rsidRPr="006C2606">
              <w:rPr>
                <w:rFonts w:cstheme="minorHAnsi"/>
              </w:rPr>
              <w:t>Francie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5C5A20C" w14:textId="77777777" w:rsidR="00062F7C" w:rsidRPr="006C2606" w:rsidRDefault="00062F7C" w:rsidP="00062F7C">
            <w:pPr>
              <w:pStyle w:val="Odstavecseseznamem"/>
              <w:ind w:left="0"/>
              <w:jc w:val="center"/>
              <w:rPr>
                <w:rFonts w:eastAsia="Calibri" w:cstheme="minorHAnsi"/>
              </w:rPr>
            </w:pPr>
            <w:r w:rsidRPr="006C2606">
              <w:rPr>
                <w:rFonts w:cstheme="minorHAnsi"/>
              </w:rPr>
              <w:t>0,29</w:t>
            </w:r>
          </w:p>
        </w:tc>
        <w:tc>
          <w:tcPr>
            <w:tcW w:w="709" w:type="dxa"/>
            <w:tcBorders>
              <w:top w:val="single" w:sz="4" w:space="0" w:color="FFFFFF" w:themeColor="background1"/>
              <w:bottom w:val="single" w:sz="4" w:space="0" w:color="FFFFFF" w:themeColor="background1"/>
            </w:tcBorders>
          </w:tcPr>
          <w:p w14:paraId="29E65F15" w14:textId="77777777" w:rsidR="00062F7C" w:rsidRDefault="00062F7C" w:rsidP="00062F7C">
            <w:pPr>
              <w:pStyle w:val="Odstavecseseznamem"/>
              <w:ind w:left="0"/>
              <w:jc w:val="both"/>
              <w:rPr>
                <w:rFonts w:eastAsia="Calibri" w:cstheme="minorHAnsi"/>
                <w:szCs w:val="24"/>
              </w:rPr>
            </w:pPr>
          </w:p>
        </w:tc>
        <w:tc>
          <w:tcPr>
            <w:tcW w:w="3260" w:type="dxa"/>
            <w:tcBorders>
              <w:right w:val="single" w:sz="4" w:space="0" w:color="auto"/>
            </w:tcBorders>
            <w:vAlign w:val="center"/>
          </w:tcPr>
          <w:p w14:paraId="05DA6F5D" w14:textId="77777777" w:rsidR="00062F7C" w:rsidRDefault="00062F7C" w:rsidP="00062F7C">
            <w:pPr>
              <w:pStyle w:val="Odstavecseseznamem"/>
              <w:ind w:left="0"/>
              <w:jc w:val="both"/>
              <w:rPr>
                <w:rFonts w:eastAsia="Calibri" w:cstheme="minorHAnsi"/>
                <w:szCs w:val="24"/>
              </w:rPr>
            </w:pPr>
            <w:r>
              <w:rPr>
                <w:rFonts w:eastAsia="Calibri" w:cstheme="minorHAnsi"/>
                <w:szCs w:val="24"/>
              </w:rPr>
              <w:t xml:space="preserve">1. </w:t>
            </w:r>
            <w:r w:rsidRPr="00DF23F1">
              <w:rPr>
                <w:rFonts w:eastAsia="Calibri" w:cstheme="minorHAnsi"/>
                <w:szCs w:val="24"/>
              </w:rPr>
              <w:t>Velká Británie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7EF083F" w14:textId="77777777" w:rsidR="00062F7C" w:rsidRDefault="00062F7C" w:rsidP="00062F7C">
            <w:pPr>
              <w:pStyle w:val="Odstavecseseznamem"/>
              <w:ind w:left="0"/>
              <w:jc w:val="center"/>
              <w:rPr>
                <w:rFonts w:eastAsia="Calibri" w:cstheme="minorHAnsi"/>
                <w:szCs w:val="24"/>
              </w:rPr>
            </w:pPr>
            <w:r w:rsidRPr="006C2606">
              <w:rPr>
                <w:rFonts w:eastAsia="Calibri" w:cstheme="minorHAnsi"/>
                <w:szCs w:val="24"/>
              </w:rPr>
              <w:t>21,7</w:t>
            </w:r>
          </w:p>
        </w:tc>
      </w:tr>
      <w:tr w:rsidR="00062F7C" w14:paraId="1D2DA3BF" w14:textId="77777777" w:rsidTr="004D3CE0">
        <w:trPr>
          <w:trHeight w:val="393"/>
        </w:trPr>
        <w:tc>
          <w:tcPr>
            <w:tcW w:w="3114" w:type="dxa"/>
            <w:vAlign w:val="center"/>
          </w:tcPr>
          <w:p w14:paraId="0943A43E" w14:textId="77777777" w:rsidR="00062F7C" w:rsidRPr="006C2606" w:rsidRDefault="00062F7C" w:rsidP="00062F7C">
            <w:pPr>
              <w:pStyle w:val="Odstavecseseznamem"/>
              <w:ind w:left="0"/>
              <w:rPr>
                <w:rFonts w:eastAsia="Calibri" w:cstheme="minorHAnsi"/>
                <w:b/>
                <w:i/>
              </w:rPr>
            </w:pPr>
            <w:r>
              <w:rPr>
                <w:rFonts w:cstheme="minorHAnsi"/>
              </w:rPr>
              <w:t xml:space="preserve">2. </w:t>
            </w:r>
            <w:r w:rsidRPr="006C2606">
              <w:rPr>
                <w:rFonts w:cstheme="minorHAnsi"/>
              </w:rPr>
              <w:t>Velká Británie</w:t>
            </w:r>
          </w:p>
        </w:tc>
        <w:tc>
          <w:tcPr>
            <w:tcW w:w="992" w:type="dxa"/>
            <w:tcBorders>
              <w:top w:val="nil"/>
              <w:left w:val="single" w:sz="4" w:space="0" w:color="auto"/>
              <w:bottom w:val="single" w:sz="4" w:space="0" w:color="auto"/>
              <w:right w:val="single" w:sz="4" w:space="0" w:color="auto"/>
            </w:tcBorders>
            <w:shd w:val="clear" w:color="auto" w:fill="auto"/>
            <w:vAlign w:val="center"/>
          </w:tcPr>
          <w:p w14:paraId="03009394" w14:textId="77777777" w:rsidR="00062F7C" w:rsidRPr="006C2606" w:rsidRDefault="00062F7C" w:rsidP="00062F7C">
            <w:pPr>
              <w:pStyle w:val="Odstavecseseznamem"/>
              <w:ind w:left="0"/>
              <w:jc w:val="center"/>
              <w:rPr>
                <w:rFonts w:eastAsia="Calibri" w:cstheme="minorHAnsi"/>
              </w:rPr>
            </w:pPr>
            <w:r w:rsidRPr="006C2606">
              <w:rPr>
                <w:rFonts w:cstheme="minorHAnsi"/>
              </w:rPr>
              <w:t>0,25</w:t>
            </w:r>
          </w:p>
        </w:tc>
        <w:tc>
          <w:tcPr>
            <w:tcW w:w="709" w:type="dxa"/>
            <w:tcBorders>
              <w:top w:val="single" w:sz="4" w:space="0" w:color="FFFFFF" w:themeColor="background1"/>
              <w:bottom w:val="single" w:sz="4" w:space="0" w:color="FFFFFF" w:themeColor="background1"/>
            </w:tcBorders>
          </w:tcPr>
          <w:p w14:paraId="482A38F5" w14:textId="77777777" w:rsidR="00062F7C" w:rsidRDefault="00062F7C" w:rsidP="00062F7C">
            <w:pPr>
              <w:pStyle w:val="Odstavecseseznamem"/>
              <w:ind w:left="0"/>
              <w:jc w:val="both"/>
              <w:rPr>
                <w:rFonts w:eastAsia="Calibri" w:cstheme="minorHAnsi"/>
                <w:szCs w:val="24"/>
              </w:rPr>
            </w:pPr>
          </w:p>
        </w:tc>
        <w:tc>
          <w:tcPr>
            <w:tcW w:w="3260" w:type="dxa"/>
            <w:tcBorders>
              <w:right w:val="single" w:sz="4" w:space="0" w:color="auto"/>
            </w:tcBorders>
            <w:vAlign w:val="center"/>
          </w:tcPr>
          <w:p w14:paraId="16D7DE95" w14:textId="77777777" w:rsidR="00062F7C" w:rsidRDefault="00062F7C" w:rsidP="00062F7C">
            <w:pPr>
              <w:pStyle w:val="Odstavecseseznamem"/>
              <w:ind w:left="0"/>
              <w:jc w:val="both"/>
              <w:rPr>
                <w:rFonts w:eastAsia="Calibri" w:cstheme="minorHAnsi"/>
                <w:szCs w:val="24"/>
              </w:rPr>
            </w:pPr>
            <w:r>
              <w:rPr>
                <w:rFonts w:eastAsia="Calibri" w:cstheme="minorHAnsi"/>
                <w:szCs w:val="24"/>
              </w:rPr>
              <w:t xml:space="preserve">2. </w:t>
            </w:r>
            <w:r w:rsidRPr="00DF23F1">
              <w:rPr>
                <w:rFonts w:eastAsia="Calibri" w:cstheme="minorHAnsi"/>
                <w:szCs w:val="24"/>
              </w:rPr>
              <w:t>Itálie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282C0DC" w14:textId="77777777" w:rsidR="00062F7C" w:rsidRDefault="00062F7C" w:rsidP="00062F7C">
            <w:pPr>
              <w:pStyle w:val="Odstavecseseznamem"/>
              <w:ind w:left="0"/>
              <w:jc w:val="center"/>
              <w:rPr>
                <w:rFonts w:eastAsia="Calibri" w:cstheme="minorHAnsi"/>
                <w:szCs w:val="24"/>
              </w:rPr>
            </w:pPr>
            <w:r w:rsidRPr="006C2606">
              <w:rPr>
                <w:rFonts w:eastAsia="Calibri" w:cstheme="minorHAnsi"/>
                <w:szCs w:val="24"/>
              </w:rPr>
              <w:t>21,1</w:t>
            </w:r>
          </w:p>
        </w:tc>
      </w:tr>
      <w:tr w:rsidR="00062F7C" w14:paraId="5C76BCAB" w14:textId="77777777" w:rsidTr="004D3CE0">
        <w:trPr>
          <w:trHeight w:val="369"/>
        </w:trPr>
        <w:tc>
          <w:tcPr>
            <w:tcW w:w="3114" w:type="dxa"/>
            <w:vAlign w:val="center"/>
          </w:tcPr>
          <w:p w14:paraId="7AEF988C" w14:textId="77777777" w:rsidR="00062F7C" w:rsidRPr="006C2606" w:rsidRDefault="00062F7C" w:rsidP="00062F7C">
            <w:pPr>
              <w:pStyle w:val="Odstavecseseznamem"/>
              <w:ind w:left="0"/>
              <w:rPr>
                <w:rFonts w:eastAsia="Calibri" w:cstheme="minorHAnsi"/>
                <w:b/>
                <w:i/>
              </w:rPr>
            </w:pPr>
            <w:r>
              <w:rPr>
                <w:rFonts w:cstheme="minorHAnsi"/>
              </w:rPr>
              <w:t xml:space="preserve">3. </w:t>
            </w:r>
            <w:r w:rsidRPr="006C2606">
              <w:rPr>
                <w:rFonts w:cstheme="minorHAnsi"/>
              </w:rPr>
              <w:t>Itálie</w:t>
            </w:r>
          </w:p>
        </w:tc>
        <w:tc>
          <w:tcPr>
            <w:tcW w:w="992" w:type="dxa"/>
            <w:tcBorders>
              <w:top w:val="nil"/>
              <w:left w:val="single" w:sz="4" w:space="0" w:color="auto"/>
              <w:bottom w:val="single" w:sz="4" w:space="0" w:color="auto"/>
              <w:right w:val="single" w:sz="4" w:space="0" w:color="auto"/>
            </w:tcBorders>
            <w:shd w:val="clear" w:color="auto" w:fill="auto"/>
            <w:vAlign w:val="center"/>
          </w:tcPr>
          <w:p w14:paraId="54BC1B9C" w14:textId="77777777" w:rsidR="00062F7C" w:rsidRPr="006C2606" w:rsidRDefault="00062F7C" w:rsidP="00062F7C">
            <w:pPr>
              <w:pStyle w:val="Odstavecseseznamem"/>
              <w:ind w:left="0"/>
              <w:jc w:val="center"/>
              <w:rPr>
                <w:rFonts w:eastAsia="Calibri" w:cstheme="minorHAnsi"/>
              </w:rPr>
            </w:pPr>
            <w:r w:rsidRPr="006C2606">
              <w:rPr>
                <w:rFonts w:cstheme="minorHAnsi"/>
              </w:rPr>
              <w:t>0,18</w:t>
            </w:r>
          </w:p>
        </w:tc>
        <w:tc>
          <w:tcPr>
            <w:tcW w:w="709" w:type="dxa"/>
            <w:tcBorders>
              <w:top w:val="single" w:sz="4" w:space="0" w:color="FFFFFF" w:themeColor="background1"/>
              <w:bottom w:val="single" w:sz="4" w:space="0" w:color="FFFFFF" w:themeColor="background1"/>
            </w:tcBorders>
          </w:tcPr>
          <w:p w14:paraId="4F7C071D" w14:textId="77777777" w:rsidR="00062F7C" w:rsidRDefault="00062F7C" w:rsidP="00062F7C">
            <w:pPr>
              <w:pStyle w:val="Odstavecseseznamem"/>
              <w:ind w:left="0"/>
              <w:jc w:val="both"/>
              <w:rPr>
                <w:rFonts w:eastAsia="Calibri" w:cstheme="minorHAnsi"/>
                <w:szCs w:val="24"/>
              </w:rPr>
            </w:pPr>
          </w:p>
        </w:tc>
        <w:tc>
          <w:tcPr>
            <w:tcW w:w="3260" w:type="dxa"/>
            <w:tcBorders>
              <w:right w:val="single" w:sz="4" w:space="0" w:color="auto"/>
            </w:tcBorders>
            <w:vAlign w:val="center"/>
          </w:tcPr>
          <w:p w14:paraId="6429BC66" w14:textId="77777777" w:rsidR="00062F7C" w:rsidRDefault="00062F7C" w:rsidP="00062F7C">
            <w:pPr>
              <w:pStyle w:val="Odstavecseseznamem"/>
              <w:ind w:left="0"/>
              <w:jc w:val="both"/>
              <w:rPr>
                <w:rFonts w:eastAsia="Calibri" w:cstheme="minorHAnsi"/>
                <w:szCs w:val="24"/>
              </w:rPr>
            </w:pPr>
            <w:r>
              <w:rPr>
                <w:rFonts w:eastAsia="Calibri" w:cstheme="minorHAnsi"/>
                <w:szCs w:val="24"/>
              </w:rPr>
              <w:t xml:space="preserve">3. </w:t>
            </w:r>
            <w:r w:rsidRPr="00DF23F1">
              <w:rPr>
                <w:rFonts w:eastAsia="Calibri" w:cstheme="minorHAnsi"/>
                <w:szCs w:val="24"/>
              </w:rPr>
              <w:t>Francie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02D7F3B" w14:textId="77777777" w:rsidR="00062F7C" w:rsidRDefault="00062F7C" w:rsidP="00062F7C">
            <w:pPr>
              <w:pStyle w:val="Odstavecseseznamem"/>
              <w:ind w:left="0"/>
              <w:jc w:val="center"/>
              <w:rPr>
                <w:rFonts w:eastAsia="Calibri" w:cstheme="minorHAnsi"/>
                <w:szCs w:val="24"/>
              </w:rPr>
            </w:pPr>
            <w:r w:rsidRPr="006C2606">
              <w:rPr>
                <w:rFonts w:eastAsia="Calibri" w:cstheme="minorHAnsi"/>
                <w:szCs w:val="24"/>
              </w:rPr>
              <w:t>19,9</w:t>
            </w:r>
          </w:p>
        </w:tc>
      </w:tr>
      <w:tr w:rsidR="00062F7C" w14:paraId="5DBC326D" w14:textId="77777777" w:rsidTr="004D3CE0">
        <w:trPr>
          <w:trHeight w:val="369"/>
        </w:trPr>
        <w:tc>
          <w:tcPr>
            <w:tcW w:w="3114" w:type="dxa"/>
            <w:vAlign w:val="center"/>
          </w:tcPr>
          <w:p w14:paraId="5230DBD7" w14:textId="77777777" w:rsidR="00062F7C" w:rsidRPr="006C2606" w:rsidRDefault="00062F7C" w:rsidP="00062F7C">
            <w:pPr>
              <w:pStyle w:val="Odstavecseseznamem"/>
              <w:ind w:left="0"/>
              <w:rPr>
                <w:rFonts w:eastAsia="Calibri" w:cstheme="minorHAnsi"/>
                <w:b/>
                <w:i/>
              </w:rPr>
            </w:pPr>
            <w:r>
              <w:rPr>
                <w:rFonts w:cstheme="minorHAnsi"/>
              </w:rPr>
              <w:t xml:space="preserve">4. </w:t>
            </w:r>
            <w:r w:rsidRPr="006C2606">
              <w:rPr>
                <w:rFonts w:cstheme="minorHAnsi"/>
              </w:rPr>
              <w:t>Belgie</w:t>
            </w:r>
          </w:p>
        </w:tc>
        <w:tc>
          <w:tcPr>
            <w:tcW w:w="992" w:type="dxa"/>
            <w:tcBorders>
              <w:top w:val="nil"/>
              <w:left w:val="single" w:sz="4" w:space="0" w:color="auto"/>
              <w:bottom w:val="single" w:sz="4" w:space="0" w:color="auto"/>
              <w:right w:val="single" w:sz="4" w:space="0" w:color="auto"/>
            </w:tcBorders>
            <w:shd w:val="clear" w:color="auto" w:fill="auto"/>
            <w:vAlign w:val="center"/>
          </w:tcPr>
          <w:p w14:paraId="376E9A47" w14:textId="77777777" w:rsidR="00062F7C" w:rsidRPr="006C2606" w:rsidRDefault="00062F7C" w:rsidP="00062F7C">
            <w:pPr>
              <w:pStyle w:val="Odstavecseseznamem"/>
              <w:ind w:left="0"/>
              <w:jc w:val="center"/>
              <w:rPr>
                <w:rFonts w:eastAsia="Calibri" w:cstheme="minorHAnsi"/>
              </w:rPr>
            </w:pPr>
            <w:r w:rsidRPr="006C2606">
              <w:rPr>
                <w:rFonts w:cstheme="minorHAnsi"/>
              </w:rPr>
              <w:t>0,18</w:t>
            </w:r>
          </w:p>
        </w:tc>
        <w:tc>
          <w:tcPr>
            <w:tcW w:w="709" w:type="dxa"/>
            <w:tcBorders>
              <w:top w:val="single" w:sz="4" w:space="0" w:color="FFFFFF" w:themeColor="background1"/>
              <w:bottom w:val="single" w:sz="4" w:space="0" w:color="FFFFFF" w:themeColor="background1"/>
            </w:tcBorders>
          </w:tcPr>
          <w:p w14:paraId="29216119" w14:textId="77777777" w:rsidR="00062F7C" w:rsidRDefault="00062F7C" w:rsidP="00062F7C">
            <w:pPr>
              <w:pStyle w:val="Odstavecseseznamem"/>
              <w:ind w:left="0"/>
              <w:jc w:val="both"/>
              <w:rPr>
                <w:rFonts w:eastAsia="Calibri" w:cstheme="minorHAnsi"/>
                <w:szCs w:val="24"/>
              </w:rPr>
            </w:pPr>
          </w:p>
        </w:tc>
        <w:tc>
          <w:tcPr>
            <w:tcW w:w="3260" w:type="dxa"/>
            <w:tcBorders>
              <w:right w:val="single" w:sz="4" w:space="0" w:color="auto"/>
            </w:tcBorders>
            <w:vAlign w:val="center"/>
          </w:tcPr>
          <w:p w14:paraId="0096C49E" w14:textId="77777777" w:rsidR="00062F7C" w:rsidRDefault="00062F7C" w:rsidP="00062F7C">
            <w:pPr>
              <w:pStyle w:val="Odstavecseseznamem"/>
              <w:ind w:left="0"/>
              <w:jc w:val="both"/>
              <w:rPr>
                <w:rFonts w:eastAsia="Calibri" w:cstheme="minorHAnsi"/>
                <w:szCs w:val="24"/>
              </w:rPr>
            </w:pPr>
            <w:r>
              <w:rPr>
                <w:rFonts w:eastAsia="Calibri" w:cstheme="minorHAnsi"/>
                <w:szCs w:val="24"/>
              </w:rPr>
              <w:t xml:space="preserve">4. </w:t>
            </w:r>
            <w:r w:rsidRPr="00DF23F1">
              <w:rPr>
                <w:rFonts w:eastAsia="Calibri" w:cstheme="minorHAnsi"/>
                <w:szCs w:val="24"/>
              </w:rPr>
              <w:t>Portugalsko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3018E48" w14:textId="77777777" w:rsidR="00062F7C" w:rsidRDefault="00062F7C" w:rsidP="00062F7C">
            <w:pPr>
              <w:pStyle w:val="Odstavecseseznamem"/>
              <w:ind w:left="0"/>
              <w:jc w:val="center"/>
              <w:rPr>
                <w:rFonts w:eastAsia="Calibri" w:cstheme="minorHAnsi"/>
                <w:szCs w:val="24"/>
              </w:rPr>
            </w:pPr>
            <w:r w:rsidRPr="006C2606">
              <w:rPr>
                <w:rFonts w:eastAsia="Calibri" w:cstheme="minorHAnsi"/>
                <w:szCs w:val="24"/>
              </w:rPr>
              <w:t>18,4</w:t>
            </w:r>
          </w:p>
        </w:tc>
      </w:tr>
      <w:tr w:rsidR="00062F7C" w14:paraId="75409C5E" w14:textId="77777777" w:rsidTr="004D3CE0">
        <w:trPr>
          <w:trHeight w:val="369"/>
        </w:trPr>
        <w:tc>
          <w:tcPr>
            <w:tcW w:w="3114" w:type="dxa"/>
            <w:vAlign w:val="center"/>
          </w:tcPr>
          <w:p w14:paraId="17E775E0" w14:textId="77777777" w:rsidR="00062F7C" w:rsidRPr="006C2606" w:rsidRDefault="00062F7C" w:rsidP="00062F7C">
            <w:pPr>
              <w:pStyle w:val="Odstavecseseznamem"/>
              <w:ind w:left="0"/>
              <w:rPr>
                <w:rFonts w:eastAsia="Calibri" w:cstheme="minorHAnsi"/>
                <w:b/>
                <w:i/>
              </w:rPr>
            </w:pPr>
            <w:r>
              <w:rPr>
                <w:rFonts w:cstheme="minorHAnsi"/>
              </w:rPr>
              <w:t xml:space="preserve">5. </w:t>
            </w:r>
            <w:r w:rsidRPr="006C2606">
              <w:rPr>
                <w:rFonts w:cstheme="minorHAnsi"/>
              </w:rPr>
              <w:t>Nizozemsko</w:t>
            </w:r>
          </w:p>
        </w:tc>
        <w:tc>
          <w:tcPr>
            <w:tcW w:w="992" w:type="dxa"/>
            <w:tcBorders>
              <w:top w:val="nil"/>
              <w:left w:val="single" w:sz="4" w:space="0" w:color="auto"/>
              <w:bottom w:val="single" w:sz="4" w:space="0" w:color="auto"/>
              <w:right w:val="single" w:sz="4" w:space="0" w:color="auto"/>
            </w:tcBorders>
            <w:shd w:val="clear" w:color="auto" w:fill="auto"/>
            <w:vAlign w:val="center"/>
          </w:tcPr>
          <w:p w14:paraId="25A1CE52" w14:textId="77777777" w:rsidR="00062F7C" w:rsidRPr="006C2606" w:rsidRDefault="00062F7C" w:rsidP="00062F7C">
            <w:pPr>
              <w:pStyle w:val="Odstavecseseznamem"/>
              <w:ind w:left="0"/>
              <w:jc w:val="center"/>
              <w:rPr>
                <w:rFonts w:eastAsia="Calibri" w:cstheme="minorHAnsi"/>
              </w:rPr>
            </w:pPr>
            <w:r w:rsidRPr="006C2606">
              <w:rPr>
                <w:rFonts w:cstheme="minorHAnsi"/>
              </w:rPr>
              <w:t>0,16</w:t>
            </w:r>
          </w:p>
        </w:tc>
        <w:tc>
          <w:tcPr>
            <w:tcW w:w="709" w:type="dxa"/>
            <w:tcBorders>
              <w:top w:val="single" w:sz="4" w:space="0" w:color="FFFFFF" w:themeColor="background1"/>
              <w:bottom w:val="single" w:sz="4" w:space="0" w:color="FFFFFF" w:themeColor="background1"/>
            </w:tcBorders>
          </w:tcPr>
          <w:p w14:paraId="4B74DF41" w14:textId="77777777" w:rsidR="00062F7C" w:rsidRDefault="00062F7C" w:rsidP="00062F7C">
            <w:pPr>
              <w:pStyle w:val="Odstavecseseznamem"/>
              <w:ind w:left="0"/>
              <w:jc w:val="both"/>
              <w:rPr>
                <w:rFonts w:eastAsia="Calibri" w:cstheme="minorHAnsi"/>
                <w:szCs w:val="24"/>
              </w:rPr>
            </w:pPr>
          </w:p>
        </w:tc>
        <w:tc>
          <w:tcPr>
            <w:tcW w:w="3260" w:type="dxa"/>
            <w:tcBorders>
              <w:right w:val="single" w:sz="4" w:space="0" w:color="auto"/>
            </w:tcBorders>
            <w:vAlign w:val="center"/>
          </w:tcPr>
          <w:p w14:paraId="5DA594AE" w14:textId="77777777" w:rsidR="00062F7C" w:rsidRDefault="00062F7C" w:rsidP="00062F7C">
            <w:pPr>
              <w:pStyle w:val="Odstavecseseznamem"/>
              <w:ind w:left="0"/>
              <w:jc w:val="both"/>
              <w:rPr>
                <w:rFonts w:eastAsia="Calibri" w:cstheme="minorHAnsi"/>
                <w:szCs w:val="24"/>
              </w:rPr>
            </w:pPr>
            <w:r>
              <w:rPr>
                <w:rFonts w:eastAsia="Calibri" w:cstheme="minorHAnsi"/>
                <w:szCs w:val="24"/>
              </w:rPr>
              <w:t xml:space="preserve">5. </w:t>
            </w:r>
            <w:r w:rsidRPr="00DF23F1">
              <w:rPr>
                <w:rFonts w:eastAsia="Calibri" w:cstheme="minorHAnsi"/>
                <w:szCs w:val="24"/>
              </w:rPr>
              <w:t>Irsko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445CFC6" w14:textId="77777777" w:rsidR="00062F7C" w:rsidRDefault="00062F7C" w:rsidP="00062F7C">
            <w:pPr>
              <w:pStyle w:val="Odstavecseseznamem"/>
              <w:ind w:left="0"/>
              <w:jc w:val="center"/>
              <w:rPr>
                <w:rFonts w:eastAsia="Calibri" w:cstheme="minorHAnsi"/>
                <w:szCs w:val="24"/>
              </w:rPr>
            </w:pPr>
            <w:r w:rsidRPr="006C2606">
              <w:rPr>
                <w:rFonts w:eastAsia="Calibri" w:cstheme="minorHAnsi"/>
                <w:szCs w:val="24"/>
              </w:rPr>
              <w:t>16,2</w:t>
            </w:r>
          </w:p>
        </w:tc>
      </w:tr>
      <w:tr w:rsidR="00062F7C" w14:paraId="7E86804F" w14:textId="77777777" w:rsidTr="004D3CE0">
        <w:trPr>
          <w:trHeight w:val="369"/>
        </w:trPr>
        <w:tc>
          <w:tcPr>
            <w:tcW w:w="3114" w:type="dxa"/>
            <w:vAlign w:val="center"/>
          </w:tcPr>
          <w:p w14:paraId="4ABBC041" w14:textId="77777777" w:rsidR="00062F7C" w:rsidRPr="006C2606" w:rsidRDefault="00062F7C" w:rsidP="00062F7C">
            <w:pPr>
              <w:pStyle w:val="Odstavecseseznamem"/>
              <w:ind w:left="0"/>
              <w:rPr>
                <w:rFonts w:eastAsia="Calibri" w:cstheme="minorHAnsi"/>
                <w:b/>
                <w:i/>
              </w:rPr>
            </w:pPr>
            <w:r>
              <w:rPr>
                <w:rFonts w:cstheme="minorHAnsi"/>
              </w:rPr>
              <w:t xml:space="preserve">6. </w:t>
            </w:r>
            <w:r w:rsidRPr="006C2606">
              <w:rPr>
                <w:rFonts w:cstheme="minorHAnsi"/>
              </w:rPr>
              <w:t>Rakousko</w:t>
            </w:r>
          </w:p>
        </w:tc>
        <w:tc>
          <w:tcPr>
            <w:tcW w:w="992" w:type="dxa"/>
            <w:tcBorders>
              <w:top w:val="nil"/>
              <w:left w:val="single" w:sz="4" w:space="0" w:color="auto"/>
              <w:bottom w:val="single" w:sz="4" w:space="0" w:color="auto"/>
              <w:right w:val="single" w:sz="4" w:space="0" w:color="auto"/>
            </w:tcBorders>
            <w:shd w:val="clear" w:color="auto" w:fill="auto"/>
            <w:vAlign w:val="center"/>
          </w:tcPr>
          <w:p w14:paraId="1FCB4C11" w14:textId="77777777" w:rsidR="00062F7C" w:rsidRPr="006C2606" w:rsidRDefault="00062F7C" w:rsidP="00062F7C">
            <w:pPr>
              <w:pStyle w:val="Odstavecseseznamem"/>
              <w:ind w:left="0"/>
              <w:jc w:val="center"/>
              <w:rPr>
                <w:rFonts w:eastAsia="Calibri" w:cstheme="minorHAnsi"/>
              </w:rPr>
            </w:pPr>
            <w:r w:rsidRPr="006C2606">
              <w:rPr>
                <w:rFonts w:cstheme="minorHAnsi"/>
              </w:rPr>
              <w:t>0,16</w:t>
            </w:r>
          </w:p>
        </w:tc>
        <w:tc>
          <w:tcPr>
            <w:tcW w:w="709" w:type="dxa"/>
            <w:tcBorders>
              <w:top w:val="single" w:sz="4" w:space="0" w:color="FFFFFF" w:themeColor="background1"/>
              <w:bottom w:val="single" w:sz="4" w:space="0" w:color="FFFFFF" w:themeColor="background1"/>
            </w:tcBorders>
          </w:tcPr>
          <w:p w14:paraId="5531E278" w14:textId="77777777" w:rsidR="00062F7C" w:rsidRDefault="00062F7C" w:rsidP="00062F7C">
            <w:pPr>
              <w:pStyle w:val="Odstavecseseznamem"/>
              <w:ind w:left="0"/>
              <w:jc w:val="both"/>
              <w:rPr>
                <w:rFonts w:eastAsia="Calibri" w:cstheme="minorHAnsi"/>
                <w:szCs w:val="24"/>
              </w:rPr>
            </w:pPr>
          </w:p>
        </w:tc>
        <w:tc>
          <w:tcPr>
            <w:tcW w:w="3260" w:type="dxa"/>
            <w:tcBorders>
              <w:right w:val="single" w:sz="4" w:space="0" w:color="auto"/>
            </w:tcBorders>
            <w:vAlign w:val="center"/>
          </w:tcPr>
          <w:p w14:paraId="75C9FB91" w14:textId="77777777" w:rsidR="00062F7C" w:rsidRDefault="00062F7C" w:rsidP="00062F7C">
            <w:pPr>
              <w:pStyle w:val="Odstavecseseznamem"/>
              <w:ind w:left="0"/>
              <w:jc w:val="both"/>
              <w:rPr>
                <w:rFonts w:eastAsia="Calibri" w:cstheme="minorHAnsi"/>
                <w:szCs w:val="24"/>
              </w:rPr>
            </w:pPr>
            <w:r>
              <w:rPr>
                <w:rFonts w:eastAsia="Calibri" w:cstheme="minorHAnsi"/>
                <w:szCs w:val="24"/>
              </w:rPr>
              <w:t xml:space="preserve">6. </w:t>
            </w:r>
            <w:r w:rsidRPr="00DF23F1">
              <w:rPr>
                <w:rFonts w:eastAsia="Calibri" w:cstheme="minorHAnsi"/>
                <w:szCs w:val="24"/>
              </w:rPr>
              <w:t>Rusko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0C4F20B" w14:textId="77777777" w:rsidR="00062F7C" w:rsidRDefault="00062F7C" w:rsidP="00062F7C">
            <w:pPr>
              <w:pStyle w:val="Odstavecseseznamem"/>
              <w:ind w:left="0"/>
              <w:jc w:val="center"/>
              <w:rPr>
                <w:rFonts w:eastAsia="Calibri" w:cstheme="minorHAnsi"/>
                <w:szCs w:val="24"/>
              </w:rPr>
            </w:pPr>
            <w:r w:rsidRPr="006C2606">
              <w:rPr>
                <w:rFonts w:eastAsia="Calibri" w:cstheme="minorHAnsi"/>
                <w:szCs w:val="24"/>
              </w:rPr>
              <w:t>15,2</w:t>
            </w:r>
          </w:p>
        </w:tc>
      </w:tr>
      <w:tr w:rsidR="00062F7C" w14:paraId="0AB4FB18" w14:textId="77777777" w:rsidTr="004D3CE0">
        <w:trPr>
          <w:trHeight w:val="393"/>
        </w:trPr>
        <w:tc>
          <w:tcPr>
            <w:tcW w:w="3114" w:type="dxa"/>
            <w:vAlign w:val="center"/>
          </w:tcPr>
          <w:p w14:paraId="08F5619F" w14:textId="77777777" w:rsidR="00062F7C" w:rsidRPr="006C2606" w:rsidRDefault="00062F7C" w:rsidP="00062F7C">
            <w:pPr>
              <w:pStyle w:val="Odstavecseseznamem"/>
              <w:ind w:left="0"/>
              <w:rPr>
                <w:rFonts w:eastAsia="Calibri" w:cstheme="minorHAnsi"/>
                <w:b/>
                <w:i/>
              </w:rPr>
            </w:pPr>
            <w:r>
              <w:rPr>
                <w:rFonts w:cstheme="minorHAnsi"/>
              </w:rPr>
              <w:t xml:space="preserve">7. </w:t>
            </w:r>
            <w:r w:rsidRPr="006C2606">
              <w:rPr>
                <w:rFonts w:cstheme="minorHAnsi"/>
              </w:rPr>
              <w:t>Irsko</w:t>
            </w:r>
          </w:p>
        </w:tc>
        <w:tc>
          <w:tcPr>
            <w:tcW w:w="992" w:type="dxa"/>
            <w:tcBorders>
              <w:top w:val="nil"/>
              <w:left w:val="single" w:sz="4" w:space="0" w:color="auto"/>
              <w:bottom w:val="single" w:sz="4" w:space="0" w:color="auto"/>
              <w:right w:val="single" w:sz="4" w:space="0" w:color="auto"/>
            </w:tcBorders>
            <w:shd w:val="clear" w:color="auto" w:fill="auto"/>
            <w:vAlign w:val="center"/>
          </w:tcPr>
          <w:p w14:paraId="48AEBB3F" w14:textId="77777777" w:rsidR="00062F7C" w:rsidRPr="006C2606" w:rsidRDefault="00062F7C" w:rsidP="00062F7C">
            <w:pPr>
              <w:pStyle w:val="Odstavecseseznamem"/>
              <w:ind w:left="0"/>
              <w:jc w:val="center"/>
              <w:rPr>
                <w:rFonts w:eastAsia="Calibri" w:cstheme="minorHAnsi"/>
              </w:rPr>
            </w:pPr>
            <w:r w:rsidRPr="006C2606">
              <w:rPr>
                <w:rFonts w:cstheme="minorHAnsi"/>
              </w:rPr>
              <w:t>0,15</w:t>
            </w:r>
          </w:p>
        </w:tc>
        <w:tc>
          <w:tcPr>
            <w:tcW w:w="709" w:type="dxa"/>
            <w:tcBorders>
              <w:top w:val="single" w:sz="4" w:space="0" w:color="FFFFFF" w:themeColor="background1"/>
              <w:bottom w:val="single" w:sz="4" w:space="0" w:color="FFFFFF" w:themeColor="background1"/>
            </w:tcBorders>
          </w:tcPr>
          <w:p w14:paraId="72523959" w14:textId="77777777" w:rsidR="00062F7C" w:rsidRDefault="00062F7C" w:rsidP="00062F7C">
            <w:pPr>
              <w:pStyle w:val="Odstavecseseznamem"/>
              <w:ind w:left="0"/>
              <w:jc w:val="both"/>
              <w:rPr>
                <w:rFonts w:eastAsia="Calibri" w:cstheme="minorHAnsi"/>
                <w:szCs w:val="24"/>
              </w:rPr>
            </w:pPr>
          </w:p>
        </w:tc>
        <w:tc>
          <w:tcPr>
            <w:tcW w:w="3260" w:type="dxa"/>
            <w:tcBorders>
              <w:right w:val="single" w:sz="4" w:space="0" w:color="auto"/>
            </w:tcBorders>
            <w:vAlign w:val="center"/>
          </w:tcPr>
          <w:p w14:paraId="576F06E3" w14:textId="77777777" w:rsidR="00062F7C" w:rsidRDefault="00062F7C" w:rsidP="00062F7C">
            <w:pPr>
              <w:pStyle w:val="Odstavecseseznamem"/>
              <w:ind w:left="0"/>
              <w:jc w:val="both"/>
              <w:rPr>
                <w:rFonts w:eastAsia="Calibri" w:cstheme="minorHAnsi"/>
                <w:szCs w:val="24"/>
              </w:rPr>
            </w:pPr>
            <w:r>
              <w:rPr>
                <w:rFonts w:eastAsia="Calibri" w:cstheme="minorHAnsi"/>
                <w:szCs w:val="24"/>
              </w:rPr>
              <w:t xml:space="preserve">7. </w:t>
            </w:r>
            <w:r w:rsidRPr="00DF23F1">
              <w:rPr>
                <w:rFonts w:eastAsia="Calibri" w:cstheme="minorHAnsi"/>
                <w:szCs w:val="24"/>
              </w:rPr>
              <w:t>Norsko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9682089" w14:textId="77777777" w:rsidR="00062F7C" w:rsidRDefault="00062F7C" w:rsidP="00062F7C">
            <w:pPr>
              <w:pStyle w:val="Odstavecseseznamem"/>
              <w:ind w:left="0"/>
              <w:jc w:val="center"/>
              <w:rPr>
                <w:rFonts w:eastAsia="Calibri" w:cstheme="minorHAnsi"/>
                <w:szCs w:val="24"/>
              </w:rPr>
            </w:pPr>
            <w:r w:rsidRPr="006C2606">
              <w:rPr>
                <w:rFonts w:eastAsia="Calibri" w:cstheme="minorHAnsi"/>
                <w:szCs w:val="24"/>
              </w:rPr>
              <w:t>11,4</w:t>
            </w:r>
          </w:p>
        </w:tc>
      </w:tr>
      <w:tr w:rsidR="00062F7C" w14:paraId="1ACDA30B" w14:textId="77777777" w:rsidTr="004D3CE0">
        <w:trPr>
          <w:trHeight w:val="369"/>
        </w:trPr>
        <w:tc>
          <w:tcPr>
            <w:tcW w:w="3114" w:type="dxa"/>
            <w:vAlign w:val="center"/>
          </w:tcPr>
          <w:p w14:paraId="5C117A98" w14:textId="77777777" w:rsidR="00062F7C" w:rsidRPr="006C2606" w:rsidRDefault="00062F7C" w:rsidP="00062F7C">
            <w:pPr>
              <w:pStyle w:val="Odstavecseseznamem"/>
              <w:ind w:left="0"/>
              <w:rPr>
                <w:rFonts w:eastAsia="Calibri" w:cstheme="minorHAnsi"/>
                <w:b/>
                <w:i/>
              </w:rPr>
            </w:pPr>
            <w:r>
              <w:rPr>
                <w:rFonts w:cstheme="minorHAnsi"/>
              </w:rPr>
              <w:t>8. J</w:t>
            </w:r>
            <w:r w:rsidRPr="006C2606">
              <w:rPr>
                <w:rFonts w:cstheme="minorHAnsi"/>
              </w:rPr>
              <w:t>ižní Korea</w:t>
            </w:r>
          </w:p>
        </w:tc>
        <w:tc>
          <w:tcPr>
            <w:tcW w:w="992" w:type="dxa"/>
            <w:tcBorders>
              <w:top w:val="nil"/>
              <w:left w:val="single" w:sz="4" w:space="0" w:color="auto"/>
              <w:bottom w:val="single" w:sz="4" w:space="0" w:color="auto"/>
              <w:right w:val="single" w:sz="4" w:space="0" w:color="auto"/>
            </w:tcBorders>
            <w:shd w:val="clear" w:color="auto" w:fill="auto"/>
            <w:vAlign w:val="center"/>
          </w:tcPr>
          <w:p w14:paraId="2598FFDF" w14:textId="77777777" w:rsidR="00062F7C" w:rsidRPr="006C2606" w:rsidRDefault="00062F7C" w:rsidP="00062F7C">
            <w:pPr>
              <w:pStyle w:val="Odstavecseseznamem"/>
              <w:ind w:left="0"/>
              <w:jc w:val="center"/>
              <w:rPr>
                <w:rFonts w:eastAsia="Calibri" w:cstheme="minorHAnsi"/>
              </w:rPr>
            </w:pPr>
            <w:r w:rsidRPr="006C2606">
              <w:rPr>
                <w:rFonts w:cstheme="minorHAnsi"/>
              </w:rPr>
              <w:t>0,13</w:t>
            </w:r>
          </w:p>
        </w:tc>
        <w:tc>
          <w:tcPr>
            <w:tcW w:w="709" w:type="dxa"/>
            <w:tcBorders>
              <w:top w:val="single" w:sz="4" w:space="0" w:color="FFFFFF" w:themeColor="background1"/>
              <w:bottom w:val="single" w:sz="4" w:space="0" w:color="FFFFFF" w:themeColor="background1"/>
            </w:tcBorders>
          </w:tcPr>
          <w:p w14:paraId="799CE201" w14:textId="77777777" w:rsidR="00062F7C" w:rsidRDefault="00062F7C" w:rsidP="00062F7C">
            <w:pPr>
              <w:pStyle w:val="Odstavecseseznamem"/>
              <w:ind w:left="0"/>
              <w:jc w:val="both"/>
              <w:rPr>
                <w:rFonts w:eastAsia="Calibri" w:cstheme="minorHAnsi"/>
                <w:szCs w:val="24"/>
              </w:rPr>
            </w:pPr>
          </w:p>
        </w:tc>
        <w:tc>
          <w:tcPr>
            <w:tcW w:w="3260" w:type="dxa"/>
            <w:tcBorders>
              <w:right w:val="single" w:sz="4" w:space="0" w:color="auto"/>
            </w:tcBorders>
            <w:vAlign w:val="center"/>
          </w:tcPr>
          <w:p w14:paraId="129731F5" w14:textId="77777777" w:rsidR="00062F7C" w:rsidRDefault="00062F7C" w:rsidP="00062F7C">
            <w:pPr>
              <w:pStyle w:val="Odstavecseseznamem"/>
              <w:ind w:left="0"/>
              <w:jc w:val="both"/>
              <w:rPr>
                <w:rFonts w:eastAsia="Calibri" w:cstheme="minorHAnsi"/>
                <w:szCs w:val="24"/>
              </w:rPr>
            </w:pPr>
            <w:r>
              <w:rPr>
                <w:rFonts w:eastAsia="Calibri" w:cstheme="minorHAnsi"/>
                <w:szCs w:val="24"/>
              </w:rPr>
              <w:t xml:space="preserve">8. </w:t>
            </w:r>
            <w:r w:rsidRPr="00DF23F1">
              <w:rPr>
                <w:rFonts w:eastAsia="Calibri" w:cstheme="minorHAnsi"/>
                <w:szCs w:val="24"/>
              </w:rPr>
              <w:t>Nizozemsko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D644591" w14:textId="77777777" w:rsidR="00062F7C" w:rsidRDefault="00062F7C" w:rsidP="00062F7C">
            <w:pPr>
              <w:pStyle w:val="Odstavecseseznamem"/>
              <w:ind w:left="0"/>
              <w:jc w:val="center"/>
              <w:rPr>
                <w:rFonts w:eastAsia="Calibri" w:cstheme="minorHAnsi"/>
                <w:szCs w:val="24"/>
              </w:rPr>
            </w:pPr>
            <w:r w:rsidRPr="006C2606">
              <w:rPr>
                <w:rFonts w:eastAsia="Calibri" w:cstheme="minorHAnsi"/>
                <w:szCs w:val="24"/>
              </w:rPr>
              <w:t>11,1</w:t>
            </w:r>
          </w:p>
        </w:tc>
      </w:tr>
      <w:tr w:rsidR="00062F7C" w14:paraId="304AAD0A" w14:textId="77777777" w:rsidTr="004D3CE0">
        <w:trPr>
          <w:trHeight w:val="369"/>
        </w:trPr>
        <w:tc>
          <w:tcPr>
            <w:tcW w:w="3114" w:type="dxa"/>
            <w:vAlign w:val="center"/>
          </w:tcPr>
          <w:p w14:paraId="5DF4AEE4" w14:textId="77777777" w:rsidR="00062F7C" w:rsidRPr="006C2606" w:rsidRDefault="00062F7C" w:rsidP="00062F7C">
            <w:pPr>
              <w:pStyle w:val="Odstavecseseznamem"/>
              <w:ind w:left="0"/>
              <w:rPr>
                <w:rFonts w:eastAsia="Calibri" w:cstheme="minorHAnsi"/>
                <w:b/>
                <w:i/>
              </w:rPr>
            </w:pPr>
            <w:r>
              <w:rPr>
                <w:rFonts w:cstheme="minorHAnsi"/>
              </w:rPr>
              <w:t xml:space="preserve">9. </w:t>
            </w:r>
            <w:r w:rsidRPr="006C2606">
              <w:rPr>
                <w:rFonts w:cstheme="minorHAnsi"/>
              </w:rPr>
              <w:t>Norsko</w:t>
            </w:r>
          </w:p>
        </w:tc>
        <w:tc>
          <w:tcPr>
            <w:tcW w:w="992" w:type="dxa"/>
            <w:tcBorders>
              <w:top w:val="nil"/>
              <w:left w:val="single" w:sz="4" w:space="0" w:color="auto"/>
              <w:bottom w:val="single" w:sz="4" w:space="0" w:color="auto"/>
              <w:right w:val="single" w:sz="4" w:space="0" w:color="auto"/>
            </w:tcBorders>
            <w:shd w:val="clear" w:color="auto" w:fill="auto"/>
            <w:vAlign w:val="center"/>
          </w:tcPr>
          <w:p w14:paraId="0EE64F20" w14:textId="77777777" w:rsidR="00062F7C" w:rsidRPr="006C2606" w:rsidRDefault="00062F7C" w:rsidP="00062F7C">
            <w:pPr>
              <w:pStyle w:val="Odstavecseseznamem"/>
              <w:ind w:left="0"/>
              <w:jc w:val="center"/>
              <w:rPr>
                <w:rFonts w:eastAsia="Calibri" w:cstheme="minorHAnsi"/>
              </w:rPr>
            </w:pPr>
            <w:r w:rsidRPr="006C2606">
              <w:rPr>
                <w:rFonts w:cstheme="minorHAnsi"/>
              </w:rPr>
              <w:t>0,13</w:t>
            </w:r>
          </w:p>
        </w:tc>
        <w:tc>
          <w:tcPr>
            <w:tcW w:w="709" w:type="dxa"/>
            <w:tcBorders>
              <w:top w:val="single" w:sz="4" w:space="0" w:color="FFFFFF" w:themeColor="background1"/>
              <w:bottom w:val="single" w:sz="4" w:space="0" w:color="FFFFFF" w:themeColor="background1"/>
            </w:tcBorders>
          </w:tcPr>
          <w:p w14:paraId="3476407D" w14:textId="77777777" w:rsidR="00062F7C" w:rsidRDefault="00062F7C" w:rsidP="00062F7C">
            <w:pPr>
              <w:pStyle w:val="Odstavecseseznamem"/>
              <w:ind w:left="0"/>
              <w:jc w:val="both"/>
              <w:rPr>
                <w:rFonts w:eastAsia="Calibri" w:cstheme="minorHAnsi"/>
                <w:szCs w:val="24"/>
              </w:rPr>
            </w:pPr>
          </w:p>
        </w:tc>
        <w:tc>
          <w:tcPr>
            <w:tcW w:w="3260" w:type="dxa"/>
            <w:tcBorders>
              <w:right w:val="single" w:sz="4" w:space="0" w:color="auto"/>
            </w:tcBorders>
            <w:vAlign w:val="center"/>
          </w:tcPr>
          <w:p w14:paraId="3794C84A" w14:textId="77777777" w:rsidR="00062F7C" w:rsidRDefault="00062F7C" w:rsidP="00062F7C">
            <w:pPr>
              <w:pStyle w:val="Odstavecseseznamem"/>
              <w:ind w:left="0"/>
              <w:jc w:val="both"/>
              <w:rPr>
                <w:rFonts w:eastAsia="Calibri" w:cstheme="minorHAnsi"/>
                <w:szCs w:val="24"/>
              </w:rPr>
            </w:pPr>
            <w:r>
              <w:rPr>
                <w:rFonts w:eastAsia="Calibri" w:cstheme="minorHAnsi"/>
                <w:szCs w:val="24"/>
              </w:rPr>
              <w:t xml:space="preserve">9. </w:t>
            </w:r>
            <w:r w:rsidRPr="00DF23F1">
              <w:rPr>
                <w:rFonts w:eastAsia="Calibri" w:cstheme="minorHAnsi"/>
                <w:szCs w:val="24"/>
              </w:rPr>
              <w:t>Belgie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1D4804B" w14:textId="77777777" w:rsidR="00062F7C" w:rsidRDefault="00062F7C" w:rsidP="00062F7C">
            <w:pPr>
              <w:pStyle w:val="Odstavecseseznamem"/>
              <w:ind w:left="0"/>
              <w:jc w:val="center"/>
              <w:rPr>
                <w:rFonts w:eastAsia="Calibri" w:cstheme="minorHAnsi"/>
                <w:szCs w:val="24"/>
              </w:rPr>
            </w:pPr>
            <w:r w:rsidRPr="006C2606">
              <w:rPr>
                <w:rFonts w:eastAsia="Calibri" w:cstheme="minorHAnsi"/>
                <w:szCs w:val="24"/>
              </w:rPr>
              <w:t>9,5</w:t>
            </w:r>
          </w:p>
        </w:tc>
      </w:tr>
      <w:tr w:rsidR="00062F7C" w14:paraId="630B96A6" w14:textId="77777777" w:rsidTr="004D3CE0">
        <w:trPr>
          <w:trHeight w:val="369"/>
        </w:trPr>
        <w:tc>
          <w:tcPr>
            <w:tcW w:w="3114" w:type="dxa"/>
            <w:vAlign w:val="center"/>
          </w:tcPr>
          <w:p w14:paraId="3BDD32C6" w14:textId="77777777" w:rsidR="00062F7C" w:rsidRPr="006C2606" w:rsidRDefault="00062F7C" w:rsidP="00062F7C">
            <w:pPr>
              <w:pStyle w:val="Odstavecseseznamem"/>
              <w:ind w:left="0"/>
              <w:rPr>
                <w:rFonts w:eastAsia="Calibri" w:cstheme="minorHAnsi"/>
                <w:b/>
                <w:i/>
              </w:rPr>
            </w:pPr>
            <w:r>
              <w:rPr>
                <w:rFonts w:cstheme="minorHAnsi"/>
              </w:rPr>
              <w:t xml:space="preserve">10. </w:t>
            </w:r>
            <w:r w:rsidRPr="006C2606">
              <w:rPr>
                <w:rFonts w:cstheme="minorHAnsi"/>
              </w:rPr>
              <w:t>Portugalsko</w:t>
            </w:r>
          </w:p>
        </w:tc>
        <w:tc>
          <w:tcPr>
            <w:tcW w:w="992" w:type="dxa"/>
            <w:tcBorders>
              <w:top w:val="nil"/>
              <w:left w:val="single" w:sz="4" w:space="0" w:color="auto"/>
              <w:bottom w:val="single" w:sz="4" w:space="0" w:color="auto"/>
              <w:right w:val="single" w:sz="4" w:space="0" w:color="auto"/>
            </w:tcBorders>
            <w:shd w:val="clear" w:color="auto" w:fill="auto"/>
            <w:vAlign w:val="center"/>
          </w:tcPr>
          <w:p w14:paraId="2FF19D1D" w14:textId="77777777" w:rsidR="00062F7C" w:rsidRPr="006C2606" w:rsidRDefault="00062F7C" w:rsidP="00062F7C">
            <w:pPr>
              <w:pStyle w:val="Odstavecseseznamem"/>
              <w:ind w:left="0"/>
              <w:jc w:val="center"/>
              <w:rPr>
                <w:rFonts w:eastAsia="Calibri" w:cstheme="minorHAnsi"/>
              </w:rPr>
            </w:pPr>
            <w:r w:rsidRPr="006C2606">
              <w:rPr>
                <w:rFonts w:cstheme="minorHAnsi"/>
              </w:rPr>
              <w:t>0,12</w:t>
            </w:r>
          </w:p>
        </w:tc>
        <w:tc>
          <w:tcPr>
            <w:tcW w:w="709" w:type="dxa"/>
            <w:tcBorders>
              <w:top w:val="single" w:sz="4" w:space="0" w:color="FFFFFF" w:themeColor="background1"/>
              <w:bottom w:val="single" w:sz="4" w:space="0" w:color="FFFFFF" w:themeColor="background1"/>
            </w:tcBorders>
          </w:tcPr>
          <w:p w14:paraId="63252A70" w14:textId="77777777" w:rsidR="00062F7C" w:rsidRDefault="00062F7C" w:rsidP="00062F7C">
            <w:pPr>
              <w:pStyle w:val="Odstavecseseznamem"/>
              <w:ind w:left="0"/>
              <w:jc w:val="both"/>
              <w:rPr>
                <w:rFonts w:eastAsia="Calibri" w:cstheme="minorHAnsi"/>
                <w:szCs w:val="24"/>
              </w:rPr>
            </w:pPr>
          </w:p>
        </w:tc>
        <w:tc>
          <w:tcPr>
            <w:tcW w:w="3260" w:type="dxa"/>
            <w:tcBorders>
              <w:right w:val="single" w:sz="4" w:space="0" w:color="auto"/>
            </w:tcBorders>
            <w:vAlign w:val="center"/>
          </w:tcPr>
          <w:p w14:paraId="23DA00C7" w14:textId="77777777" w:rsidR="00062F7C" w:rsidRDefault="00062F7C" w:rsidP="00062F7C">
            <w:pPr>
              <w:pStyle w:val="Odstavecseseznamem"/>
              <w:ind w:left="0"/>
              <w:jc w:val="both"/>
              <w:rPr>
                <w:rFonts w:eastAsia="Calibri" w:cstheme="minorHAnsi"/>
                <w:szCs w:val="24"/>
              </w:rPr>
            </w:pPr>
            <w:r>
              <w:rPr>
                <w:rFonts w:eastAsia="Calibri" w:cstheme="minorHAnsi"/>
                <w:szCs w:val="24"/>
              </w:rPr>
              <w:t xml:space="preserve">10. </w:t>
            </w:r>
            <w:r w:rsidRPr="00DF23F1">
              <w:rPr>
                <w:rFonts w:eastAsia="Calibri" w:cstheme="minorHAnsi"/>
                <w:szCs w:val="24"/>
              </w:rPr>
              <w:t>Slovinsko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D5C8FF5" w14:textId="77777777" w:rsidR="00062F7C" w:rsidRDefault="00062F7C" w:rsidP="00062F7C">
            <w:pPr>
              <w:pStyle w:val="Odstavecseseznamem"/>
              <w:ind w:left="0"/>
              <w:jc w:val="center"/>
              <w:rPr>
                <w:rFonts w:eastAsia="Calibri" w:cstheme="minorHAnsi"/>
                <w:szCs w:val="24"/>
              </w:rPr>
            </w:pPr>
            <w:r w:rsidRPr="006C2606">
              <w:rPr>
                <w:rFonts w:eastAsia="Calibri" w:cstheme="minorHAnsi"/>
                <w:szCs w:val="24"/>
              </w:rPr>
              <w:t>7,7</w:t>
            </w:r>
          </w:p>
        </w:tc>
      </w:tr>
      <w:tr w:rsidR="00062F7C" w14:paraId="106F54ED" w14:textId="77777777" w:rsidTr="004D3CE0">
        <w:trPr>
          <w:trHeight w:val="369"/>
        </w:trPr>
        <w:tc>
          <w:tcPr>
            <w:tcW w:w="3114" w:type="dxa"/>
            <w:shd w:val="clear" w:color="auto" w:fill="FFFFFF" w:themeFill="background1"/>
            <w:vAlign w:val="center"/>
          </w:tcPr>
          <w:p w14:paraId="4E9F46D4" w14:textId="77777777" w:rsidR="00062F7C" w:rsidRPr="006C2606" w:rsidRDefault="00062F7C" w:rsidP="00062F7C">
            <w:pPr>
              <w:pStyle w:val="Odstavecseseznamem"/>
              <w:ind w:left="0"/>
              <w:rPr>
                <w:rFonts w:eastAsia="Calibri" w:cstheme="minorHAnsi"/>
                <w:b/>
                <w:i/>
              </w:rPr>
            </w:pPr>
            <w:r>
              <w:rPr>
                <w:rFonts w:cstheme="minorHAnsi"/>
              </w:rPr>
              <w:t xml:space="preserve">11. </w:t>
            </w:r>
            <w:r w:rsidRPr="006C2606">
              <w:rPr>
                <w:rFonts w:cstheme="minorHAnsi"/>
              </w:rPr>
              <w:t>Japonsko</w:t>
            </w:r>
          </w:p>
        </w:tc>
        <w:tc>
          <w:tcPr>
            <w:tcW w:w="992" w:type="dxa"/>
            <w:tcBorders>
              <w:top w:val="nil"/>
              <w:left w:val="single" w:sz="4" w:space="0" w:color="auto"/>
              <w:bottom w:val="single" w:sz="4" w:space="0" w:color="auto"/>
              <w:right w:val="single" w:sz="4" w:space="0" w:color="auto"/>
            </w:tcBorders>
            <w:shd w:val="clear" w:color="auto" w:fill="FFFFFF" w:themeFill="background1"/>
            <w:vAlign w:val="center"/>
          </w:tcPr>
          <w:p w14:paraId="4F6D1BC4" w14:textId="77777777" w:rsidR="00062F7C" w:rsidRPr="006C2606" w:rsidRDefault="00062F7C" w:rsidP="00062F7C">
            <w:pPr>
              <w:pStyle w:val="Odstavecseseznamem"/>
              <w:ind w:left="0"/>
              <w:jc w:val="center"/>
              <w:rPr>
                <w:rFonts w:eastAsia="Calibri" w:cstheme="minorHAnsi"/>
                <w:bCs/>
              </w:rPr>
            </w:pPr>
            <w:r w:rsidRPr="006C2606">
              <w:rPr>
                <w:rFonts w:cstheme="minorHAnsi"/>
              </w:rPr>
              <w:t>0,12</w:t>
            </w:r>
          </w:p>
        </w:tc>
        <w:tc>
          <w:tcPr>
            <w:tcW w:w="709" w:type="dxa"/>
            <w:tcBorders>
              <w:top w:val="single" w:sz="4" w:space="0" w:color="FFFFFF" w:themeColor="background1"/>
              <w:bottom w:val="single" w:sz="4" w:space="0" w:color="FFFFFF" w:themeColor="background1"/>
            </w:tcBorders>
            <w:shd w:val="clear" w:color="auto" w:fill="FFFFFF" w:themeFill="background1"/>
          </w:tcPr>
          <w:p w14:paraId="27CF057F" w14:textId="77777777" w:rsidR="00062F7C" w:rsidRDefault="00062F7C" w:rsidP="00062F7C">
            <w:pPr>
              <w:pStyle w:val="Odstavecseseznamem"/>
              <w:ind w:left="0"/>
              <w:jc w:val="both"/>
              <w:rPr>
                <w:rFonts w:eastAsia="Calibri" w:cstheme="minorHAnsi"/>
                <w:bCs/>
                <w:szCs w:val="24"/>
              </w:rPr>
            </w:pPr>
          </w:p>
        </w:tc>
        <w:tc>
          <w:tcPr>
            <w:tcW w:w="3260" w:type="dxa"/>
            <w:tcBorders>
              <w:right w:val="single" w:sz="4" w:space="0" w:color="auto"/>
            </w:tcBorders>
            <w:shd w:val="clear" w:color="auto" w:fill="FFFFFF" w:themeFill="background1"/>
            <w:vAlign w:val="center"/>
          </w:tcPr>
          <w:p w14:paraId="4C12A411" w14:textId="77777777" w:rsidR="00062F7C" w:rsidRDefault="00062F7C" w:rsidP="00062F7C">
            <w:pPr>
              <w:pStyle w:val="Odstavecseseznamem"/>
              <w:ind w:left="0"/>
              <w:jc w:val="both"/>
              <w:rPr>
                <w:rFonts w:eastAsia="Calibri" w:cstheme="minorHAnsi"/>
                <w:bCs/>
                <w:szCs w:val="24"/>
              </w:rPr>
            </w:pPr>
            <w:r>
              <w:rPr>
                <w:rFonts w:eastAsia="Calibri" w:cstheme="minorHAnsi"/>
                <w:szCs w:val="24"/>
              </w:rPr>
              <w:t xml:space="preserve">11. </w:t>
            </w:r>
            <w:r w:rsidRPr="00DF23F1">
              <w:rPr>
                <w:rFonts w:eastAsia="Calibri" w:cstheme="minorHAnsi"/>
                <w:szCs w:val="24"/>
              </w:rPr>
              <w:t>Rakousko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22CEC3B" w14:textId="77777777" w:rsidR="00062F7C" w:rsidRDefault="00062F7C" w:rsidP="00062F7C">
            <w:pPr>
              <w:pStyle w:val="Odstavecseseznamem"/>
              <w:ind w:left="0"/>
              <w:jc w:val="center"/>
              <w:rPr>
                <w:rFonts w:eastAsia="Calibri" w:cstheme="minorHAnsi"/>
                <w:szCs w:val="24"/>
              </w:rPr>
            </w:pPr>
            <w:r w:rsidRPr="006C2606">
              <w:rPr>
                <w:rFonts w:eastAsia="Calibri" w:cstheme="minorHAnsi"/>
                <w:szCs w:val="24"/>
              </w:rPr>
              <w:t>7,4</w:t>
            </w:r>
          </w:p>
        </w:tc>
      </w:tr>
      <w:tr w:rsidR="00062F7C" w14:paraId="0E65E82B" w14:textId="77777777" w:rsidTr="004D3CE0">
        <w:trPr>
          <w:trHeight w:val="393"/>
        </w:trPr>
        <w:tc>
          <w:tcPr>
            <w:tcW w:w="3114" w:type="dxa"/>
            <w:shd w:val="clear" w:color="auto" w:fill="FFFFFF" w:themeFill="background1"/>
            <w:vAlign w:val="center"/>
          </w:tcPr>
          <w:p w14:paraId="1A19B223" w14:textId="77777777" w:rsidR="00062F7C" w:rsidRPr="006C2606" w:rsidRDefault="00062F7C" w:rsidP="00062F7C">
            <w:pPr>
              <w:pStyle w:val="Odstavecseseznamem"/>
              <w:ind w:left="0"/>
              <w:rPr>
                <w:rFonts w:eastAsia="Calibri" w:cstheme="minorHAnsi"/>
                <w:b/>
                <w:i/>
              </w:rPr>
            </w:pPr>
            <w:r>
              <w:rPr>
                <w:rFonts w:cstheme="minorHAnsi"/>
              </w:rPr>
              <w:t xml:space="preserve">12. </w:t>
            </w:r>
            <w:r w:rsidRPr="006C2606">
              <w:rPr>
                <w:rFonts w:cstheme="minorHAnsi"/>
              </w:rPr>
              <w:t>Slovinsko</w:t>
            </w:r>
          </w:p>
        </w:tc>
        <w:tc>
          <w:tcPr>
            <w:tcW w:w="992" w:type="dxa"/>
            <w:tcBorders>
              <w:top w:val="nil"/>
              <w:left w:val="single" w:sz="4" w:space="0" w:color="auto"/>
              <w:bottom w:val="single" w:sz="4" w:space="0" w:color="auto"/>
              <w:right w:val="single" w:sz="4" w:space="0" w:color="auto"/>
            </w:tcBorders>
            <w:shd w:val="clear" w:color="auto" w:fill="FFFFFF" w:themeFill="background1"/>
            <w:vAlign w:val="center"/>
          </w:tcPr>
          <w:p w14:paraId="66D3AF5F" w14:textId="77777777" w:rsidR="00062F7C" w:rsidRPr="006C2606" w:rsidRDefault="00062F7C" w:rsidP="00062F7C">
            <w:pPr>
              <w:pStyle w:val="Odstavecseseznamem"/>
              <w:ind w:left="0"/>
              <w:jc w:val="center"/>
              <w:rPr>
                <w:rFonts w:eastAsia="Calibri" w:cstheme="minorHAnsi"/>
              </w:rPr>
            </w:pPr>
            <w:r w:rsidRPr="006C2606">
              <w:rPr>
                <w:rFonts w:cstheme="minorHAnsi"/>
              </w:rPr>
              <w:t>0,11</w:t>
            </w:r>
          </w:p>
        </w:tc>
        <w:tc>
          <w:tcPr>
            <w:tcW w:w="709" w:type="dxa"/>
            <w:tcBorders>
              <w:top w:val="single" w:sz="4" w:space="0" w:color="FFFFFF" w:themeColor="background1"/>
              <w:bottom w:val="single" w:sz="4" w:space="0" w:color="FFFFFF" w:themeColor="background1"/>
            </w:tcBorders>
          </w:tcPr>
          <w:p w14:paraId="61FBB45D" w14:textId="77777777" w:rsidR="00062F7C" w:rsidRDefault="00062F7C" w:rsidP="00062F7C">
            <w:pPr>
              <w:pStyle w:val="Odstavecseseznamem"/>
              <w:ind w:left="0"/>
              <w:jc w:val="both"/>
              <w:rPr>
                <w:rFonts w:eastAsia="Calibri" w:cstheme="minorHAnsi"/>
                <w:szCs w:val="24"/>
              </w:rPr>
            </w:pPr>
          </w:p>
        </w:tc>
        <w:tc>
          <w:tcPr>
            <w:tcW w:w="3260" w:type="dxa"/>
            <w:tcBorders>
              <w:right w:val="single" w:sz="4" w:space="0" w:color="auto"/>
            </w:tcBorders>
            <w:vAlign w:val="center"/>
          </w:tcPr>
          <w:p w14:paraId="1043405C" w14:textId="77777777" w:rsidR="00062F7C" w:rsidRDefault="00062F7C" w:rsidP="00062F7C">
            <w:pPr>
              <w:pStyle w:val="Odstavecseseznamem"/>
              <w:ind w:left="0"/>
              <w:jc w:val="both"/>
              <w:rPr>
                <w:rFonts w:eastAsia="Calibri" w:cstheme="minorHAnsi"/>
                <w:szCs w:val="24"/>
              </w:rPr>
            </w:pPr>
            <w:r>
              <w:rPr>
                <w:rFonts w:eastAsia="Calibri" w:cstheme="minorHAnsi"/>
                <w:szCs w:val="24"/>
              </w:rPr>
              <w:t xml:space="preserve">12. </w:t>
            </w:r>
            <w:r w:rsidRPr="00DF23F1">
              <w:rPr>
                <w:rFonts w:eastAsia="Calibri" w:cstheme="minorHAnsi"/>
                <w:szCs w:val="24"/>
              </w:rPr>
              <w:t>Malta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F08C476" w14:textId="77777777" w:rsidR="00062F7C" w:rsidRDefault="00062F7C" w:rsidP="00062F7C">
            <w:pPr>
              <w:pStyle w:val="Odstavecseseznamem"/>
              <w:ind w:left="0"/>
              <w:jc w:val="center"/>
              <w:rPr>
                <w:rFonts w:eastAsia="Calibri" w:cstheme="minorHAnsi"/>
                <w:szCs w:val="24"/>
              </w:rPr>
            </w:pPr>
            <w:r w:rsidRPr="006C2606">
              <w:rPr>
                <w:rFonts w:eastAsia="Calibri" w:cstheme="minorHAnsi"/>
                <w:szCs w:val="24"/>
              </w:rPr>
              <w:t>7,4</w:t>
            </w:r>
          </w:p>
        </w:tc>
      </w:tr>
      <w:tr w:rsidR="00062F7C" w14:paraId="1B672CB6" w14:textId="77777777" w:rsidTr="004D3CE0">
        <w:trPr>
          <w:trHeight w:val="369"/>
        </w:trPr>
        <w:tc>
          <w:tcPr>
            <w:tcW w:w="3114" w:type="dxa"/>
            <w:shd w:val="clear" w:color="auto" w:fill="FFFFFF" w:themeFill="background1"/>
            <w:vAlign w:val="center"/>
          </w:tcPr>
          <w:p w14:paraId="7688727D" w14:textId="77777777" w:rsidR="00062F7C" w:rsidRPr="006C2606" w:rsidRDefault="00062F7C" w:rsidP="00062F7C">
            <w:pPr>
              <w:pStyle w:val="Odstavecseseznamem"/>
              <w:ind w:left="0"/>
              <w:rPr>
                <w:rFonts w:eastAsia="Calibri" w:cstheme="minorHAnsi"/>
                <w:b/>
                <w:i/>
              </w:rPr>
            </w:pPr>
            <w:r>
              <w:rPr>
                <w:rFonts w:cstheme="minorHAnsi"/>
              </w:rPr>
              <w:t xml:space="preserve">13. </w:t>
            </w:r>
            <w:r w:rsidRPr="006C2606">
              <w:rPr>
                <w:rFonts w:cstheme="minorHAnsi"/>
              </w:rPr>
              <w:t>Rusko</w:t>
            </w:r>
          </w:p>
        </w:tc>
        <w:tc>
          <w:tcPr>
            <w:tcW w:w="992" w:type="dxa"/>
            <w:tcBorders>
              <w:top w:val="nil"/>
              <w:left w:val="single" w:sz="4" w:space="0" w:color="auto"/>
              <w:bottom w:val="single" w:sz="4" w:space="0" w:color="auto"/>
              <w:right w:val="single" w:sz="4" w:space="0" w:color="auto"/>
            </w:tcBorders>
            <w:shd w:val="clear" w:color="auto" w:fill="FFFFFF" w:themeFill="background1"/>
            <w:vAlign w:val="center"/>
          </w:tcPr>
          <w:p w14:paraId="6B9D2071" w14:textId="77777777" w:rsidR="00062F7C" w:rsidRPr="006C2606" w:rsidRDefault="00062F7C" w:rsidP="00062F7C">
            <w:pPr>
              <w:pStyle w:val="Odstavecseseznamem"/>
              <w:ind w:left="0"/>
              <w:jc w:val="center"/>
              <w:rPr>
                <w:rFonts w:eastAsia="Calibri" w:cstheme="minorHAnsi"/>
                <w:bCs/>
              </w:rPr>
            </w:pPr>
            <w:r w:rsidRPr="006C2606">
              <w:rPr>
                <w:rFonts w:cstheme="minorHAnsi"/>
              </w:rPr>
              <w:t>0,10</w:t>
            </w:r>
          </w:p>
        </w:tc>
        <w:tc>
          <w:tcPr>
            <w:tcW w:w="709" w:type="dxa"/>
            <w:tcBorders>
              <w:top w:val="single" w:sz="4" w:space="0" w:color="FFFFFF" w:themeColor="background1"/>
              <w:bottom w:val="single" w:sz="4" w:space="0" w:color="FFFFFF" w:themeColor="background1"/>
            </w:tcBorders>
            <w:shd w:val="clear" w:color="auto" w:fill="FFFFFF" w:themeFill="background1"/>
          </w:tcPr>
          <w:p w14:paraId="05F272C9" w14:textId="77777777" w:rsidR="00062F7C" w:rsidRDefault="00062F7C" w:rsidP="00062F7C">
            <w:pPr>
              <w:pStyle w:val="Odstavecseseznamem"/>
              <w:ind w:left="0"/>
              <w:jc w:val="both"/>
              <w:rPr>
                <w:rFonts w:eastAsia="Calibri" w:cstheme="minorHAnsi"/>
                <w:bCs/>
                <w:szCs w:val="24"/>
              </w:rPr>
            </w:pPr>
          </w:p>
        </w:tc>
        <w:tc>
          <w:tcPr>
            <w:tcW w:w="3260" w:type="dxa"/>
            <w:tcBorders>
              <w:right w:val="single" w:sz="4" w:space="0" w:color="auto"/>
            </w:tcBorders>
            <w:shd w:val="clear" w:color="auto" w:fill="BDD6EE" w:themeFill="accent1" w:themeFillTint="66"/>
            <w:vAlign w:val="center"/>
          </w:tcPr>
          <w:p w14:paraId="412A3381" w14:textId="77777777" w:rsidR="00062F7C" w:rsidRPr="00E5677B" w:rsidRDefault="00062F7C" w:rsidP="00062F7C">
            <w:pPr>
              <w:pStyle w:val="Odstavecseseznamem"/>
              <w:ind w:left="0"/>
              <w:rPr>
                <w:rFonts w:eastAsia="Calibri" w:cstheme="minorHAnsi"/>
                <w:b/>
                <w:bCs/>
                <w:szCs w:val="24"/>
              </w:rPr>
            </w:pPr>
            <w:r w:rsidRPr="00E5677B">
              <w:rPr>
                <w:rFonts w:eastAsia="Calibri" w:cstheme="minorHAnsi"/>
                <w:b/>
                <w:bCs/>
                <w:szCs w:val="24"/>
              </w:rPr>
              <w:t>13. Evropská unie průměr</w:t>
            </w:r>
          </w:p>
        </w:tc>
        <w:tc>
          <w:tcPr>
            <w:tcW w:w="99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B06B555" w14:textId="77777777" w:rsidR="00062F7C" w:rsidRPr="00E5677B" w:rsidRDefault="00062F7C" w:rsidP="00062F7C">
            <w:pPr>
              <w:pStyle w:val="Odstavecseseznamem"/>
              <w:ind w:left="0"/>
              <w:jc w:val="center"/>
              <w:rPr>
                <w:rFonts w:eastAsia="Calibri" w:cstheme="minorHAnsi"/>
                <w:b/>
                <w:szCs w:val="24"/>
              </w:rPr>
            </w:pPr>
            <w:r w:rsidRPr="00E5677B">
              <w:rPr>
                <w:rFonts w:eastAsia="Calibri" w:cstheme="minorHAnsi"/>
                <w:b/>
                <w:szCs w:val="24"/>
              </w:rPr>
              <w:t>7,3</w:t>
            </w:r>
          </w:p>
        </w:tc>
      </w:tr>
      <w:tr w:rsidR="00062F7C" w14:paraId="66CE1456" w14:textId="77777777" w:rsidTr="004D3CE0">
        <w:trPr>
          <w:trHeight w:val="369"/>
        </w:trPr>
        <w:tc>
          <w:tcPr>
            <w:tcW w:w="3114" w:type="dxa"/>
            <w:shd w:val="clear" w:color="auto" w:fill="BDD6EE" w:themeFill="accent1" w:themeFillTint="66"/>
            <w:vAlign w:val="center"/>
          </w:tcPr>
          <w:p w14:paraId="602B09BF" w14:textId="77777777" w:rsidR="00062F7C" w:rsidRPr="006C2606" w:rsidRDefault="00062F7C" w:rsidP="00062F7C">
            <w:pPr>
              <w:pStyle w:val="Odstavecseseznamem"/>
              <w:ind w:left="0"/>
              <w:rPr>
                <w:rFonts w:eastAsia="Calibri" w:cstheme="minorHAnsi"/>
                <w:b/>
                <w:i/>
              </w:rPr>
            </w:pPr>
            <w:r>
              <w:rPr>
                <w:rFonts w:cstheme="minorHAnsi"/>
                <w:b/>
                <w:bCs/>
              </w:rPr>
              <w:t xml:space="preserve">14. </w:t>
            </w:r>
            <w:r w:rsidRPr="006C2606">
              <w:rPr>
                <w:rFonts w:cstheme="minorHAnsi"/>
                <w:b/>
                <w:bCs/>
              </w:rPr>
              <w:t>Evropská unie</w:t>
            </w:r>
            <w:r>
              <w:rPr>
                <w:rFonts w:cstheme="minorHAnsi"/>
                <w:b/>
                <w:bCs/>
              </w:rPr>
              <w:t xml:space="preserve"> průměr</w:t>
            </w:r>
          </w:p>
        </w:tc>
        <w:tc>
          <w:tcPr>
            <w:tcW w:w="992" w:type="dxa"/>
            <w:tcBorders>
              <w:top w:val="nil"/>
              <w:left w:val="single" w:sz="4" w:space="0" w:color="auto"/>
              <w:bottom w:val="single" w:sz="4" w:space="0" w:color="auto"/>
              <w:right w:val="single" w:sz="4" w:space="0" w:color="auto"/>
            </w:tcBorders>
            <w:shd w:val="clear" w:color="auto" w:fill="BDD6EE" w:themeFill="accent1" w:themeFillTint="66"/>
            <w:vAlign w:val="center"/>
          </w:tcPr>
          <w:p w14:paraId="6E21D719" w14:textId="77777777" w:rsidR="00062F7C" w:rsidRPr="00E5677B" w:rsidRDefault="00062F7C" w:rsidP="00062F7C">
            <w:pPr>
              <w:pStyle w:val="Odstavecseseznamem"/>
              <w:ind w:left="0"/>
              <w:jc w:val="center"/>
              <w:rPr>
                <w:rFonts w:eastAsia="Calibri" w:cstheme="minorHAnsi"/>
                <w:b/>
              </w:rPr>
            </w:pPr>
            <w:r w:rsidRPr="00E5677B">
              <w:rPr>
                <w:rFonts w:cstheme="minorHAnsi"/>
                <w:b/>
              </w:rPr>
              <w:t>0,10</w:t>
            </w:r>
          </w:p>
        </w:tc>
        <w:tc>
          <w:tcPr>
            <w:tcW w:w="709" w:type="dxa"/>
            <w:tcBorders>
              <w:top w:val="single" w:sz="4" w:space="0" w:color="FFFFFF" w:themeColor="background1"/>
              <w:bottom w:val="single" w:sz="4" w:space="0" w:color="FFFFFF" w:themeColor="background1"/>
            </w:tcBorders>
          </w:tcPr>
          <w:p w14:paraId="2345DDCF" w14:textId="77777777" w:rsidR="00062F7C" w:rsidRDefault="00062F7C" w:rsidP="00062F7C">
            <w:pPr>
              <w:pStyle w:val="Odstavecseseznamem"/>
              <w:ind w:left="0"/>
              <w:jc w:val="both"/>
              <w:rPr>
                <w:rFonts w:eastAsia="Calibri" w:cstheme="minorHAnsi"/>
                <w:szCs w:val="24"/>
              </w:rPr>
            </w:pPr>
          </w:p>
        </w:tc>
        <w:tc>
          <w:tcPr>
            <w:tcW w:w="3260" w:type="dxa"/>
            <w:vAlign w:val="center"/>
          </w:tcPr>
          <w:p w14:paraId="4A5B0E43" w14:textId="77777777" w:rsidR="00062F7C" w:rsidRDefault="00062F7C" w:rsidP="00062F7C">
            <w:pPr>
              <w:pStyle w:val="Odstavecseseznamem"/>
              <w:ind w:left="0"/>
              <w:jc w:val="both"/>
              <w:rPr>
                <w:rFonts w:eastAsia="Calibri" w:cstheme="minorHAnsi"/>
                <w:szCs w:val="24"/>
              </w:rPr>
            </w:pPr>
            <w:r>
              <w:rPr>
                <w:rFonts w:eastAsia="Calibri" w:cstheme="minorHAnsi"/>
                <w:szCs w:val="24"/>
              </w:rPr>
              <w:t xml:space="preserve">14. </w:t>
            </w:r>
            <w:r w:rsidRPr="00DF23F1">
              <w:rPr>
                <w:rFonts w:eastAsia="Calibri" w:cstheme="minorHAnsi"/>
                <w:szCs w:val="24"/>
              </w:rPr>
              <w:t>Litva</w:t>
            </w:r>
          </w:p>
        </w:tc>
        <w:tc>
          <w:tcPr>
            <w:tcW w:w="992" w:type="dxa"/>
            <w:tcBorders>
              <w:top w:val="single" w:sz="4" w:space="0" w:color="auto"/>
              <w:left w:val="nil"/>
              <w:bottom w:val="single" w:sz="4" w:space="0" w:color="auto"/>
              <w:right w:val="single" w:sz="4" w:space="0" w:color="auto"/>
            </w:tcBorders>
            <w:shd w:val="clear" w:color="auto" w:fill="auto"/>
            <w:vAlign w:val="center"/>
          </w:tcPr>
          <w:p w14:paraId="223F05CB" w14:textId="77777777" w:rsidR="00062F7C" w:rsidRDefault="00062F7C" w:rsidP="00062F7C">
            <w:pPr>
              <w:pStyle w:val="Odstavecseseznamem"/>
              <w:ind w:left="0"/>
              <w:jc w:val="center"/>
              <w:rPr>
                <w:rFonts w:eastAsia="Calibri" w:cstheme="minorHAnsi"/>
                <w:szCs w:val="24"/>
              </w:rPr>
            </w:pPr>
            <w:r w:rsidRPr="006C2606">
              <w:rPr>
                <w:rFonts w:eastAsia="Calibri" w:cstheme="minorHAnsi"/>
                <w:szCs w:val="24"/>
              </w:rPr>
              <w:t>6,9</w:t>
            </w:r>
          </w:p>
        </w:tc>
      </w:tr>
      <w:tr w:rsidR="00062F7C" w14:paraId="7FCC9842" w14:textId="77777777" w:rsidTr="004D3CE0">
        <w:trPr>
          <w:trHeight w:val="369"/>
        </w:trPr>
        <w:tc>
          <w:tcPr>
            <w:tcW w:w="3114" w:type="dxa"/>
            <w:vAlign w:val="center"/>
          </w:tcPr>
          <w:p w14:paraId="0AEF0E0C" w14:textId="77777777" w:rsidR="00062F7C" w:rsidRPr="006C2606" w:rsidRDefault="00062F7C" w:rsidP="00062F7C">
            <w:pPr>
              <w:pStyle w:val="Odstavecseseznamem"/>
              <w:ind w:left="0"/>
              <w:rPr>
                <w:rFonts w:eastAsia="Calibri" w:cstheme="minorHAnsi"/>
                <w:b/>
                <w:i/>
              </w:rPr>
            </w:pPr>
            <w:r>
              <w:rPr>
                <w:rFonts w:cstheme="minorHAnsi"/>
              </w:rPr>
              <w:t xml:space="preserve">15. </w:t>
            </w:r>
            <w:r w:rsidRPr="006C2606">
              <w:rPr>
                <w:rFonts w:cstheme="minorHAnsi"/>
              </w:rPr>
              <w:t>Spojené státy</w:t>
            </w:r>
          </w:p>
        </w:tc>
        <w:tc>
          <w:tcPr>
            <w:tcW w:w="992" w:type="dxa"/>
            <w:tcBorders>
              <w:top w:val="nil"/>
              <w:left w:val="single" w:sz="4" w:space="0" w:color="auto"/>
              <w:bottom w:val="single" w:sz="4" w:space="0" w:color="auto"/>
              <w:right w:val="single" w:sz="4" w:space="0" w:color="auto"/>
            </w:tcBorders>
            <w:shd w:val="clear" w:color="auto" w:fill="auto"/>
            <w:vAlign w:val="center"/>
          </w:tcPr>
          <w:p w14:paraId="0FFA9DEE" w14:textId="77777777" w:rsidR="00062F7C" w:rsidRPr="006C2606" w:rsidRDefault="00062F7C" w:rsidP="00062F7C">
            <w:pPr>
              <w:pStyle w:val="Odstavecseseznamem"/>
              <w:ind w:left="0"/>
              <w:jc w:val="center"/>
              <w:rPr>
                <w:rFonts w:eastAsia="Calibri" w:cstheme="minorHAnsi"/>
              </w:rPr>
            </w:pPr>
            <w:r w:rsidRPr="006C2606">
              <w:rPr>
                <w:rFonts w:cstheme="minorHAnsi"/>
              </w:rPr>
              <w:t>0,10</w:t>
            </w:r>
          </w:p>
        </w:tc>
        <w:tc>
          <w:tcPr>
            <w:tcW w:w="709" w:type="dxa"/>
            <w:tcBorders>
              <w:top w:val="single" w:sz="4" w:space="0" w:color="FFFFFF" w:themeColor="background1"/>
              <w:bottom w:val="single" w:sz="4" w:space="0" w:color="FFFFFF" w:themeColor="background1"/>
            </w:tcBorders>
          </w:tcPr>
          <w:p w14:paraId="1C897673" w14:textId="77777777" w:rsidR="00062F7C" w:rsidRDefault="00062F7C" w:rsidP="00062F7C">
            <w:pPr>
              <w:pStyle w:val="Odstavecseseznamem"/>
              <w:ind w:left="0"/>
              <w:jc w:val="both"/>
              <w:rPr>
                <w:rFonts w:eastAsia="Calibri" w:cstheme="minorHAnsi"/>
                <w:szCs w:val="24"/>
              </w:rPr>
            </w:pPr>
          </w:p>
        </w:tc>
        <w:tc>
          <w:tcPr>
            <w:tcW w:w="3260" w:type="dxa"/>
            <w:vAlign w:val="center"/>
          </w:tcPr>
          <w:p w14:paraId="6091DC16" w14:textId="77777777" w:rsidR="00062F7C" w:rsidRDefault="00062F7C" w:rsidP="00062F7C">
            <w:pPr>
              <w:pStyle w:val="Odstavecseseznamem"/>
              <w:ind w:left="0"/>
              <w:jc w:val="both"/>
              <w:rPr>
                <w:rFonts w:eastAsia="Calibri" w:cstheme="minorHAnsi"/>
                <w:szCs w:val="24"/>
              </w:rPr>
            </w:pPr>
            <w:r>
              <w:rPr>
                <w:rFonts w:eastAsia="Calibri" w:cstheme="minorHAnsi"/>
                <w:szCs w:val="24"/>
              </w:rPr>
              <w:t xml:space="preserve">15. </w:t>
            </w:r>
            <w:r w:rsidRPr="00DF23F1">
              <w:rPr>
                <w:rFonts w:eastAsia="Calibri" w:cstheme="minorHAnsi"/>
                <w:szCs w:val="24"/>
              </w:rPr>
              <w:t>Maďarsko</w:t>
            </w:r>
          </w:p>
        </w:tc>
        <w:tc>
          <w:tcPr>
            <w:tcW w:w="992" w:type="dxa"/>
            <w:tcBorders>
              <w:top w:val="single" w:sz="4" w:space="0" w:color="auto"/>
              <w:left w:val="nil"/>
              <w:bottom w:val="single" w:sz="4" w:space="0" w:color="auto"/>
              <w:right w:val="single" w:sz="4" w:space="0" w:color="auto"/>
            </w:tcBorders>
            <w:shd w:val="clear" w:color="auto" w:fill="auto"/>
            <w:vAlign w:val="center"/>
          </w:tcPr>
          <w:p w14:paraId="56B52EAD" w14:textId="77777777" w:rsidR="00062F7C" w:rsidRDefault="00062F7C" w:rsidP="00062F7C">
            <w:pPr>
              <w:pStyle w:val="Odstavecseseznamem"/>
              <w:ind w:left="0"/>
              <w:jc w:val="center"/>
              <w:rPr>
                <w:rFonts w:eastAsia="Calibri" w:cstheme="minorHAnsi"/>
                <w:szCs w:val="24"/>
              </w:rPr>
            </w:pPr>
            <w:r w:rsidRPr="006C2606">
              <w:rPr>
                <w:rFonts w:eastAsia="Calibri" w:cstheme="minorHAnsi"/>
                <w:szCs w:val="24"/>
              </w:rPr>
              <w:t>6,7</w:t>
            </w:r>
          </w:p>
        </w:tc>
      </w:tr>
      <w:tr w:rsidR="00062F7C" w14:paraId="4EA01D03" w14:textId="77777777" w:rsidTr="004D3CE0">
        <w:trPr>
          <w:trHeight w:val="369"/>
        </w:trPr>
        <w:tc>
          <w:tcPr>
            <w:tcW w:w="3114" w:type="dxa"/>
            <w:vAlign w:val="center"/>
          </w:tcPr>
          <w:p w14:paraId="66FA0E04" w14:textId="77777777" w:rsidR="00062F7C" w:rsidRPr="006C2606" w:rsidRDefault="00062F7C" w:rsidP="00062F7C">
            <w:pPr>
              <w:pStyle w:val="Odstavecseseznamem"/>
              <w:ind w:left="0"/>
              <w:rPr>
                <w:rFonts w:eastAsia="Calibri" w:cstheme="minorHAnsi"/>
                <w:b/>
                <w:i/>
              </w:rPr>
            </w:pPr>
            <w:r>
              <w:rPr>
                <w:rFonts w:cstheme="minorHAnsi"/>
              </w:rPr>
              <w:t xml:space="preserve">16. </w:t>
            </w:r>
            <w:r w:rsidRPr="006C2606">
              <w:rPr>
                <w:rFonts w:cstheme="minorHAnsi"/>
              </w:rPr>
              <w:t>Čína</w:t>
            </w:r>
          </w:p>
        </w:tc>
        <w:tc>
          <w:tcPr>
            <w:tcW w:w="992" w:type="dxa"/>
            <w:tcBorders>
              <w:top w:val="nil"/>
              <w:left w:val="single" w:sz="4" w:space="0" w:color="auto"/>
              <w:bottom w:val="single" w:sz="4" w:space="0" w:color="auto"/>
              <w:right w:val="single" w:sz="4" w:space="0" w:color="auto"/>
            </w:tcBorders>
            <w:shd w:val="clear" w:color="auto" w:fill="auto"/>
            <w:vAlign w:val="center"/>
          </w:tcPr>
          <w:p w14:paraId="21F89AFA" w14:textId="77777777" w:rsidR="00062F7C" w:rsidRPr="006C2606" w:rsidRDefault="00062F7C" w:rsidP="00062F7C">
            <w:pPr>
              <w:pStyle w:val="Odstavecseseznamem"/>
              <w:ind w:left="0"/>
              <w:jc w:val="center"/>
              <w:rPr>
                <w:rFonts w:eastAsia="Calibri" w:cstheme="minorHAnsi"/>
              </w:rPr>
            </w:pPr>
            <w:r w:rsidRPr="006C2606">
              <w:rPr>
                <w:rFonts w:cstheme="minorHAnsi"/>
              </w:rPr>
              <w:t>0,07</w:t>
            </w:r>
          </w:p>
        </w:tc>
        <w:tc>
          <w:tcPr>
            <w:tcW w:w="709" w:type="dxa"/>
            <w:tcBorders>
              <w:top w:val="single" w:sz="4" w:space="0" w:color="FFFFFF" w:themeColor="background1"/>
              <w:bottom w:val="single" w:sz="4" w:space="0" w:color="FFFFFF" w:themeColor="background1"/>
            </w:tcBorders>
          </w:tcPr>
          <w:p w14:paraId="595E3565" w14:textId="77777777" w:rsidR="00062F7C" w:rsidRDefault="00062F7C" w:rsidP="00062F7C">
            <w:pPr>
              <w:pStyle w:val="Odstavecseseznamem"/>
              <w:ind w:left="0"/>
              <w:jc w:val="both"/>
              <w:rPr>
                <w:rFonts w:eastAsia="Calibri" w:cstheme="minorHAnsi"/>
                <w:szCs w:val="24"/>
              </w:rPr>
            </w:pPr>
          </w:p>
        </w:tc>
        <w:tc>
          <w:tcPr>
            <w:tcW w:w="3260" w:type="dxa"/>
            <w:vAlign w:val="center"/>
          </w:tcPr>
          <w:p w14:paraId="0E3355F6" w14:textId="77777777" w:rsidR="00062F7C" w:rsidRDefault="00062F7C" w:rsidP="00062F7C">
            <w:pPr>
              <w:pStyle w:val="Odstavecseseznamem"/>
              <w:ind w:left="0"/>
              <w:jc w:val="both"/>
              <w:rPr>
                <w:rFonts w:eastAsia="Calibri" w:cstheme="minorHAnsi"/>
                <w:szCs w:val="24"/>
              </w:rPr>
            </w:pPr>
            <w:r>
              <w:rPr>
                <w:rFonts w:eastAsia="Calibri" w:cstheme="minorHAnsi"/>
                <w:szCs w:val="24"/>
              </w:rPr>
              <w:t xml:space="preserve">16. </w:t>
            </w:r>
            <w:r w:rsidRPr="00DF23F1">
              <w:rPr>
                <w:rFonts w:eastAsia="Calibri" w:cstheme="minorHAnsi"/>
                <w:szCs w:val="24"/>
              </w:rPr>
              <w:t>Japonsko</w:t>
            </w:r>
          </w:p>
        </w:tc>
        <w:tc>
          <w:tcPr>
            <w:tcW w:w="992" w:type="dxa"/>
            <w:tcBorders>
              <w:top w:val="single" w:sz="4" w:space="0" w:color="auto"/>
              <w:left w:val="nil"/>
              <w:bottom w:val="single" w:sz="4" w:space="0" w:color="auto"/>
              <w:right w:val="single" w:sz="4" w:space="0" w:color="auto"/>
            </w:tcBorders>
            <w:shd w:val="clear" w:color="auto" w:fill="auto"/>
            <w:vAlign w:val="center"/>
          </w:tcPr>
          <w:p w14:paraId="627571EB" w14:textId="77777777" w:rsidR="00062F7C" w:rsidRDefault="00062F7C" w:rsidP="00062F7C">
            <w:pPr>
              <w:pStyle w:val="Odstavecseseznamem"/>
              <w:ind w:left="0"/>
              <w:jc w:val="center"/>
              <w:rPr>
                <w:rFonts w:eastAsia="Calibri" w:cstheme="minorHAnsi"/>
                <w:szCs w:val="24"/>
              </w:rPr>
            </w:pPr>
            <w:r w:rsidRPr="006C2606">
              <w:rPr>
                <w:rFonts w:eastAsia="Calibri" w:cstheme="minorHAnsi"/>
                <w:szCs w:val="24"/>
              </w:rPr>
              <w:t>4,8</w:t>
            </w:r>
          </w:p>
        </w:tc>
      </w:tr>
      <w:tr w:rsidR="00062F7C" w14:paraId="6C569324" w14:textId="77777777" w:rsidTr="004D3CE0">
        <w:trPr>
          <w:trHeight w:val="393"/>
        </w:trPr>
        <w:tc>
          <w:tcPr>
            <w:tcW w:w="3114" w:type="dxa"/>
            <w:vAlign w:val="center"/>
          </w:tcPr>
          <w:p w14:paraId="6F85D15B" w14:textId="77777777" w:rsidR="00062F7C" w:rsidRPr="006C2606" w:rsidRDefault="00062F7C" w:rsidP="00062F7C">
            <w:pPr>
              <w:pStyle w:val="Odstavecseseznamem"/>
              <w:ind w:left="0"/>
              <w:rPr>
                <w:rFonts w:eastAsia="Calibri" w:cstheme="minorHAnsi"/>
                <w:b/>
                <w:i/>
              </w:rPr>
            </w:pPr>
            <w:r>
              <w:rPr>
                <w:rFonts w:cstheme="minorHAnsi"/>
              </w:rPr>
              <w:t xml:space="preserve">17. </w:t>
            </w:r>
            <w:r w:rsidRPr="006C2606">
              <w:rPr>
                <w:rFonts w:cstheme="minorHAnsi"/>
              </w:rPr>
              <w:t>Maďarsko</w:t>
            </w:r>
          </w:p>
        </w:tc>
        <w:tc>
          <w:tcPr>
            <w:tcW w:w="992" w:type="dxa"/>
            <w:tcBorders>
              <w:top w:val="nil"/>
              <w:left w:val="single" w:sz="4" w:space="0" w:color="auto"/>
              <w:bottom w:val="single" w:sz="4" w:space="0" w:color="auto"/>
              <w:right w:val="single" w:sz="4" w:space="0" w:color="auto"/>
            </w:tcBorders>
            <w:shd w:val="clear" w:color="auto" w:fill="auto"/>
            <w:vAlign w:val="center"/>
          </w:tcPr>
          <w:p w14:paraId="7BBD8505" w14:textId="77777777" w:rsidR="00062F7C" w:rsidRPr="006C2606" w:rsidRDefault="00062F7C" w:rsidP="00062F7C">
            <w:pPr>
              <w:pStyle w:val="Odstavecseseznamem"/>
              <w:ind w:left="0"/>
              <w:jc w:val="center"/>
              <w:rPr>
                <w:rFonts w:eastAsia="Calibri" w:cstheme="minorHAnsi"/>
              </w:rPr>
            </w:pPr>
            <w:r w:rsidRPr="006C2606">
              <w:rPr>
                <w:rFonts w:cstheme="minorHAnsi"/>
              </w:rPr>
              <w:t>0,06</w:t>
            </w:r>
          </w:p>
        </w:tc>
        <w:tc>
          <w:tcPr>
            <w:tcW w:w="709" w:type="dxa"/>
            <w:tcBorders>
              <w:top w:val="single" w:sz="4" w:space="0" w:color="FFFFFF" w:themeColor="background1"/>
              <w:bottom w:val="single" w:sz="4" w:space="0" w:color="FFFFFF" w:themeColor="background1"/>
            </w:tcBorders>
          </w:tcPr>
          <w:p w14:paraId="30A4FF7D" w14:textId="77777777" w:rsidR="00062F7C" w:rsidRDefault="00062F7C" w:rsidP="00062F7C">
            <w:pPr>
              <w:pStyle w:val="Odstavecseseznamem"/>
              <w:ind w:left="0"/>
              <w:jc w:val="both"/>
              <w:rPr>
                <w:rFonts w:eastAsia="Calibri" w:cstheme="minorHAnsi"/>
                <w:szCs w:val="24"/>
              </w:rPr>
            </w:pPr>
          </w:p>
        </w:tc>
        <w:tc>
          <w:tcPr>
            <w:tcW w:w="3260" w:type="dxa"/>
            <w:vAlign w:val="center"/>
          </w:tcPr>
          <w:p w14:paraId="44EA1CD3" w14:textId="77777777" w:rsidR="00062F7C" w:rsidRDefault="00062F7C" w:rsidP="00062F7C">
            <w:pPr>
              <w:pStyle w:val="Odstavecseseznamem"/>
              <w:ind w:left="0"/>
              <w:jc w:val="both"/>
              <w:rPr>
                <w:rFonts w:eastAsia="Calibri" w:cstheme="minorHAnsi"/>
                <w:szCs w:val="24"/>
              </w:rPr>
            </w:pPr>
            <w:r>
              <w:rPr>
                <w:rFonts w:eastAsia="Calibri" w:cstheme="minorHAnsi"/>
                <w:szCs w:val="24"/>
              </w:rPr>
              <w:t xml:space="preserve">17. </w:t>
            </w:r>
            <w:r w:rsidRPr="00DF23F1">
              <w:rPr>
                <w:rFonts w:eastAsia="Calibri" w:cstheme="minorHAnsi"/>
                <w:szCs w:val="24"/>
              </w:rPr>
              <w:t>Spojené státy</w:t>
            </w:r>
          </w:p>
        </w:tc>
        <w:tc>
          <w:tcPr>
            <w:tcW w:w="992" w:type="dxa"/>
            <w:tcBorders>
              <w:top w:val="single" w:sz="4" w:space="0" w:color="auto"/>
              <w:left w:val="nil"/>
              <w:bottom w:val="single" w:sz="4" w:space="0" w:color="auto"/>
              <w:right w:val="single" w:sz="4" w:space="0" w:color="auto"/>
            </w:tcBorders>
            <w:shd w:val="clear" w:color="auto" w:fill="auto"/>
            <w:vAlign w:val="center"/>
          </w:tcPr>
          <w:p w14:paraId="6460B041" w14:textId="77777777" w:rsidR="00062F7C" w:rsidRDefault="00062F7C" w:rsidP="00062F7C">
            <w:pPr>
              <w:pStyle w:val="Odstavecseseznamem"/>
              <w:ind w:left="0"/>
              <w:jc w:val="center"/>
              <w:rPr>
                <w:rFonts w:eastAsia="Calibri" w:cstheme="minorHAnsi"/>
                <w:szCs w:val="24"/>
              </w:rPr>
            </w:pPr>
            <w:r w:rsidRPr="006C2606">
              <w:rPr>
                <w:rFonts w:eastAsia="Calibri" w:cstheme="minorHAnsi"/>
                <w:szCs w:val="24"/>
              </w:rPr>
              <w:t>4,7</w:t>
            </w:r>
          </w:p>
        </w:tc>
      </w:tr>
      <w:tr w:rsidR="00062F7C" w14:paraId="6B7F4968" w14:textId="77777777" w:rsidTr="004D3CE0">
        <w:trPr>
          <w:trHeight w:val="369"/>
        </w:trPr>
        <w:tc>
          <w:tcPr>
            <w:tcW w:w="3114" w:type="dxa"/>
            <w:shd w:val="clear" w:color="auto" w:fill="F7CAAC" w:themeFill="accent2" w:themeFillTint="66"/>
            <w:vAlign w:val="center"/>
          </w:tcPr>
          <w:p w14:paraId="5057AAA3" w14:textId="77777777" w:rsidR="00062F7C" w:rsidRPr="00E5677B" w:rsidRDefault="00062F7C" w:rsidP="00062F7C">
            <w:pPr>
              <w:pStyle w:val="Odstavecseseznamem"/>
              <w:ind w:left="0"/>
              <w:rPr>
                <w:rFonts w:eastAsia="Calibri" w:cstheme="minorHAnsi"/>
                <w:b/>
                <w:i/>
              </w:rPr>
            </w:pPr>
            <w:r>
              <w:rPr>
                <w:rFonts w:cstheme="minorHAnsi"/>
                <w:b/>
                <w:bCs/>
              </w:rPr>
              <w:t xml:space="preserve">18. </w:t>
            </w:r>
            <w:r w:rsidRPr="00E5677B">
              <w:rPr>
                <w:rFonts w:cstheme="minorHAnsi"/>
                <w:b/>
                <w:bCs/>
              </w:rPr>
              <w:t>Česko</w:t>
            </w:r>
          </w:p>
        </w:tc>
        <w:tc>
          <w:tcPr>
            <w:tcW w:w="992" w:type="dxa"/>
            <w:tcBorders>
              <w:top w:val="nil"/>
              <w:left w:val="single" w:sz="4" w:space="0" w:color="auto"/>
              <w:bottom w:val="single" w:sz="4" w:space="0" w:color="auto"/>
              <w:right w:val="single" w:sz="4" w:space="0" w:color="auto"/>
            </w:tcBorders>
            <w:shd w:val="clear" w:color="auto" w:fill="F7CAAC" w:themeFill="accent2" w:themeFillTint="66"/>
            <w:vAlign w:val="center"/>
          </w:tcPr>
          <w:p w14:paraId="4E3A120B" w14:textId="77777777" w:rsidR="00062F7C" w:rsidRPr="00E5677B" w:rsidRDefault="00062F7C" w:rsidP="00062F7C">
            <w:pPr>
              <w:pStyle w:val="Odstavecseseznamem"/>
              <w:ind w:left="0"/>
              <w:jc w:val="center"/>
              <w:rPr>
                <w:rFonts w:eastAsia="Calibri" w:cstheme="minorHAnsi"/>
                <w:b/>
              </w:rPr>
            </w:pPr>
            <w:r w:rsidRPr="00E5677B">
              <w:rPr>
                <w:rFonts w:cstheme="minorHAnsi"/>
                <w:b/>
              </w:rPr>
              <w:t>0,05</w:t>
            </w:r>
          </w:p>
        </w:tc>
        <w:tc>
          <w:tcPr>
            <w:tcW w:w="709" w:type="dxa"/>
            <w:tcBorders>
              <w:top w:val="single" w:sz="4" w:space="0" w:color="FFFFFF" w:themeColor="background1"/>
              <w:bottom w:val="single" w:sz="4" w:space="0" w:color="FFFFFF" w:themeColor="background1"/>
            </w:tcBorders>
          </w:tcPr>
          <w:p w14:paraId="24D3203E" w14:textId="77777777" w:rsidR="00062F7C" w:rsidRDefault="00062F7C" w:rsidP="00062F7C">
            <w:pPr>
              <w:pStyle w:val="Odstavecseseznamem"/>
              <w:ind w:left="0"/>
              <w:jc w:val="both"/>
              <w:rPr>
                <w:rFonts w:eastAsia="Calibri" w:cstheme="minorHAnsi"/>
                <w:szCs w:val="24"/>
              </w:rPr>
            </w:pPr>
          </w:p>
        </w:tc>
        <w:tc>
          <w:tcPr>
            <w:tcW w:w="3260" w:type="dxa"/>
            <w:shd w:val="clear" w:color="auto" w:fill="F7CAAC" w:themeFill="accent2" w:themeFillTint="66"/>
            <w:vAlign w:val="center"/>
          </w:tcPr>
          <w:p w14:paraId="5288A1BF" w14:textId="77777777" w:rsidR="00062F7C" w:rsidRPr="00E5677B" w:rsidRDefault="00062F7C" w:rsidP="00062F7C">
            <w:pPr>
              <w:pStyle w:val="Odstavecseseznamem"/>
              <w:ind w:left="0"/>
              <w:jc w:val="both"/>
              <w:rPr>
                <w:rFonts w:eastAsia="Calibri" w:cstheme="minorHAnsi"/>
                <w:b/>
                <w:szCs w:val="24"/>
              </w:rPr>
            </w:pPr>
            <w:r w:rsidRPr="00E5677B">
              <w:rPr>
                <w:rFonts w:eastAsia="Calibri" w:cstheme="minorHAnsi"/>
                <w:b/>
                <w:bCs/>
                <w:szCs w:val="24"/>
              </w:rPr>
              <w:t>18. Česko</w:t>
            </w:r>
          </w:p>
        </w:tc>
        <w:tc>
          <w:tcPr>
            <w:tcW w:w="992" w:type="dxa"/>
            <w:tcBorders>
              <w:top w:val="single" w:sz="4" w:space="0" w:color="auto"/>
              <w:left w:val="nil"/>
              <w:bottom w:val="single" w:sz="4" w:space="0" w:color="auto"/>
              <w:right w:val="single" w:sz="4" w:space="0" w:color="auto"/>
            </w:tcBorders>
            <w:shd w:val="clear" w:color="auto" w:fill="F7CAAC" w:themeFill="accent2" w:themeFillTint="66"/>
            <w:vAlign w:val="center"/>
          </w:tcPr>
          <w:p w14:paraId="5EB1F134" w14:textId="77777777" w:rsidR="00062F7C" w:rsidRPr="00E5677B" w:rsidRDefault="00062F7C" w:rsidP="00062F7C">
            <w:pPr>
              <w:pStyle w:val="Odstavecseseznamem"/>
              <w:ind w:left="0"/>
              <w:jc w:val="center"/>
              <w:rPr>
                <w:rFonts w:eastAsia="Calibri" w:cstheme="minorHAnsi"/>
                <w:b/>
                <w:szCs w:val="24"/>
              </w:rPr>
            </w:pPr>
            <w:r w:rsidRPr="00E5677B">
              <w:rPr>
                <w:rFonts w:eastAsia="Calibri" w:cstheme="minorHAnsi"/>
                <w:b/>
                <w:szCs w:val="24"/>
              </w:rPr>
              <w:t>4,4</w:t>
            </w:r>
          </w:p>
        </w:tc>
      </w:tr>
      <w:tr w:rsidR="00062F7C" w14:paraId="58ACB30D" w14:textId="77777777" w:rsidTr="004D3CE0">
        <w:trPr>
          <w:trHeight w:val="369"/>
        </w:trPr>
        <w:tc>
          <w:tcPr>
            <w:tcW w:w="3114" w:type="dxa"/>
            <w:vAlign w:val="center"/>
          </w:tcPr>
          <w:p w14:paraId="0D2FFBBE" w14:textId="77777777" w:rsidR="00062F7C" w:rsidRPr="006C2606" w:rsidRDefault="00062F7C" w:rsidP="00062F7C">
            <w:pPr>
              <w:pStyle w:val="Odstavecseseznamem"/>
              <w:ind w:left="0"/>
              <w:rPr>
                <w:rFonts w:eastAsia="Calibri" w:cstheme="minorHAnsi"/>
                <w:b/>
                <w:i/>
              </w:rPr>
            </w:pPr>
            <w:r>
              <w:rPr>
                <w:rFonts w:cstheme="minorHAnsi"/>
              </w:rPr>
              <w:t xml:space="preserve">19. </w:t>
            </w:r>
            <w:r w:rsidRPr="006C2606">
              <w:rPr>
                <w:rFonts w:cstheme="minorHAnsi"/>
              </w:rPr>
              <w:t>Španělsko</w:t>
            </w:r>
          </w:p>
        </w:tc>
        <w:tc>
          <w:tcPr>
            <w:tcW w:w="992" w:type="dxa"/>
            <w:tcBorders>
              <w:top w:val="nil"/>
              <w:left w:val="single" w:sz="4" w:space="0" w:color="auto"/>
              <w:bottom w:val="single" w:sz="4" w:space="0" w:color="auto"/>
              <w:right w:val="single" w:sz="4" w:space="0" w:color="auto"/>
            </w:tcBorders>
            <w:shd w:val="clear" w:color="auto" w:fill="auto"/>
            <w:vAlign w:val="center"/>
          </w:tcPr>
          <w:p w14:paraId="04D95D4D" w14:textId="77777777" w:rsidR="00062F7C" w:rsidRPr="006C2606" w:rsidRDefault="00062F7C" w:rsidP="00062F7C">
            <w:pPr>
              <w:pStyle w:val="Odstavecseseznamem"/>
              <w:ind w:left="0"/>
              <w:jc w:val="center"/>
              <w:rPr>
                <w:rFonts w:eastAsia="Calibri" w:cstheme="minorHAnsi"/>
              </w:rPr>
            </w:pPr>
            <w:r w:rsidRPr="006C2606">
              <w:rPr>
                <w:rFonts w:cstheme="minorHAnsi"/>
              </w:rPr>
              <w:t>0,03</w:t>
            </w:r>
          </w:p>
        </w:tc>
        <w:tc>
          <w:tcPr>
            <w:tcW w:w="709" w:type="dxa"/>
            <w:tcBorders>
              <w:top w:val="single" w:sz="4" w:space="0" w:color="FFFFFF" w:themeColor="background1"/>
              <w:bottom w:val="single" w:sz="4" w:space="0" w:color="FFFFFF" w:themeColor="background1"/>
            </w:tcBorders>
          </w:tcPr>
          <w:p w14:paraId="21DD0C12" w14:textId="77777777" w:rsidR="00062F7C" w:rsidRDefault="00062F7C" w:rsidP="00062F7C">
            <w:pPr>
              <w:pStyle w:val="Odstavecseseznamem"/>
              <w:ind w:left="0"/>
              <w:jc w:val="both"/>
              <w:rPr>
                <w:rFonts w:eastAsia="Calibri" w:cstheme="minorHAnsi"/>
                <w:szCs w:val="24"/>
              </w:rPr>
            </w:pPr>
          </w:p>
        </w:tc>
        <w:tc>
          <w:tcPr>
            <w:tcW w:w="3260" w:type="dxa"/>
            <w:vAlign w:val="center"/>
          </w:tcPr>
          <w:p w14:paraId="3824D1C0" w14:textId="77777777" w:rsidR="00062F7C" w:rsidRDefault="00062F7C" w:rsidP="00062F7C">
            <w:pPr>
              <w:pStyle w:val="Odstavecseseznamem"/>
              <w:ind w:left="0"/>
              <w:jc w:val="both"/>
              <w:rPr>
                <w:rFonts w:eastAsia="Calibri" w:cstheme="minorHAnsi"/>
                <w:szCs w:val="24"/>
              </w:rPr>
            </w:pPr>
            <w:r>
              <w:rPr>
                <w:rFonts w:eastAsia="Calibri" w:cstheme="minorHAnsi"/>
                <w:szCs w:val="24"/>
              </w:rPr>
              <w:t xml:space="preserve">19. </w:t>
            </w:r>
            <w:r w:rsidRPr="00DF23F1">
              <w:rPr>
                <w:rFonts w:eastAsia="Calibri" w:cstheme="minorHAnsi"/>
                <w:szCs w:val="24"/>
              </w:rPr>
              <w:t>Čína</w:t>
            </w:r>
          </w:p>
        </w:tc>
        <w:tc>
          <w:tcPr>
            <w:tcW w:w="992" w:type="dxa"/>
            <w:tcBorders>
              <w:top w:val="single" w:sz="4" w:space="0" w:color="auto"/>
              <w:left w:val="nil"/>
              <w:bottom w:val="single" w:sz="4" w:space="0" w:color="auto"/>
              <w:right w:val="single" w:sz="4" w:space="0" w:color="auto"/>
            </w:tcBorders>
            <w:shd w:val="clear" w:color="auto" w:fill="auto"/>
            <w:vAlign w:val="center"/>
          </w:tcPr>
          <w:p w14:paraId="778F89F7" w14:textId="77777777" w:rsidR="00062F7C" w:rsidRDefault="00062F7C" w:rsidP="00062F7C">
            <w:pPr>
              <w:pStyle w:val="Odstavecseseznamem"/>
              <w:ind w:left="0"/>
              <w:jc w:val="center"/>
              <w:rPr>
                <w:rFonts w:eastAsia="Calibri" w:cstheme="minorHAnsi"/>
                <w:szCs w:val="24"/>
              </w:rPr>
            </w:pPr>
            <w:r w:rsidRPr="006C2606">
              <w:rPr>
                <w:rFonts w:eastAsia="Calibri" w:cstheme="minorHAnsi"/>
                <w:szCs w:val="24"/>
              </w:rPr>
              <w:t>4,2</w:t>
            </w:r>
          </w:p>
        </w:tc>
      </w:tr>
      <w:tr w:rsidR="00062F7C" w14:paraId="7B738DDE" w14:textId="77777777" w:rsidTr="004D3CE0">
        <w:trPr>
          <w:trHeight w:val="369"/>
        </w:trPr>
        <w:tc>
          <w:tcPr>
            <w:tcW w:w="3114" w:type="dxa"/>
            <w:vAlign w:val="center"/>
          </w:tcPr>
          <w:p w14:paraId="745DF055" w14:textId="77777777" w:rsidR="00062F7C" w:rsidRPr="006C2606" w:rsidRDefault="00062F7C" w:rsidP="00062F7C">
            <w:pPr>
              <w:pStyle w:val="Odstavecseseznamem"/>
              <w:ind w:left="0"/>
              <w:rPr>
                <w:rFonts w:eastAsia="Calibri" w:cstheme="minorHAnsi"/>
                <w:b/>
                <w:i/>
              </w:rPr>
            </w:pPr>
            <w:r>
              <w:rPr>
                <w:rFonts w:cstheme="minorHAnsi"/>
              </w:rPr>
              <w:t xml:space="preserve">20. </w:t>
            </w:r>
            <w:r w:rsidRPr="006C2606">
              <w:rPr>
                <w:rFonts w:cstheme="minorHAnsi"/>
              </w:rPr>
              <w:t>Malta</w:t>
            </w:r>
          </w:p>
        </w:tc>
        <w:tc>
          <w:tcPr>
            <w:tcW w:w="992" w:type="dxa"/>
            <w:tcBorders>
              <w:top w:val="nil"/>
              <w:left w:val="single" w:sz="4" w:space="0" w:color="auto"/>
              <w:bottom w:val="single" w:sz="4" w:space="0" w:color="auto"/>
              <w:right w:val="single" w:sz="4" w:space="0" w:color="auto"/>
            </w:tcBorders>
            <w:shd w:val="clear" w:color="auto" w:fill="auto"/>
            <w:vAlign w:val="center"/>
          </w:tcPr>
          <w:p w14:paraId="52D9DB53" w14:textId="77777777" w:rsidR="00062F7C" w:rsidRPr="006C2606" w:rsidRDefault="00062F7C" w:rsidP="00062F7C">
            <w:pPr>
              <w:pStyle w:val="Odstavecseseznamem"/>
              <w:ind w:left="0"/>
              <w:jc w:val="center"/>
              <w:rPr>
                <w:rFonts w:eastAsia="Calibri" w:cstheme="minorHAnsi"/>
              </w:rPr>
            </w:pPr>
            <w:r w:rsidRPr="006C2606">
              <w:rPr>
                <w:rFonts w:cstheme="minorHAnsi"/>
              </w:rPr>
              <w:t>0,03</w:t>
            </w:r>
          </w:p>
        </w:tc>
        <w:tc>
          <w:tcPr>
            <w:tcW w:w="709" w:type="dxa"/>
            <w:tcBorders>
              <w:top w:val="single" w:sz="4" w:space="0" w:color="FFFFFF" w:themeColor="background1"/>
              <w:bottom w:val="single" w:sz="4" w:space="0" w:color="FFFFFF" w:themeColor="background1"/>
            </w:tcBorders>
          </w:tcPr>
          <w:p w14:paraId="0ABFCF1B" w14:textId="77777777" w:rsidR="00062F7C" w:rsidRDefault="00062F7C" w:rsidP="00062F7C">
            <w:pPr>
              <w:pStyle w:val="Odstavecseseznamem"/>
              <w:ind w:left="0"/>
              <w:jc w:val="both"/>
              <w:rPr>
                <w:rFonts w:eastAsia="Calibri" w:cstheme="minorHAnsi"/>
                <w:szCs w:val="24"/>
              </w:rPr>
            </w:pPr>
          </w:p>
        </w:tc>
        <w:tc>
          <w:tcPr>
            <w:tcW w:w="3260" w:type="dxa"/>
            <w:vAlign w:val="center"/>
          </w:tcPr>
          <w:p w14:paraId="7B78EB03" w14:textId="77777777" w:rsidR="00062F7C" w:rsidRDefault="00062F7C" w:rsidP="00062F7C">
            <w:pPr>
              <w:pStyle w:val="Odstavecseseznamem"/>
              <w:ind w:left="0"/>
              <w:jc w:val="both"/>
              <w:rPr>
                <w:rFonts w:eastAsia="Calibri" w:cstheme="minorHAnsi"/>
                <w:szCs w:val="24"/>
              </w:rPr>
            </w:pPr>
            <w:r>
              <w:rPr>
                <w:rFonts w:eastAsia="Calibri" w:cstheme="minorHAnsi"/>
                <w:szCs w:val="24"/>
              </w:rPr>
              <w:t xml:space="preserve">20. </w:t>
            </w:r>
            <w:r w:rsidRPr="00DF23F1">
              <w:rPr>
                <w:rFonts w:eastAsia="Calibri" w:cstheme="minorHAnsi"/>
                <w:szCs w:val="24"/>
              </w:rPr>
              <w:t>Španělsko</w:t>
            </w:r>
          </w:p>
        </w:tc>
        <w:tc>
          <w:tcPr>
            <w:tcW w:w="992" w:type="dxa"/>
            <w:tcBorders>
              <w:top w:val="single" w:sz="4" w:space="0" w:color="auto"/>
              <w:left w:val="nil"/>
              <w:bottom w:val="single" w:sz="4" w:space="0" w:color="auto"/>
              <w:right w:val="single" w:sz="4" w:space="0" w:color="auto"/>
            </w:tcBorders>
            <w:shd w:val="clear" w:color="auto" w:fill="auto"/>
            <w:vAlign w:val="center"/>
          </w:tcPr>
          <w:p w14:paraId="68DCD8BC" w14:textId="77777777" w:rsidR="00062F7C" w:rsidRDefault="00062F7C" w:rsidP="00062F7C">
            <w:pPr>
              <w:pStyle w:val="Odstavecseseznamem"/>
              <w:ind w:left="0"/>
              <w:jc w:val="center"/>
              <w:rPr>
                <w:rFonts w:eastAsia="Calibri" w:cstheme="minorHAnsi"/>
                <w:szCs w:val="24"/>
              </w:rPr>
            </w:pPr>
            <w:r w:rsidRPr="006C2606">
              <w:rPr>
                <w:rFonts w:eastAsia="Calibri" w:cstheme="minorHAnsi"/>
                <w:szCs w:val="24"/>
              </w:rPr>
              <w:t>4,1</w:t>
            </w:r>
          </w:p>
        </w:tc>
      </w:tr>
      <w:tr w:rsidR="00062F7C" w14:paraId="73CB6A19" w14:textId="77777777" w:rsidTr="004D3CE0">
        <w:trPr>
          <w:trHeight w:val="369"/>
        </w:trPr>
        <w:tc>
          <w:tcPr>
            <w:tcW w:w="3114" w:type="dxa"/>
            <w:vAlign w:val="center"/>
          </w:tcPr>
          <w:p w14:paraId="1B167B3B" w14:textId="77777777" w:rsidR="00062F7C" w:rsidRPr="006C2606" w:rsidRDefault="00062F7C" w:rsidP="00062F7C">
            <w:pPr>
              <w:pStyle w:val="Odstavecseseznamem"/>
              <w:ind w:left="0"/>
              <w:rPr>
                <w:rFonts w:eastAsia="Calibri" w:cstheme="minorHAnsi"/>
                <w:b/>
                <w:i/>
              </w:rPr>
            </w:pPr>
            <w:r>
              <w:rPr>
                <w:rFonts w:cstheme="minorHAnsi"/>
              </w:rPr>
              <w:t xml:space="preserve">21. </w:t>
            </w:r>
            <w:r w:rsidRPr="006C2606">
              <w:rPr>
                <w:rFonts w:cstheme="minorHAnsi"/>
              </w:rPr>
              <w:t>Litva</w:t>
            </w:r>
          </w:p>
        </w:tc>
        <w:tc>
          <w:tcPr>
            <w:tcW w:w="992" w:type="dxa"/>
            <w:tcBorders>
              <w:top w:val="nil"/>
              <w:left w:val="single" w:sz="4" w:space="0" w:color="auto"/>
              <w:bottom w:val="single" w:sz="4" w:space="0" w:color="auto"/>
              <w:right w:val="single" w:sz="4" w:space="0" w:color="auto"/>
            </w:tcBorders>
            <w:shd w:val="clear" w:color="auto" w:fill="auto"/>
            <w:vAlign w:val="center"/>
          </w:tcPr>
          <w:p w14:paraId="48824A65" w14:textId="77777777" w:rsidR="00062F7C" w:rsidRPr="006C2606" w:rsidRDefault="00062F7C" w:rsidP="00062F7C">
            <w:pPr>
              <w:pStyle w:val="Odstavecseseznamem"/>
              <w:ind w:left="0"/>
              <w:jc w:val="center"/>
              <w:rPr>
                <w:rFonts w:eastAsia="Calibri" w:cstheme="minorHAnsi"/>
              </w:rPr>
            </w:pPr>
            <w:r w:rsidRPr="006C2606">
              <w:rPr>
                <w:rFonts w:cstheme="minorHAnsi"/>
              </w:rPr>
              <w:t>0,02</w:t>
            </w:r>
          </w:p>
        </w:tc>
        <w:tc>
          <w:tcPr>
            <w:tcW w:w="709" w:type="dxa"/>
            <w:tcBorders>
              <w:top w:val="single" w:sz="4" w:space="0" w:color="FFFFFF" w:themeColor="background1"/>
              <w:bottom w:val="single" w:sz="4" w:space="0" w:color="FFFFFF" w:themeColor="background1"/>
            </w:tcBorders>
          </w:tcPr>
          <w:p w14:paraId="496CD4DD" w14:textId="77777777" w:rsidR="00062F7C" w:rsidRDefault="00062F7C" w:rsidP="00062F7C">
            <w:pPr>
              <w:pStyle w:val="Odstavecseseznamem"/>
              <w:ind w:left="0"/>
              <w:jc w:val="both"/>
              <w:rPr>
                <w:rFonts w:eastAsia="Calibri" w:cstheme="minorHAnsi"/>
                <w:szCs w:val="24"/>
              </w:rPr>
            </w:pPr>
          </w:p>
        </w:tc>
        <w:tc>
          <w:tcPr>
            <w:tcW w:w="3260" w:type="dxa"/>
            <w:vAlign w:val="center"/>
          </w:tcPr>
          <w:p w14:paraId="6F2F09C2" w14:textId="77777777" w:rsidR="00062F7C" w:rsidRDefault="00062F7C" w:rsidP="00062F7C">
            <w:pPr>
              <w:pStyle w:val="Odstavecseseznamem"/>
              <w:ind w:left="0"/>
              <w:jc w:val="both"/>
              <w:rPr>
                <w:rFonts w:eastAsia="Calibri" w:cstheme="minorHAnsi"/>
                <w:szCs w:val="24"/>
              </w:rPr>
            </w:pPr>
            <w:r>
              <w:rPr>
                <w:rFonts w:eastAsia="Calibri" w:cstheme="minorHAnsi"/>
                <w:szCs w:val="24"/>
              </w:rPr>
              <w:t xml:space="preserve">21. </w:t>
            </w:r>
            <w:r w:rsidRPr="00DF23F1">
              <w:rPr>
                <w:rFonts w:eastAsia="Calibri" w:cstheme="minorHAnsi"/>
                <w:szCs w:val="24"/>
              </w:rPr>
              <w:t>Jižní Korea</w:t>
            </w:r>
          </w:p>
        </w:tc>
        <w:tc>
          <w:tcPr>
            <w:tcW w:w="992" w:type="dxa"/>
            <w:tcBorders>
              <w:top w:val="single" w:sz="4" w:space="0" w:color="auto"/>
              <w:left w:val="nil"/>
              <w:bottom w:val="single" w:sz="4" w:space="0" w:color="auto"/>
              <w:right w:val="single" w:sz="4" w:space="0" w:color="auto"/>
            </w:tcBorders>
            <w:shd w:val="clear" w:color="auto" w:fill="auto"/>
            <w:vAlign w:val="center"/>
          </w:tcPr>
          <w:p w14:paraId="7A9651C2" w14:textId="77777777" w:rsidR="00062F7C" w:rsidRDefault="00062F7C" w:rsidP="00062F7C">
            <w:pPr>
              <w:pStyle w:val="Odstavecseseznamem"/>
              <w:ind w:left="0"/>
              <w:jc w:val="center"/>
              <w:rPr>
                <w:rFonts w:eastAsia="Calibri" w:cstheme="minorHAnsi"/>
                <w:szCs w:val="24"/>
              </w:rPr>
            </w:pPr>
            <w:r w:rsidRPr="006C2606">
              <w:rPr>
                <w:rFonts w:eastAsia="Calibri" w:cstheme="minorHAnsi"/>
                <w:szCs w:val="24"/>
              </w:rPr>
              <w:t>3,9</w:t>
            </w:r>
          </w:p>
        </w:tc>
      </w:tr>
      <w:tr w:rsidR="00062F7C" w14:paraId="2784CE08" w14:textId="77777777" w:rsidTr="004D3CE0">
        <w:trPr>
          <w:trHeight w:val="369"/>
        </w:trPr>
        <w:tc>
          <w:tcPr>
            <w:tcW w:w="3114" w:type="dxa"/>
            <w:vAlign w:val="center"/>
          </w:tcPr>
          <w:p w14:paraId="5DB22D34" w14:textId="77777777" w:rsidR="00062F7C" w:rsidRPr="006C2606" w:rsidRDefault="00062F7C" w:rsidP="00062F7C">
            <w:pPr>
              <w:pStyle w:val="Odstavecseseznamem"/>
              <w:ind w:left="0"/>
              <w:rPr>
                <w:rFonts w:cstheme="minorHAnsi"/>
              </w:rPr>
            </w:pPr>
            <w:r>
              <w:rPr>
                <w:rFonts w:cstheme="minorHAnsi"/>
              </w:rPr>
              <w:t xml:space="preserve">22. </w:t>
            </w:r>
            <w:r w:rsidRPr="006C2606">
              <w:rPr>
                <w:rFonts w:cstheme="minorHAnsi"/>
              </w:rPr>
              <w:t>Dánsko</w:t>
            </w:r>
          </w:p>
        </w:tc>
        <w:tc>
          <w:tcPr>
            <w:tcW w:w="992" w:type="dxa"/>
            <w:tcBorders>
              <w:top w:val="nil"/>
              <w:left w:val="single" w:sz="4" w:space="0" w:color="auto"/>
              <w:bottom w:val="single" w:sz="4" w:space="0" w:color="auto"/>
              <w:right w:val="single" w:sz="4" w:space="0" w:color="auto"/>
            </w:tcBorders>
            <w:shd w:val="clear" w:color="auto" w:fill="auto"/>
            <w:vAlign w:val="center"/>
          </w:tcPr>
          <w:p w14:paraId="177D01EE" w14:textId="77777777" w:rsidR="00062F7C" w:rsidRPr="006C2606" w:rsidRDefault="00062F7C" w:rsidP="00062F7C">
            <w:pPr>
              <w:pStyle w:val="Odstavecseseznamem"/>
              <w:ind w:left="0"/>
              <w:jc w:val="center"/>
              <w:rPr>
                <w:rFonts w:cstheme="minorHAnsi"/>
              </w:rPr>
            </w:pPr>
            <w:r w:rsidRPr="006C2606">
              <w:rPr>
                <w:rFonts w:cstheme="minorHAnsi"/>
              </w:rPr>
              <w:t>0,02</w:t>
            </w:r>
          </w:p>
        </w:tc>
        <w:tc>
          <w:tcPr>
            <w:tcW w:w="709" w:type="dxa"/>
            <w:tcBorders>
              <w:top w:val="single" w:sz="4" w:space="0" w:color="FFFFFF" w:themeColor="background1"/>
              <w:bottom w:val="single" w:sz="4" w:space="0" w:color="FFFFFF" w:themeColor="background1"/>
            </w:tcBorders>
          </w:tcPr>
          <w:p w14:paraId="31BFB95D" w14:textId="77777777" w:rsidR="00062F7C" w:rsidRDefault="00062F7C" w:rsidP="00062F7C">
            <w:pPr>
              <w:pStyle w:val="Odstavecseseznamem"/>
              <w:ind w:left="0"/>
              <w:jc w:val="both"/>
              <w:rPr>
                <w:rFonts w:eastAsia="Calibri" w:cstheme="minorHAnsi"/>
                <w:szCs w:val="24"/>
              </w:rPr>
            </w:pPr>
          </w:p>
        </w:tc>
        <w:tc>
          <w:tcPr>
            <w:tcW w:w="3260" w:type="dxa"/>
            <w:vAlign w:val="center"/>
          </w:tcPr>
          <w:p w14:paraId="2336FD94" w14:textId="77777777" w:rsidR="00062F7C" w:rsidRDefault="00062F7C" w:rsidP="00062F7C">
            <w:pPr>
              <w:pStyle w:val="Odstavecseseznamem"/>
              <w:ind w:left="0"/>
              <w:jc w:val="both"/>
              <w:rPr>
                <w:rFonts w:eastAsia="Calibri" w:cstheme="minorHAnsi"/>
                <w:szCs w:val="24"/>
              </w:rPr>
            </w:pPr>
            <w:r>
              <w:rPr>
                <w:rFonts w:eastAsia="Calibri" w:cstheme="minorHAnsi"/>
                <w:szCs w:val="24"/>
              </w:rPr>
              <w:t xml:space="preserve">22. </w:t>
            </w:r>
            <w:r w:rsidRPr="00DF23F1">
              <w:rPr>
                <w:rFonts w:eastAsia="Calibri" w:cstheme="minorHAnsi"/>
                <w:szCs w:val="24"/>
              </w:rPr>
              <w:t>Lotyšsko</w:t>
            </w:r>
          </w:p>
        </w:tc>
        <w:tc>
          <w:tcPr>
            <w:tcW w:w="992" w:type="dxa"/>
            <w:tcBorders>
              <w:top w:val="single" w:sz="4" w:space="0" w:color="auto"/>
              <w:left w:val="nil"/>
              <w:bottom w:val="single" w:sz="4" w:space="0" w:color="auto"/>
              <w:right w:val="single" w:sz="4" w:space="0" w:color="auto"/>
            </w:tcBorders>
            <w:shd w:val="clear" w:color="auto" w:fill="auto"/>
            <w:vAlign w:val="center"/>
          </w:tcPr>
          <w:p w14:paraId="0FAAD39C" w14:textId="77777777" w:rsidR="00062F7C" w:rsidRPr="006C2606" w:rsidRDefault="00062F7C" w:rsidP="00062F7C">
            <w:pPr>
              <w:pStyle w:val="Odstavecseseznamem"/>
              <w:ind w:left="0"/>
              <w:jc w:val="center"/>
              <w:rPr>
                <w:rFonts w:eastAsia="Calibri" w:cstheme="minorHAnsi"/>
                <w:szCs w:val="24"/>
              </w:rPr>
            </w:pPr>
            <w:r w:rsidRPr="006C2606">
              <w:rPr>
                <w:rFonts w:eastAsia="Calibri" w:cstheme="minorHAnsi"/>
                <w:szCs w:val="24"/>
              </w:rPr>
              <w:t>2,2</w:t>
            </w:r>
          </w:p>
        </w:tc>
      </w:tr>
      <w:tr w:rsidR="00062F7C" w14:paraId="0B0355E2" w14:textId="77777777" w:rsidTr="004D3CE0">
        <w:trPr>
          <w:trHeight w:val="369"/>
        </w:trPr>
        <w:tc>
          <w:tcPr>
            <w:tcW w:w="3114" w:type="dxa"/>
            <w:vAlign w:val="center"/>
          </w:tcPr>
          <w:p w14:paraId="2CE0D1E3" w14:textId="77777777" w:rsidR="00062F7C" w:rsidRPr="006C2606" w:rsidRDefault="00062F7C" w:rsidP="00062F7C">
            <w:pPr>
              <w:pStyle w:val="Odstavecseseznamem"/>
              <w:ind w:left="0"/>
              <w:rPr>
                <w:rFonts w:cstheme="minorHAnsi"/>
              </w:rPr>
            </w:pPr>
            <w:r>
              <w:rPr>
                <w:rFonts w:cstheme="minorHAnsi"/>
              </w:rPr>
              <w:t xml:space="preserve">23. </w:t>
            </w:r>
            <w:r w:rsidRPr="006C2606">
              <w:rPr>
                <w:rFonts w:cstheme="minorHAnsi"/>
              </w:rPr>
              <w:t>Švédsko</w:t>
            </w:r>
          </w:p>
        </w:tc>
        <w:tc>
          <w:tcPr>
            <w:tcW w:w="992" w:type="dxa"/>
            <w:tcBorders>
              <w:top w:val="nil"/>
              <w:left w:val="single" w:sz="4" w:space="0" w:color="auto"/>
              <w:bottom w:val="single" w:sz="4" w:space="0" w:color="auto"/>
              <w:right w:val="single" w:sz="4" w:space="0" w:color="auto"/>
            </w:tcBorders>
            <w:shd w:val="clear" w:color="auto" w:fill="auto"/>
            <w:vAlign w:val="center"/>
          </w:tcPr>
          <w:p w14:paraId="47E0C828" w14:textId="77777777" w:rsidR="00062F7C" w:rsidRPr="006C2606" w:rsidRDefault="00062F7C" w:rsidP="00062F7C">
            <w:pPr>
              <w:pStyle w:val="Odstavecseseznamem"/>
              <w:ind w:left="0"/>
              <w:jc w:val="center"/>
              <w:rPr>
                <w:rFonts w:cstheme="minorHAnsi"/>
              </w:rPr>
            </w:pPr>
            <w:r w:rsidRPr="006C2606">
              <w:rPr>
                <w:rFonts w:cstheme="minorHAnsi"/>
              </w:rPr>
              <w:t>0,01</w:t>
            </w:r>
          </w:p>
        </w:tc>
        <w:tc>
          <w:tcPr>
            <w:tcW w:w="709" w:type="dxa"/>
            <w:tcBorders>
              <w:top w:val="single" w:sz="4" w:space="0" w:color="FFFFFF" w:themeColor="background1"/>
              <w:bottom w:val="single" w:sz="4" w:space="0" w:color="FFFFFF" w:themeColor="background1"/>
            </w:tcBorders>
          </w:tcPr>
          <w:p w14:paraId="156B8671" w14:textId="77777777" w:rsidR="00062F7C" w:rsidRDefault="00062F7C" w:rsidP="00062F7C">
            <w:pPr>
              <w:pStyle w:val="Odstavecseseznamem"/>
              <w:ind w:left="0"/>
              <w:jc w:val="both"/>
              <w:rPr>
                <w:rFonts w:eastAsia="Calibri" w:cstheme="minorHAnsi"/>
                <w:szCs w:val="24"/>
              </w:rPr>
            </w:pPr>
          </w:p>
        </w:tc>
        <w:tc>
          <w:tcPr>
            <w:tcW w:w="3260" w:type="dxa"/>
            <w:vAlign w:val="center"/>
          </w:tcPr>
          <w:p w14:paraId="591163B5" w14:textId="77777777" w:rsidR="00062F7C" w:rsidRDefault="00062F7C" w:rsidP="00062F7C">
            <w:pPr>
              <w:pStyle w:val="Odstavecseseznamem"/>
              <w:ind w:left="0"/>
              <w:jc w:val="both"/>
              <w:rPr>
                <w:rFonts w:eastAsia="Calibri" w:cstheme="minorHAnsi"/>
                <w:szCs w:val="24"/>
              </w:rPr>
            </w:pPr>
            <w:r>
              <w:rPr>
                <w:rFonts w:eastAsia="Calibri" w:cstheme="minorHAnsi"/>
                <w:szCs w:val="24"/>
              </w:rPr>
              <w:t xml:space="preserve">23. </w:t>
            </w:r>
            <w:r w:rsidRPr="00DF23F1">
              <w:rPr>
                <w:rFonts w:eastAsia="Calibri" w:cstheme="minorHAnsi"/>
                <w:szCs w:val="24"/>
              </w:rPr>
              <w:t>Slovensko</w:t>
            </w:r>
          </w:p>
        </w:tc>
        <w:tc>
          <w:tcPr>
            <w:tcW w:w="992" w:type="dxa"/>
            <w:tcBorders>
              <w:top w:val="single" w:sz="4" w:space="0" w:color="auto"/>
              <w:left w:val="nil"/>
              <w:bottom w:val="single" w:sz="4" w:space="0" w:color="auto"/>
              <w:right w:val="single" w:sz="4" w:space="0" w:color="auto"/>
            </w:tcBorders>
            <w:shd w:val="clear" w:color="auto" w:fill="auto"/>
            <w:vAlign w:val="center"/>
          </w:tcPr>
          <w:p w14:paraId="0B2AFB9C" w14:textId="77777777" w:rsidR="00062F7C" w:rsidRPr="006C2606" w:rsidRDefault="00062F7C" w:rsidP="00062F7C">
            <w:pPr>
              <w:pStyle w:val="Odstavecseseznamem"/>
              <w:ind w:left="0"/>
              <w:jc w:val="center"/>
              <w:rPr>
                <w:rFonts w:eastAsia="Calibri" w:cstheme="minorHAnsi"/>
                <w:szCs w:val="24"/>
              </w:rPr>
            </w:pPr>
            <w:r w:rsidRPr="006C2606">
              <w:rPr>
                <w:rFonts w:eastAsia="Calibri" w:cstheme="minorHAnsi"/>
                <w:szCs w:val="24"/>
              </w:rPr>
              <w:t>2,1</w:t>
            </w:r>
          </w:p>
        </w:tc>
      </w:tr>
      <w:tr w:rsidR="00062F7C" w14:paraId="1F44D14D" w14:textId="77777777" w:rsidTr="004D3CE0">
        <w:trPr>
          <w:trHeight w:val="369"/>
        </w:trPr>
        <w:tc>
          <w:tcPr>
            <w:tcW w:w="3114" w:type="dxa"/>
            <w:vAlign w:val="center"/>
          </w:tcPr>
          <w:p w14:paraId="1A027A26" w14:textId="77777777" w:rsidR="00062F7C" w:rsidRPr="006C2606" w:rsidRDefault="00062F7C" w:rsidP="00062F7C">
            <w:pPr>
              <w:pStyle w:val="Odstavecseseznamem"/>
              <w:ind w:left="0"/>
              <w:rPr>
                <w:rFonts w:cstheme="minorHAnsi"/>
              </w:rPr>
            </w:pPr>
            <w:r>
              <w:rPr>
                <w:rFonts w:cstheme="minorHAnsi"/>
              </w:rPr>
              <w:t xml:space="preserve">24. </w:t>
            </w:r>
            <w:r w:rsidRPr="006C2606">
              <w:rPr>
                <w:rFonts w:cstheme="minorHAnsi"/>
              </w:rPr>
              <w:t>Slovensko</w:t>
            </w:r>
          </w:p>
        </w:tc>
        <w:tc>
          <w:tcPr>
            <w:tcW w:w="992" w:type="dxa"/>
            <w:tcBorders>
              <w:top w:val="nil"/>
              <w:left w:val="single" w:sz="4" w:space="0" w:color="auto"/>
              <w:bottom w:val="single" w:sz="4" w:space="0" w:color="auto"/>
              <w:right w:val="single" w:sz="4" w:space="0" w:color="auto"/>
            </w:tcBorders>
            <w:shd w:val="clear" w:color="auto" w:fill="auto"/>
            <w:vAlign w:val="center"/>
          </w:tcPr>
          <w:p w14:paraId="6C14BC60" w14:textId="77777777" w:rsidR="00062F7C" w:rsidRPr="006C2606" w:rsidRDefault="00062F7C" w:rsidP="00062F7C">
            <w:pPr>
              <w:pStyle w:val="Odstavecseseznamem"/>
              <w:ind w:left="0"/>
              <w:jc w:val="center"/>
              <w:rPr>
                <w:rFonts w:cstheme="minorHAnsi"/>
              </w:rPr>
            </w:pPr>
            <w:r w:rsidRPr="006C2606">
              <w:rPr>
                <w:rFonts w:cstheme="minorHAnsi"/>
              </w:rPr>
              <w:t>0,01</w:t>
            </w:r>
          </w:p>
        </w:tc>
        <w:tc>
          <w:tcPr>
            <w:tcW w:w="709" w:type="dxa"/>
            <w:tcBorders>
              <w:top w:val="single" w:sz="4" w:space="0" w:color="FFFFFF" w:themeColor="background1"/>
              <w:bottom w:val="single" w:sz="4" w:space="0" w:color="FFFFFF" w:themeColor="background1"/>
            </w:tcBorders>
          </w:tcPr>
          <w:p w14:paraId="728B8E08" w14:textId="77777777" w:rsidR="00062F7C" w:rsidRDefault="00062F7C" w:rsidP="00062F7C">
            <w:pPr>
              <w:pStyle w:val="Odstavecseseznamem"/>
              <w:ind w:left="0"/>
              <w:jc w:val="both"/>
              <w:rPr>
                <w:rFonts w:eastAsia="Calibri" w:cstheme="minorHAnsi"/>
                <w:szCs w:val="24"/>
              </w:rPr>
            </w:pPr>
          </w:p>
        </w:tc>
        <w:tc>
          <w:tcPr>
            <w:tcW w:w="3260" w:type="dxa"/>
            <w:vAlign w:val="center"/>
          </w:tcPr>
          <w:p w14:paraId="6ED4BD1E" w14:textId="77777777" w:rsidR="00062F7C" w:rsidRDefault="00062F7C" w:rsidP="00062F7C">
            <w:pPr>
              <w:pStyle w:val="Odstavecseseznamem"/>
              <w:ind w:left="0"/>
              <w:jc w:val="both"/>
              <w:rPr>
                <w:rFonts w:eastAsia="Calibri" w:cstheme="minorHAnsi"/>
                <w:szCs w:val="24"/>
              </w:rPr>
            </w:pPr>
            <w:r>
              <w:rPr>
                <w:rFonts w:eastAsia="Calibri" w:cstheme="minorHAnsi"/>
                <w:szCs w:val="24"/>
              </w:rPr>
              <w:t xml:space="preserve">24. </w:t>
            </w:r>
            <w:r w:rsidRPr="00DF23F1">
              <w:rPr>
                <w:rFonts w:eastAsia="Calibri" w:cstheme="minorHAnsi"/>
                <w:szCs w:val="24"/>
              </w:rPr>
              <w:t>Řecko</w:t>
            </w:r>
          </w:p>
        </w:tc>
        <w:tc>
          <w:tcPr>
            <w:tcW w:w="992" w:type="dxa"/>
            <w:tcBorders>
              <w:top w:val="single" w:sz="4" w:space="0" w:color="auto"/>
              <w:left w:val="nil"/>
              <w:bottom w:val="single" w:sz="4" w:space="0" w:color="auto"/>
              <w:right w:val="single" w:sz="4" w:space="0" w:color="auto"/>
            </w:tcBorders>
            <w:shd w:val="clear" w:color="auto" w:fill="auto"/>
            <w:vAlign w:val="center"/>
          </w:tcPr>
          <w:p w14:paraId="72681D9C" w14:textId="77777777" w:rsidR="00062F7C" w:rsidRPr="006C2606" w:rsidRDefault="00062F7C" w:rsidP="00062F7C">
            <w:pPr>
              <w:pStyle w:val="Odstavecseseznamem"/>
              <w:ind w:left="0"/>
              <w:jc w:val="center"/>
              <w:rPr>
                <w:rFonts w:eastAsia="Calibri" w:cstheme="minorHAnsi"/>
                <w:szCs w:val="24"/>
              </w:rPr>
            </w:pPr>
            <w:r w:rsidRPr="006C2606">
              <w:rPr>
                <w:rFonts w:eastAsia="Calibri" w:cstheme="minorHAnsi"/>
                <w:szCs w:val="24"/>
              </w:rPr>
              <w:t>1,2</w:t>
            </w:r>
          </w:p>
        </w:tc>
      </w:tr>
      <w:tr w:rsidR="00062F7C" w14:paraId="4EC3EF5D" w14:textId="77777777" w:rsidTr="004D3CE0">
        <w:trPr>
          <w:trHeight w:val="369"/>
        </w:trPr>
        <w:tc>
          <w:tcPr>
            <w:tcW w:w="3114" w:type="dxa"/>
            <w:vAlign w:val="center"/>
          </w:tcPr>
          <w:p w14:paraId="2E1E328B" w14:textId="77777777" w:rsidR="00062F7C" w:rsidRPr="006C2606" w:rsidRDefault="00062F7C" w:rsidP="00062F7C">
            <w:pPr>
              <w:pStyle w:val="Odstavecseseznamem"/>
              <w:ind w:left="0"/>
              <w:rPr>
                <w:rFonts w:cstheme="minorHAnsi"/>
              </w:rPr>
            </w:pPr>
            <w:r>
              <w:rPr>
                <w:rFonts w:cstheme="minorHAnsi"/>
              </w:rPr>
              <w:t xml:space="preserve">25. </w:t>
            </w:r>
            <w:r w:rsidRPr="006C2606">
              <w:rPr>
                <w:rFonts w:cstheme="minorHAnsi"/>
              </w:rPr>
              <w:t>Řecko</w:t>
            </w:r>
          </w:p>
        </w:tc>
        <w:tc>
          <w:tcPr>
            <w:tcW w:w="992" w:type="dxa"/>
            <w:tcBorders>
              <w:top w:val="nil"/>
              <w:left w:val="single" w:sz="4" w:space="0" w:color="auto"/>
              <w:bottom w:val="single" w:sz="4" w:space="0" w:color="auto"/>
              <w:right w:val="single" w:sz="4" w:space="0" w:color="auto"/>
            </w:tcBorders>
            <w:shd w:val="clear" w:color="auto" w:fill="auto"/>
            <w:vAlign w:val="center"/>
          </w:tcPr>
          <w:p w14:paraId="5785C17B" w14:textId="77777777" w:rsidR="00062F7C" w:rsidRPr="006C2606" w:rsidRDefault="00062F7C" w:rsidP="00062F7C">
            <w:pPr>
              <w:pStyle w:val="Odstavecseseznamem"/>
              <w:ind w:left="0"/>
              <w:jc w:val="center"/>
              <w:rPr>
                <w:rFonts w:cstheme="minorHAnsi"/>
              </w:rPr>
            </w:pPr>
            <w:r w:rsidRPr="006C2606">
              <w:rPr>
                <w:rFonts w:cstheme="minorHAnsi"/>
              </w:rPr>
              <w:t>0,01</w:t>
            </w:r>
          </w:p>
        </w:tc>
        <w:tc>
          <w:tcPr>
            <w:tcW w:w="709" w:type="dxa"/>
            <w:tcBorders>
              <w:top w:val="single" w:sz="4" w:space="0" w:color="FFFFFF" w:themeColor="background1"/>
              <w:bottom w:val="single" w:sz="4" w:space="0" w:color="FFFFFF" w:themeColor="background1"/>
            </w:tcBorders>
          </w:tcPr>
          <w:p w14:paraId="415C745C" w14:textId="77777777" w:rsidR="00062F7C" w:rsidRDefault="00062F7C" w:rsidP="00062F7C">
            <w:pPr>
              <w:pStyle w:val="Odstavecseseznamem"/>
              <w:ind w:left="0"/>
              <w:jc w:val="both"/>
              <w:rPr>
                <w:rFonts w:eastAsia="Calibri" w:cstheme="minorHAnsi"/>
                <w:szCs w:val="24"/>
              </w:rPr>
            </w:pPr>
          </w:p>
        </w:tc>
        <w:tc>
          <w:tcPr>
            <w:tcW w:w="3260" w:type="dxa"/>
            <w:vAlign w:val="center"/>
          </w:tcPr>
          <w:p w14:paraId="12E8BDC0" w14:textId="77777777" w:rsidR="00062F7C" w:rsidRDefault="00062F7C" w:rsidP="00062F7C">
            <w:pPr>
              <w:pStyle w:val="Odstavecseseznamem"/>
              <w:ind w:left="0"/>
              <w:jc w:val="both"/>
              <w:rPr>
                <w:rFonts w:eastAsia="Calibri" w:cstheme="minorHAnsi"/>
                <w:szCs w:val="24"/>
              </w:rPr>
            </w:pPr>
            <w:r>
              <w:rPr>
                <w:rFonts w:eastAsia="Calibri" w:cstheme="minorHAnsi"/>
                <w:szCs w:val="24"/>
              </w:rPr>
              <w:t xml:space="preserve">25. </w:t>
            </w:r>
            <w:r w:rsidRPr="00DF23F1">
              <w:rPr>
                <w:rFonts w:eastAsia="Calibri" w:cstheme="minorHAnsi"/>
                <w:szCs w:val="24"/>
              </w:rPr>
              <w:t>Dánsko</w:t>
            </w:r>
          </w:p>
        </w:tc>
        <w:tc>
          <w:tcPr>
            <w:tcW w:w="992" w:type="dxa"/>
            <w:tcBorders>
              <w:top w:val="single" w:sz="4" w:space="0" w:color="auto"/>
              <w:left w:val="nil"/>
              <w:bottom w:val="single" w:sz="4" w:space="0" w:color="auto"/>
              <w:right w:val="single" w:sz="4" w:space="0" w:color="auto"/>
            </w:tcBorders>
            <w:shd w:val="clear" w:color="auto" w:fill="auto"/>
            <w:vAlign w:val="center"/>
          </w:tcPr>
          <w:p w14:paraId="05C41771" w14:textId="77777777" w:rsidR="00062F7C" w:rsidRPr="006C2606" w:rsidRDefault="00062F7C" w:rsidP="00062F7C">
            <w:pPr>
              <w:pStyle w:val="Odstavecseseznamem"/>
              <w:ind w:left="0"/>
              <w:jc w:val="center"/>
              <w:rPr>
                <w:rFonts w:eastAsia="Calibri" w:cstheme="minorHAnsi"/>
                <w:szCs w:val="24"/>
              </w:rPr>
            </w:pPr>
            <w:r w:rsidRPr="006C2606">
              <w:rPr>
                <w:rFonts w:eastAsia="Calibri" w:cstheme="minorHAnsi"/>
                <w:szCs w:val="24"/>
              </w:rPr>
              <w:t>1,1</w:t>
            </w:r>
          </w:p>
        </w:tc>
      </w:tr>
      <w:tr w:rsidR="00062F7C" w14:paraId="07C59D3E" w14:textId="77777777" w:rsidTr="004D3CE0">
        <w:trPr>
          <w:trHeight w:val="369"/>
        </w:trPr>
        <w:tc>
          <w:tcPr>
            <w:tcW w:w="3114" w:type="dxa"/>
            <w:vAlign w:val="center"/>
          </w:tcPr>
          <w:p w14:paraId="4DC2AE28" w14:textId="77777777" w:rsidR="00062F7C" w:rsidRPr="006C2606" w:rsidRDefault="00062F7C" w:rsidP="00062F7C">
            <w:pPr>
              <w:pStyle w:val="Odstavecseseznamem"/>
              <w:ind w:left="0"/>
              <w:rPr>
                <w:rFonts w:cstheme="minorHAnsi"/>
              </w:rPr>
            </w:pPr>
            <w:r>
              <w:rPr>
                <w:rFonts w:cstheme="minorHAnsi"/>
              </w:rPr>
              <w:t xml:space="preserve">26. </w:t>
            </w:r>
            <w:r w:rsidRPr="006C2606">
              <w:rPr>
                <w:rFonts w:cstheme="minorHAnsi"/>
              </w:rPr>
              <w:t>Polsko</w:t>
            </w:r>
          </w:p>
        </w:tc>
        <w:tc>
          <w:tcPr>
            <w:tcW w:w="992" w:type="dxa"/>
            <w:tcBorders>
              <w:top w:val="nil"/>
              <w:left w:val="single" w:sz="4" w:space="0" w:color="auto"/>
              <w:bottom w:val="single" w:sz="4" w:space="0" w:color="auto"/>
              <w:right w:val="single" w:sz="4" w:space="0" w:color="auto"/>
            </w:tcBorders>
            <w:shd w:val="clear" w:color="auto" w:fill="auto"/>
            <w:vAlign w:val="center"/>
          </w:tcPr>
          <w:p w14:paraId="40A01989" w14:textId="77777777" w:rsidR="00062F7C" w:rsidRPr="006C2606" w:rsidRDefault="00062F7C" w:rsidP="00062F7C">
            <w:pPr>
              <w:pStyle w:val="Odstavecseseznamem"/>
              <w:ind w:left="0"/>
              <w:jc w:val="center"/>
              <w:rPr>
                <w:rFonts w:cstheme="minorHAnsi"/>
              </w:rPr>
            </w:pPr>
            <w:r w:rsidRPr="006C2606">
              <w:rPr>
                <w:rFonts w:cstheme="minorHAnsi"/>
              </w:rPr>
              <w:t>0,01</w:t>
            </w:r>
          </w:p>
        </w:tc>
        <w:tc>
          <w:tcPr>
            <w:tcW w:w="709" w:type="dxa"/>
            <w:tcBorders>
              <w:top w:val="single" w:sz="4" w:space="0" w:color="FFFFFF" w:themeColor="background1"/>
              <w:bottom w:val="single" w:sz="4" w:space="0" w:color="FFFFFF" w:themeColor="background1"/>
            </w:tcBorders>
          </w:tcPr>
          <w:p w14:paraId="590070EA" w14:textId="77777777" w:rsidR="00062F7C" w:rsidRDefault="00062F7C" w:rsidP="00062F7C">
            <w:pPr>
              <w:pStyle w:val="Odstavecseseznamem"/>
              <w:ind w:left="0"/>
              <w:jc w:val="both"/>
              <w:rPr>
                <w:rFonts w:eastAsia="Calibri" w:cstheme="minorHAnsi"/>
                <w:szCs w:val="24"/>
              </w:rPr>
            </w:pPr>
          </w:p>
        </w:tc>
        <w:tc>
          <w:tcPr>
            <w:tcW w:w="3260" w:type="dxa"/>
            <w:vAlign w:val="center"/>
          </w:tcPr>
          <w:p w14:paraId="00F89A2D" w14:textId="77777777" w:rsidR="00062F7C" w:rsidRDefault="00062F7C" w:rsidP="00062F7C">
            <w:pPr>
              <w:pStyle w:val="Odstavecseseznamem"/>
              <w:ind w:left="0"/>
              <w:jc w:val="both"/>
              <w:rPr>
                <w:rFonts w:eastAsia="Calibri" w:cstheme="minorHAnsi"/>
                <w:szCs w:val="24"/>
              </w:rPr>
            </w:pPr>
            <w:r>
              <w:rPr>
                <w:rFonts w:eastAsia="Calibri" w:cstheme="minorHAnsi"/>
                <w:szCs w:val="24"/>
              </w:rPr>
              <w:t xml:space="preserve">26. </w:t>
            </w:r>
            <w:r w:rsidRPr="00DF23F1">
              <w:rPr>
                <w:rFonts w:eastAsia="Calibri" w:cstheme="minorHAnsi"/>
                <w:szCs w:val="24"/>
              </w:rPr>
              <w:t>Polsko</w:t>
            </w:r>
          </w:p>
        </w:tc>
        <w:tc>
          <w:tcPr>
            <w:tcW w:w="992" w:type="dxa"/>
            <w:tcBorders>
              <w:top w:val="single" w:sz="4" w:space="0" w:color="auto"/>
              <w:left w:val="nil"/>
              <w:bottom w:val="single" w:sz="4" w:space="0" w:color="auto"/>
              <w:right w:val="single" w:sz="4" w:space="0" w:color="auto"/>
            </w:tcBorders>
            <w:shd w:val="clear" w:color="auto" w:fill="auto"/>
            <w:vAlign w:val="center"/>
          </w:tcPr>
          <w:p w14:paraId="5C3F69AB" w14:textId="77777777" w:rsidR="00062F7C" w:rsidRPr="006C2606" w:rsidRDefault="00062F7C" w:rsidP="00062F7C">
            <w:pPr>
              <w:pStyle w:val="Odstavecseseznamem"/>
              <w:ind w:left="0"/>
              <w:jc w:val="center"/>
              <w:rPr>
                <w:rFonts w:eastAsia="Calibri" w:cstheme="minorHAnsi"/>
                <w:szCs w:val="24"/>
              </w:rPr>
            </w:pPr>
            <w:r w:rsidRPr="006C2606">
              <w:rPr>
                <w:rFonts w:eastAsia="Calibri" w:cstheme="minorHAnsi"/>
                <w:szCs w:val="24"/>
              </w:rPr>
              <w:t>0,8</w:t>
            </w:r>
          </w:p>
        </w:tc>
      </w:tr>
      <w:tr w:rsidR="00062F7C" w14:paraId="53562767" w14:textId="77777777" w:rsidTr="004D3CE0">
        <w:trPr>
          <w:trHeight w:val="369"/>
        </w:trPr>
        <w:tc>
          <w:tcPr>
            <w:tcW w:w="3114" w:type="dxa"/>
            <w:vAlign w:val="center"/>
          </w:tcPr>
          <w:p w14:paraId="432E037A" w14:textId="77777777" w:rsidR="00062F7C" w:rsidRPr="006C2606" w:rsidRDefault="00062F7C" w:rsidP="00062F7C">
            <w:pPr>
              <w:pStyle w:val="Odstavecseseznamem"/>
              <w:ind w:left="0"/>
              <w:rPr>
                <w:rFonts w:cstheme="minorHAnsi"/>
              </w:rPr>
            </w:pPr>
            <w:r>
              <w:rPr>
                <w:rFonts w:cstheme="minorHAnsi"/>
              </w:rPr>
              <w:t xml:space="preserve">27. </w:t>
            </w:r>
            <w:r w:rsidRPr="006C2606">
              <w:rPr>
                <w:rFonts w:cstheme="minorHAnsi"/>
              </w:rPr>
              <w:t>Lotyšsko</w:t>
            </w:r>
          </w:p>
        </w:tc>
        <w:tc>
          <w:tcPr>
            <w:tcW w:w="992" w:type="dxa"/>
            <w:tcBorders>
              <w:top w:val="nil"/>
              <w:left w:val="single" w:sz="4" w:space="0" w:color="auto"/>
              <w:bottom w:val="single" w:sz="4" w:space="0" w:color="auto"/>
              <w:right w:val="single" w:sz="4" w:space="0" w:color="auto"/>
            </w:tcBorders>
            <w:shd w:val="clear" w:color="auto" w:fill="auto"/>
            <w:vAlign w:val="center"/>
          </w:tcPr>
          <w:p w14:paraId="574842C0" w14:textId="77777777" w:rsidR="00062F7C" w:rsidRPr="006C2606" w:rsidRDefault="00062F7C" w:rsidP="00062F7C">
            <w:pPr>
              <w:pStyle w:val="Odstavecseseznamem"/>
              <w:ind w:left="0"/>
              <w:jc w:val="center"/>
              <w:rPr>
                <w:rFonts w:cstheme="minorHAnsi"/>
              </w:rPr>
            </w:pPr>
            <w:r w:rsidRPr="006C2606">
              <w:rPr>
                <w:rFonts w:cstheme="minorHAnsi"/>
              </w:rPr>
              <w:t>0,00</w:t>
            </w:r>
          </w:p>
        </w:tc>
        <w:tc>
          <w:tcPr>
            <w:tcW w:w="709" w:type="dxa"/>
            <w:tcBorders>
              <w:top w:val="single" w:sz="4" w:space="0" w:color="FFFFFF" w:themeColor="background1"/>
              <w:bottom w:val="single" w:sz="4" w:space="0" w:color="FFFFFF" w:themeColor="background1"/>
            </w:tcBorders>
          </w:tcPr>
          <w:p w14:paraId="0A359B04" w14:textId="77777777" w:rsidR="00062F7C" w:rsidRDefault="00062F7C" w:rsidP="00062F7C">
            <w:pPr>
              <w:pStyle w:val="Odstavecseseznamem"/>
              <w:ind w:left="0"/>
              <w:jc w:val="both"/>
              <w:rPr>
                <w:rFonts w:eastAsia="Calibri" w:cstheme="minorHAnsi"/>
                <w:szCs w:val="24"/>
              </w:rPr>
            </w:pPr>
          </w:p>
        </w:tc>
        <w:tc>
          <w:tcPr>
            <w:tcW w:w="3260" w:type="dxa"/>
            <w:vAlign w:val="center"/>
          </w:tcPr>
          <w:p w14:paraId="4588A512" w14:textId="77777777" w:rsidR="00062F7C" w:rsidRDefault="00062F7C" w:rsidP="00062F7C">
            <w:pPr>
              <w:pStyle w:val="Odstavecseseznamem"/>
              <w:ind w:left="0"/>
              <w:jc w:val="both"/>
              <w:rPr>
                <w:rFonts w:eastAsia="Calibri" w:cstheme="minorHAnsi"/>
                <w:szCs w:val="24"/>
              </w:rPr>
            </w:pPr>
            <w:r>
              <w:rPr>
                <w:rFonts w:eastAsia="Calibri" w:cstheme="minorHAnsi"/>
                <w:szCs w:val="24"/>
              </w:rPr>
              <w:t xml:space="preserve">27. </w:t>
            </w:r>
            <w:r w:rsidRPr="00DF23F1">
              <w:rPr>
                <w:rFonts w:eastAsia="Calibri" w:cstheme="minorHAnsi"/>
                <w:szCs w:val="24"/>
              </w:rPr>
              <w:t>Švédsko</w:t>
            </w:r>
          </w:p>
        </w:tc>
        <w:tc>
          <w:tcPr>
            <w:tcW w:w="992" w:type="dxa"/>
            <w:tcBorders>
              <w:top w:val="single" w:sz="4" w:space="0" w:color="auto"/>
              <w:left w:val="nil"/>
              <w:bottom w:val="single" w:sz="4" w:space="0" w:color="auto"/>
              <w:right w:val="single" w:sz="4" w:space="0" w:color="auto"/>
            </w:tcBorders>
            <w:shd w:val="clear" w:color="auto" w:fill="auto"/>
            <w:vAlign w:val="center"/>
          </w:tcPr>
          <w:p w14:paraId="26317B5B" w14:textId="77777777" w:rsidR="00062F7C" w:rsidRPr="006C2606" w:rsidRDefault="00062F7C" w:rsidP="00062F7C">
            <w:pPr>
              <w:pStyle w:val="Odstavecseseznamem"/>
              <w:ind w:left="0"/>
              <w:jc w:val="center"/>
              <w:rPr>
                <w:rFonts w:eastAsia="Calibri" w:cstheme="minorHAnsi"/>
                <w:szCs w:val="24"/>
              </w:rPr>
            </w:pPr>
            <w:r w:rsidRPr="006C2606">
              <w:rPr>
                <w:rFonts w:eastAsia="Calibri" w:cstheme="minorHAnsi"/>
                <w:szCs w:val="24"/>
              </w:rPr>
              <w:t>0,5</w:t>
            </w:r>
          </w:p>
        </w:tc>
      </w:tr>
    </w:tbl>
    <w:p w14:paraId="0765F31E" w14:textId="77777777" w:rsidR="00062F7C" w:rsidRPr="00062F7C" w:rsidRDefault="00062F7C" w:rsidP="00062F7C">
      <w:pPr>
        <w:rPr>
          <w:b/>
        </w:rPr>
      </w:pPr>
      <w:r w:rsidRPr="00062F7C">
        <w:rPr>
          <w:b/>
        </w:rPr>
        <w:t xml:space="preserve">Tabulky: Nepřímá veřejná podpora </w:t>
      </w:r>
      <w:proofErr w:type="spellStart"/>
      <w:r w:rsidRPr="00062F7C">
        <w:rPr>
          <w:b/>
        </w:rPr>
        <w:t>VaV</w:t>
      </w:r>
      <w:proofErr w:type="spellEnd"/>
      <w:r w:rsidRPr="00062F7C">
        <w:rPr>
          <w:b/>
        </w:rPr>
        <w:t xml:space="preserve"> v podnicích ve vybraných státech světa</w:t>
      </w:r>
    </w:p>
    <w:p w14:paraId="6D2C7EC4" w14:textId="77777777" w:rsidR="00062F7C" w:rsidRDefault="00062F7C" w:rsidP="00062F7C"/>
    <w:p w14:paraId="45D004EC" w14:textId="5F08203C" w:rsidR="00062F7C" w:rsidRPr="00062F7C" w:rsidRDefault="00062F7C" w:rsidP="00062F7C">
      <w:pPr>
        <w:rPr>
          <w:i/>
        </w:rPr>
      </w:pPr>
      <w:r>
        <w:t xml:space="preserve"> </w:t>
      </w:r>
      <w:r w:rsidRPr="00062F7C">
        <w:rPr>
          <w:i/>
        </w:rPr>
        <w:t>(zdroj: ČSÚ - NEPŘÍMÁ VEŘEJNÁ PODPORA VÝZKUMU A VÝVOJE V ČESKÉ REPUBLICE za rok 2020)</w:t>
      </w:r>
    </w:p>
    <w:p w14:paraId="36F55616" w14:textId="78D28625" w:rsidR="00A6543A" w:rsidRDefault="00A6543A" w:rsidP="00A6543A">
      <w:pPr>
        <w:pStyle w:val="Nadpis1"/>
        <w:numPr>
          <w:ilvl w:val="0"/>
          <w:numId w:val="25"/>
        </w:numPr>
        <w:spacing w:before="0"/>
        <w:ind w:left="284" w:hanging="284"/>
        <w:rPr>
          <w:rFonts w:eastAsia="Calibri"/>
          <w:b/>
          <w:szCs w:val="40"/>
        </w:rPr>
      </w:pPr>
      <w:r w:rsidRPr="0095286A">
        <w:rPr>
          <w:rFonts w:eastAsia="Calibri"/>
          <w:b/>
          <w:szCs w:val="40"/>
        </w:rPr>
        <w:lastRenderedPageBreak/>
        <w:t>Efektivita systému daňových odpočtů</w:t>
      </w:r>
      <w:r w:rsidR="002279E8">
        <w:rPr>
          <w:rFonts w:eastAsia="Calibri"/>
          <w:b/>
          <w:szCs w:val="40"/>
        </w:rPr>
        <w:t xml:space="preserve"> a srovnání se zahraničím</w:t>
      </w:r>
    </w:p>
    <w:p w14:paraId="27AED9C5" w14:textId="77777777" w:rsidR="00472050" w:rsidRDefault="00472050" w:rsidP="00472050">
      <w:pPr>
        <w:spacing w:line="276" w:lineRule="auto"/>
        <w:jc w:val="both"/>
        <w:rPr>
          <w:rFonts w:cstheme="minorHAnsi"/>
          <w:sz w:val="24"/>
        </w:rPr>
      </w:pPr>
    </w:p>
    <w:p w14:paraId="042D378D" w14:textId="641C2B1D" w:rsidR="00F84AF9" w:rsidRPr="00472050" w:rsidRDefault="00F84AF9" w:rsidP="00472050">
      <w:pPr>
        <w:spacing w:line="276" w:lineRule="auto"/>
        <w:jc w:val="both"/>
        <w:rPr>
          <w:rFonts w:cstheme="minorHAnsi"/>
          <w:sz w:val="24"/>
        </w:rPr>
      </w:pPr>
      <w:r w:rsidRPr="00472050">
        <w:rPr>
          <w:rFonts w:cstheme="minorHAnsi"/>
          <w:sz w:val="24"/>
        </w:rPr>
        <w:t xml:space="preserve">Podniky hrají hlavní roli ve výzkumu a vývoji, představují přibližně 70 % celkového výzkumu a vývoje v zemích OECD. Tato oblast je podporována kombinací finančních i nefinančních politik a intervencí, včetně daňových pobídek pro výzkum a vývoj založených na odpočtu výdajů na </w:t>
      </w:r>
      <w:proofErr w:type="spellStart"/>
      <w:r w:rsidRPr="00472050">
        <w:rPr>
          <w:rFonts w:cstheme="minorHAnsi"/>
          <w:sz w:val="24"/>
        </w:rPr>
        <w:t>VaV</w:t>
      </w:r>
      <w:proofErr w:type="spellEnd"/>
      <w:r w:rsidRPr="00472050">
        <w:rPr>
          <w:rFonts w:cstheme="minorHAnsi"/>
          <w:sz w:val="24"/>
        </w:rPr>
        <w:t>.</w:t>
      </w:r>
    </w:p>
    <w:p w14:paraId="635A822F" w14:textId="78ABD6FF" w:rsidR="00F84AF9" w:rsidRPr="00472050" w:rsidRDefault="00F84AF9" w:rsidP="00472050">
      <w:pPr>
        <w:spacing w:line="276" w:lineRule="auto"/>
        <w:jc w:val="both"/>
        <w:rPr>
          <w:rFonts w:cstheme="minorHAnsi"/>
          <w:sz w:val="24"/>
        </w:rPr>
      </w:pPr>
      <w:r w:rsidRPr="00472050">
        <w:rPr>
          <w:rFonts w:cstheme="minorHAnsi"/>
          <w:sz w:val="24"/>
        </w:rPr>
        <w:t>Země OECD a partnerské ekonomiky stále více využívají daňové pobídky na podporu podnikových inovací za poslední desetiletí – v roce 2020 představovaly přibližně 0,10 % HDP a 55 % celkové veřejné podpory pro podnikový výzkum a vývoj (BERD) v oblasti OECD.</w:t>
      </w:r>
    </w:p>
    <w:p w14:paraId="791494DC" w14:textId="344C49B9" w:rsidR="004A1DAE" w:rsidRDefault="004A1DAE" w:rsidP="00A6543A">
      <w:pPr>
        <w:rPr>
          <w:rFonts w:ascii="Calibri" w:eastAsia="Calibri" w:hAnsi="Calibri" w:cs="Calibri"/>
          <w:b/>
          <w:bCs/>
          <w:sz w:val="24"/>
        </w:rPr>
      </w:pPr>
      <w:r w:rsidRPr="00A6543A">
        <w:rPr>
          <w:noProof/>
        </w:rPr>
        <w:drawing>
          <wp:anchor distT="0" distB="0" distL="114300" distR="114300" simplePos="0" relativeHeight="251687936" behindDoc="0" locked="0" layoutInCell="1" allowOverlap="0" wp14:anchorId="4468699B" wp14:editId="20736861">
            <wp:simplePos x="0" y="0"/>
            <wp:positionH relativeFrom="column">
              <wp:posOffset>-3810</wp:posOffset>
            </wp:positionH>
            <wp:positionV relativeFrom="paragraph">
              <wp:posOffset>507594</wp:posOffset>
            </wp:positionV>
            <wp:extent cx="6367780" cy="2829560"/>
            <wp:effectExtent l="0" t="0" r="0" b="8890"/>
            <wp:wrapTopAndBottom/>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print">
                      <a:extLst>
                        <a:ext uri="{BEBA8EAE-BF5A-486C-A8C5-ECC9F3942E4B}">
                          <a14:imgProps xmlns:a14="http://schemas.microsoft.com/office/drawing/2010/main">
                            <a14:imgLayer r:embed="rId15">
                              <a14:imgEffect>
                                <a14:sharpenSoften amount="43000"/>
                              </a14:imgEffect>
                              <a14:imgEffect>
                                <a14:brightnessContrast contrast="40000"/>
                              </a14:imgEffect>
                            </a14:imgLayer>
                          </a14:imgProps>
                        </a:ext>
                        <a:ext uri="{28A0092B-C50C-407E-A947-70E740481C1C}">
                          <a14:useLocalDpi xmlns:a14="http://schemas.microsoft.com/office/drawing/2010/main" val="0"/>
                        </a:ext>
                      </a:extLst>
                    </a:blip>
                    <a:srcRect l="7157" t="21302" r="9120" b="12579"/>
                    <a:stretch/>
                  </pic:blipFill>
                  <pic:spPr bwMode="auto">
                    <a:xfrm>
                      <a:off x="0" y="0"/>
                      <a:ext cx="6367780" cy="28295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6543A" w:rsidRPr="00A6543A">
        <w:rPr>
          <w:rFonts w:ascii="Calibri" w:eastAsia="Calibri" w:hAnsi="Calibri" w:cs="Calibri"/>
          <w:b/>
          <w:bCs/>
          <w:sz w:val="24"/>
        </w:rPr>
        <w:t>Graf: Podíl firem s</w:t>
      </w:r>
      <w:r w:rsidR="00A6543A">
        <w:rPr>
          <w:rFonts w:ascii="Calibri" w:eastAsia="Calibri" w:hAnsi="Calibri" w:cs="Calibri"/>
          <w:b/>
          <w:bCs/>
          <w:sz w:val="24"/>
        </w:rPr>
        <w:t> </w:t>
      </w:r>
      <w:proofErr w:type="spellStart"/>
      <w:r w:rsidR="00A6543A" w:rsidRPr="00A6543A">
        <w:rPr>
          <w:rFonts w:ascii="Calibri" w:eastAsia="Calibri" w:hAnsi="Calibri" w:cs="Calibri"/>
          <w:b/>
          <w:bCs/>
          <w:sz w:val="24"/>
        </w:rPr>
        <w:t>VaV</w:t>
      </w:r>
      <w:proofErr w:type="spellEnd"/>
      <w:r w:rsidR="00A6543A">
        <w:rPr>
          <w:rFonts w:ascii="Calibri" w:eastAsia="Calibri" w:hAnsi="Calibri" w:cs="Calibri"/>
          <w:b/>
          <w:bCs/>
          <w:sz w:val="24"/>
        </w:rPr>
        <w:t xml:space="preserve"> ve vybraných zemí OECD</w:t>
      </w:r>
      <w:r w:rsidR="00A6543A" w:rsidRPr="00A6543A">
        <w:rPr>
          <w:rFonts w:ascii="Calibri" w:eastAsia="Calibri" w:hAnsi="Calibri" w:cs="Calibri"/>
          <w:b/>
          <w:bCs/>
          <w:sz w:val="24"/>
        </w:rPr>
        <w:t>, které využívají daňové odpočty</w:t>
      </w:r>
    </w:p>
    <w:p w14:paraId="6E71E885" w14:textId="1AF30BB3" w:rsidR="00A6543A" w:rsidRPr="00A6543A" w:rsidRDefault="00A6543A" w:rsidP="00A6543A">
      <w:pPr>
        <w:rPr>
          <w:rFonts w:ascii="Calibri" w:eastAsia="Calibri" w:hAnsi="Calibri" w:cs="Calibri"/>
          <w:b/>
          <w:bCs/>
          <w:sz w:val="24"/>
        </w:rPr>
      </w:pPr>
      <w:r w:rsidRPr="00A6543A">
        <w:rPr>
          <w:rFonts w:ascii="Calibri" w:eastAsia="Calibri" w:hAnsi="Calibri" w:cs="Calibri"/>
          <w:b/>
          <w:bCs/>
          <w:sz w:val="24"/>
        </w:rPr>
        <w:t xml:space="preserve"> </w:t>
      </w:r>
      <w:r w:rsidR="004A1DAE">
        <w:rPr>
          <w:rFonts w:ascii="Calibri" w:eastAsia="Calibri" w:hAnsi="Calibri" w:cs="Calibri"/>
          <w:b/>
          <w:bCs/>
          <w:sz w:val="24"/>
        </w:rPr>
        <w:t xml:space="preserve">(Zdroj: OECD, </w:t>
      </w:r>
      <w:r w:rsidRPr="00A6543A">
        <w:rPr>
          <w:rFonts w:ascii="Calibri" w:eastAsia="Calibri" w:hAnsi="Calibri" w:cs="Calibri"/>
          <w:b/>
          <w:bCs/>
          <w:sz w:val="24"/>
        </w:rPr>
        <w:t>2020)</w:t>
      </w:r>
    </w:p>
    <w:p w14:paraId="53E43F9F" w14:textId="749A47ED" w:rsidR="004A1DAE" w:rsidRDefault="00472050" w:rsidP="00FD4EF1">
      <w:pPr>
        <w:spacing w:line="276" w:lineRule="auto"/>
        <w:jc w:val="both"/>
        <w:rPr>
          <w:rFonts w:cstheme="minorHAnsi"/>
          <w:sz w:val="24"/>
        </w:rPr>
      </w:pPr>
      <w:r w:rsidRPr="00472050">
        <w:rPr>
          <w:rFonts w:cstheme="minorHAnsi"/>
          <w:sz w:val="24"/>
        </w:rPr>
        <w:t xml:space="preserve">Ekonomické subjekty provádějící </w:t>
      </w:r>
      <w:proofErr w:type="spellStart"/>
      <w:r w:rsidRPr="00472050">
        <w:rPr>
          <w:rFonts w:cstheme="minorHAnsi"/>
          <w:sz w:val="24"/>
        </w:rPr>
        <w:t>VaV</w:t>
      </w:r>
      <w:proofErr w:type="spellEnd"/>
      <w:r>
        <w:rPr>
          <w:rFonts w:cstheme="minorHAnsi"/>
          <w:sz w:val="24"/>
        </w:rPr>
        <w:t xml:space="preserve"> v ČR</w:t>
      </w:r>
      <w:r w:rsidRPr="00472050">
        <w:rPr>
          <w:rFonts w:cstheme="minorHAnsi"/>
          <w:sz w:val="24"/>
        </w:rPr>
        <w:t xml:space="preserve"> mohou uplatnit odčitatelnou </w:t>
      </w:r>
      <w:r w:rsidR="00FD4EF1">
        <w:rPr>
          <w:rFonts w:cstheme="minorHAnsi"/>
          <w:sz w:val="24"/>
        </w:rPr>
        <w:t>položku od </w:t>
      </w:r>
      <w:r w:rsidRPr="00472050">
        <w:rPr>
          <w:rFonts w:cstheme="minorHAnsi"/>
          <w:sz w:val="24"/>
        </w:rPr>
        <w:t>základu daně n</w:t>
      </w:r>
      <w:r>
        <w:rPr>
          <w:rFonts w:cstheme="minorHAnsi"/>
          <w:sz w:val="24"/>
        </w:rPr>
        <w:t>a </w:t>
      </w:r>
      <w:r w:rsidRPr="00472050">
        <w:rPr>
          <w:rFonts w:cstheme="minorHAnsi"/>
          <w:sz w:val="24"/>
        </w:rPr>
        <w:t xml:space="preserve">podporu </w:t>
      </w:r>
      <w:proofErr w:type="spellStart"/>
      <w:r w:rsidRPr="00472050">
        <w:rPr>
          <w:rFonts w:cstheme="minorHAnsi"/>
          <w:sz w:val="24"/>
        </w:rPr>
        <w:t>VaV</w:t>
      </w:r>
      <w:proofErr w:type="spellEnd"/>
      <w:r w:rsidRPr="00472050">
        <w:rPr>
          <w:rFonts w:cstheme="minorHAnsi"/>
          <w:sz w:val="24"/>
        </w:rPr>
        <w:t xml:space="preserve"> dle § 34 odst. 4 a 5 zákona č. 586/1992 Sb., o daních z</w:t>
      </w:r>
      <w:r w:rsidR="00FD4EF1">
        <w:rPr>
          <w:rFonts w:cstheme="minorHAnsi"/>
          <w:sz w:val="24"/>
        </w:rPr>
        <w:t> </w:t>
      </w:r>
      <w:r w:rsidRPr="00472050">
        <w:rPr>
          <w:rFonts w:cstheme="minorHAnsi"/>
          <w:sz w:val="24"/>
        </w:rPr>
        <w:t>příjmů</w:t>
      </w:r>
      <w:r w:rsidR="00FD4EF1">
        <w:rPr>
          <w:rFonts w:cstheme="minorHAnsi"/>
          <w:sz w:val="24"/>
        </w:rPr>
        <w:t>.</w:t>
      </w:r>
    </w:p>
    <w:p w14:paraId="46639D1D" w14:textId="03FB4DC4" w:rsidR="00472050" w:rsidRDefault="00FD4EF1" w:rsidP="00FD4EF1">
      <w:pPr>
        <w:spacing w:line="276" w:lineRule="auto"/>
        <w:jc w:val="both"/>
        <w:rPr>
          <w:rFonts w:cstheme="minorHAnsi"/>
          <w:sz w:val="24"/>
        </w:rPr>
      </w:pPr>
      <w:r>
        <w:rPr>
          <w:rFonts w:cstheme="minorHAnsi"/>
          <w:sz w:val="24"/>
        </w:rPr>
        <w:t>Subjekty</w:t>
      </w:r>
      <w:r w:rsidR="00472050" w:rsidRPr="00472050">
        <w:rPr>
          <w:rFonts w:cstheme="minorHAnsi"/>
          <w:sz w:val="24"/>
        </w:rPr>
        <w:t xml:space="preserve"> moh</w:t>
      </w:r>
      <w:r>
        <w:rPr>
          <w:rFonts w:cstheme="minorHAnsi"/>
          <w:sz w:val="24"/>
        </w:rPr>
        <w:t>ou</w:t>
      </w:r>
      <w:r w:rsidR="00472050" w:rsidRPr="00472050">
        <w:rPr>
          <w:rFonts w:cstheme="minorHAnsi"/>
          <w:sz w:val="24"/>
        </w:rPr>
        <w:t xml:space="preserve"> uplatnit odpočet od základu daně z příjmu ve výši 100 % nákladů, jež vynalož</w:t>
      </w:r>
      <w:r>
        <w:rPr>
          <w:rFonts w:cstheme="minorHAnsi"/>
          <w:sz w:val="24"/>
        </w:rPr>
        <w:t>í</w:t>
      </w:r>
      <w:r w:rsidR="00472050" w:rsidRPr="00472050">
        <w:rPr>
          <w:rFonts w:cstheme="minorHAnsi"/>
          <w:sz w:val="24"/>
        </w:rPr>
        <w:t xml:space="preserve"> v</w:t>
      </w:r>
      <w:r>
        <w:rPr>
          <w:rFonts w:cstheme="minorHAnsi"/>
          <w:sz w:val="24"/>
        </w:rPr>
        <w:t> </w:t>
      </w:r>
      <w:r w:rsidR="00472050" w:rsidRPr="00472050">
        <w:rPr>
          <w:rFonts w:cstheme="minorHAnsi"/>
          <w:sz w:val="24"/>
        </w:rPr>
        <w:t>daném zdaňovacím období nebo období, za něž se podává daňové přiznání, při realizaci projektů výzkumu a vývoje</w:t>
      </w:r>
      <w:r w:rsidR="00472050">
        <w:rPr>
          <w:rFonts w:cstheme="minorHAnsi"/>
          <w:sz w:val="24"/>
        </w:rPr>
        <w:t xml:space="preserve"> přičemž</w:t>
      </w:r>
      <w:r w:rsidR="00472050" w:rsidRPr="00472050">
        <w:t xml:space="preserve"> </w:t>
      </w:r>
      <w:r w:rsidR="00472050" w:rsidRPr="00FD4EF1">
        <w:rPr>
          <w:sz w:val="24"/>
          <w:szCs w:val="24"/>
        </w:rPr>
        <w:t>daňová (</w:t>
      </w:r>
      <w:r w:rsidR="00472050">
        <w:t>n</w:t>
      </w:r>
      <w:r w:rsidR="00472050" w:rsidRPr="00472050">
        <w:rPr>
          <w:rFonts w:cstheme="minorHAnsi"/>
          <w:sz w:val="24"/>
        </w:rPr>
        <w:t>epřímá veřejná</w:t>
      </w:r>
      <w:r w:rsidR="00472050">
        <w:rPr>
          <w:rFonts w:cstheme="minorHAnsi"/>
          <w:sz w:val="24"/>
        </w:rPr>
        <w:t>)</w:t>
      </w:r>
      <w:r w:rsidR="00472050" w:rsidRPr="00472050">
        <w:rPr>
          <w:rFonts w:cstheme="minorHAnsi"/>
          <w:sz w:val="24"/>
        </w:rPr>
        <w:t xml:space="preserve"> podpora </w:t>
      </w:r>
      <w:proofErr w:type="spellStart"/>
      <w:r w:rsidR="00472050" w:rsidRPr="00472050">
        <w:rPr>
          <w:rFonts w:cstheme="minorHAnsi"/>
          <w:sz w:val="24"/>
        </w:rPr>
        <w:t>V</w:t>
      </w:r>
      <w:r w:rsidR="003E7CE0">
        <w:rPr>
          <w:rFonts w:cstheme="minorHAnsi"/>
          <w:sz w:val="24"/>
        </w:rPr>
        <w:t>aV</w:t>
      </w:r>
      <w:proofErr w:type="spellEnd"/>
      <w:r w:rsidR="003E7CE0">
        <w:rPr>
          <w:rFonts w:cstheme="minorHAnsi"/>
          <w:sz w:val="24"/>
        </w:rPr>
        <w:t xml:space="preserve"> = objem odečtených výdajů </w:t>
      </w:r>
      <w:r w:rsidR="003E7CE0" w:rsidRPr="003E7CE0">
        <w:t>na</w:t>
      </w:r>
      <w:r w:rsidR="003E7CE0">
        <w:t> </w:t>
      </w:r>
      <w:proofErr w:type="spellStart"/>
      <w:r w:rsidR="00472050" w:rsidRPr="003E7CE0">
        <w:t>VaV</w:t>
      </w:r>
      <w:proofErr w:type="spellEnd"/>
      <w:r w:rsidR="00472050" w:rsidRPr="00472050">
        <w:rPr>
          <w:rFonts w:cstheme="minorHAnsi"/>
          <w:sz w:val="24"/>
        </w:rPr>
        <w:t xml:space="preserve"> od základu daně z příjmu * sazba daně z</w:t>
      </w:r>
      <w:r w:rsidR="00472050">
        <w:rPr>
          <w:rFonts w:cstheme="minorHAnsi"/>
          <w:sz w:val="24"/>
        </w:rPr>
        <w:t> </w:t>
      </w:r>
      <w:r w:rsidR="00472050" w:rsidRPr="00472050">
        <w:rPr>
          <w:rFonts w:cstheme="minorHAnsi"/>
          <w:sz w:val="24"/>
        </w:rPr>
        <w:t>příjmu</w:t>
      </w:r>
      <w:r w:rsidR="00472050">
        <w:rPr>
          <w:rFonts w:cstheme="minorHAnsi"/>
          <w:sz w:val="24"/>
        </w:rPr>
        <w:t xml:space="preserve"> (od roku 2010 ve výši 19%).</w:t>
      </w:r>
    </w:p>
    <w:p w14:paraId="62FDD3BC" w14:textId="77777777" w:rsidR="00EA16A6" w:rsidRDefault="00472050" w:rsidP="00FD4EF1">
      <w:pPr>
        <w:jc w:val="both"/>
        <w:rPr>
          <w:rFonts w:cstheme="minorHAnsi"/>
          <w:sz w:val="24"/>
        </w:rPr>
      </w:pPr>
      <w:r w:rsidRPr="00472050">
        <w:rPr>
          <w:rFonts w:cstheme="minorHAnsi"/>
          <w:sz w:val="24"/>
        </w:rPr>
        <w:t xml:space="preserve">Odpočet uznatelných výdajů na </w:t>
      </w:r>
      <w:proofErr w:type="spellStart"/>
      <w:r w:rsidRPr="00472050">
        <w:rPr>
          <w:rFonts w:cstheme="minorHAnsi"/>
          <w:sz w:val="24"/>
        </w:rPr>
        <w:t>VaV</w:t>
      </w:r>
      <w:proofErr w:type="spellEnd"/>
      <w:r w:rsidRPr="00472050">
        <w:rPr>
          <w:rFonts w:cstheme="minorHAnsi"/>
          <w:sz w:val="24"/>
        </w:rPr>
        <w:t xml:space="preserve"> od daňového základu může subjekt uplatnit pouze v případě, nezískal-li na daný projekt </w:t>
      </w:r>
      <w:proofErr w:type="spellStart"/>
      <w:r w:rsidRPr="00472050">
        <w:rPr>
          <w:rFonts w:cstheme="minorHAnsi"/>
          <w:sz w:val="24"/>
        </w:rPr>
        <w:t>VaV</w:t>
      </w:r>
      <w:proofErr w:type="spellEnd"/>
      <w:r w:rsidRPr="00472050">
        <w:rPr>
          <w:rFonts w:cstheme="minorHAnsi"/>
          <w:sz w:val="24"/>
        </w:rPr>
        <w:t xml:space="preserve"> přímou veřejnou podporu </w:t>
      </w:r>
      <w:proofErr w:type="spellStart"/>
      <w:r w:rsidRPr="00472050">
        <w:rPr>
          <w:rFonts w:cstheme="minorHAnsi"/>
          <w:sz w:val="24"/>
        </w:rPr>
        <w:t>VaV</w:t>
      </w:r>
      <w:proofErr w:type="spellEnd"/>
      <w:r w:rsidRPr="00472050">
        <w:rPr>
          <w:rFonts w:cstheme="minorHAnsi"/>
          <w:sz w:val="24"/>
        </w:rPr>
        <w:t xml:space="preserve"> (domácí nebo zahraniční).</w:t>
      </w:r>
      <w:r>
        <w:rPr>
          <w:rFonts w:cstheme="minorHAnsi"/>
          <w:sz w:val="24"/>
        </w:rPr>
        <w:t xml:space="preserve"> </w:t>
      </w:r>
      <w:r w:rsidR="00F84AF9" w:rsidRPr="00472050">
        <w:rPr>
          <w:rFonts w:cstheme="minorHAnsi"/>
          <w:sz w:val="24"/>
        </w:rPr>
        <w:t xml:space="preserve">Daňovou podporu </w:t>
      </w:r>
      <w:proofErr w:type="spellStart"/>
      <w:r w:rsidR="00F84AF9" w:rsidRPr="00472050">
        <w:rPr>
          <w:rFonts w:cstheme="minorHAnsi"/>
          <w:sz w:val="24"/>
        </w:rPr>
        <w:t>VaV</w:t>
      </w:r>
      <w:proofErr w:type="spellEnd"/>
      <w:r w:rsidR="00F84AF9" w:rsidRPr="00472050">
        <w:rPr>
          <w:rFonts w:cstheme="minorHAnsi"/>
          <w:sz w:val="24"/>
        </w:rPr>
        <w:t xml:space="preserve"> rovněž nelze využít v případě, kdy podnik v daném daňovém období vykáže ztrátu, čímž mu v daném roce odpadá daňová povinnost. V této situaci lze přenést možnost snížení daňové povinnosti do následujících tří let, za předpokladu, objeví-li s</w:t>
      </w:r>
      <w:r w:rsidR="00FD4EF1">
        <w:rPr>
          <w:rFonts w:cstheme="minorHAnsi"/>
          <w:sz w:val="24"/>
        </w:rPr>
        <w:t>e odpočet v daňovém přiznání za </w:t>
      </w:r>
      <w:r w:rsidR="00F84AF9" w:rsidRPr="00472050">
        <w:rPr>
          <w:rFonts w:cstheme="minorHAnsi"/>
          <w:sz w:val="24"/>
        </w:rPr>
        <w:t xml:space="preserve">období, v němž projekt </w:t>
      </w:r>
      <w:proofErr w:type="spellStart"/>
      <w:r w:rsidR="00F84AF9" w:rsidRPr="00472050">
        <w:rPr>
          <w:rFonts w:cstheme="minorHAnsi"/>
          <w:sz w:val="24"/>
        </w:rPr>
        <w:t>VaV</w:t>
      </w:r>
      <w:proofErr w:type="spellEnd"/>
      <w:r w:rsidR="00F84AF9" w:rsidRPr="00472050">
        <w:rPr>
          <w:rFonts w:cstheme="minorHAnsi"/>
          <w:sz w:val="24"/>
        </w:rPr>
        <w:t xml:space="preserve"> probíhal. Zpětné uplatnění umožněno není. </w:t>
      </w:r>
    </w:p>
    <w:p w14:paraId="68A0A525" w14:textId="7B7672C8" w:rsidR="005C2A63" w:rsidRPr="00472050" w:rsidRDefault="00EA16A6" w:rsidP="00FD4EF1">
      <w:pPr>
        <w:jc w:val="both"/>
        <w:rPr>
          <w:rFonts w:cstheme="minorHAnsi"/>
          <w:sz w:val="24"/>
        </w:rPr>
      </w:pPr>
      <w:r>
        <w:rPr>
          <w:rFonts w:cstheme="minorHAnsi"/>
          <w:sz w:val="24"/>
        </w:rPr>
        <w:t>V následující tabulce</w:t>
      </w:r>
      <w:r w:rsidR="00FD4EF1">
        <w:rPr>
          <w:rFonts w:cstheme="minorHAnsi"/>
          <w:sz w:val="24"/>
        </w:rPr>
        <w:t xml:space="preserve"> jsou uvedeny p</w:t>
      </w:r>
      <w:r w:rsidR="00FD4EF1" w:rsidRPr="00FD4EF1">
        <w:rPr>
          <w:rFonts w:cstheme="minorHAnsi"/>
          <w:sz w:val="24"/>
        </w:rPr>
        <w:t xml:space="preserve">arametry daňové podpory na </w:t>
      </w:r>
      <w:proofErr w:type="spellStart"/>
      <w:r w:rsidR="00FD4EF1" w:rsidRPr="00FD4EF1">
        <w:rPr>
          <w:rFonts w:cstheme="minorHAnsi"/>
          <w:sz w:val="24"/>
        </w:rPr>
        <w:t>VaV</w:t>
      </w:r>
      <w:proofErr w:type="spellEnd"/>
      <w:r w:rsidR="00FD4EF1" w:rsidRPr="00FD4EF1">
        <w:rPr>
          <w:rFonts w:cstheme="minorHAnsi"/>
          <w:sz w:val="24"/>
        </w:rPr>
        <w:t xml:space="preserve"> ve vybraných zemích Evropy</w:t>
      </w:r>
      <w:r w:rsidR="00FD4EF1">
        <w:rPr>
          <w:rFonts w:cstheme="minorHAnsi"/>
          <w:sz w:val="24"/>
        </w:rPr>
        <w:t>.</w:t>
      </w:r>
      <w:r w:rsidR="00FD4EF1" w:rsidRPr="00FD4EF1">
        <w:rPr>
          <w:rFonts w:cstheme="minorHAnsi"/>
          <w:sz w:val="24"/>
        </w:rPr>
        <w:t xml:space="preserve"> </w:t>
      </w:r>
      <w:r w:rsidR="005C2A63" w:rsidRPr="00472050">
        <w:rPr>
          <w:rFonts w:cstheme="minorHAnsi"/>
          <w:sz w:val="24"/>
        </w:rPr>
        <w:br w:type="page"/>
      </w:r>
    </w:p>
    <w:p w14:paraId="6470C3ED" w14:textId="32EB7371" w:rsidR="005C2A63" w:rsidRPr="005C2A63" w:rsidRDefault="005C2A63">
      <w:pPr>
        <w:rPr>
          <w:rFonts w:cstheme="minorHAnsi"/>
          <w:b/>
          <w:sz w:val="24"/>
        </w:rPr>
      </w:pPr>
      <w:r w:rsidRPr="005C2A63">
        <w:rPr>
          <w:rFonts w:cstheme="minorHAnsi"/>
          <w:b/>
          <w:sz w:val="24"/>
        </w:rPr>
        <w:lastRenderedPageBreak/>
        <w:t>Tabulka:</w:t>
      </w:r>
      <w:r w:rsidRPr="005C2A63">
        <w:rPr>
          <w:b/>
        </w:rPr>
        <w:t xml:space="preserve"> </w:t>
      </w:r>
      <w:r w:rsidRPr="005C2A63">
        <w:rPr>
          <w:rFonts w:cstheme="minorHAnsi"/>
          <w:b/>
          <w:sz w:val="24"/>
        </w:rPr>
        <w:t xml:space="preserve">Parametry daňové podpory na </w:t>
      </w:r>
      <w:proofErr w:type="spellStart"/>
      <w:r w:rsidRPr="005C2A63">
        <w:rPr>
          <w:rFonts w:cstheme="minorHAnsi"/>
          <w:b/>
          <w:sz w:val="24"/>
        </w:rPr>
        <w:t>VaV</w:t>
      </w:r>
      <w:proofErr w:type="spellEnd"/>
      <w:r w:rsidRPr="005C2A63">
        <w:rPr>
          <w:rFonts w:cstheme="minorHAnsi"/>
          <w:b/>
          <w:sz w:val="24"/>
        </w:rPr>
        <w:t xml:space="preserve"> ve vybraných zemích Evropy</w:t>
      </w:r>
    </w:p>
    <w:tbl>
      <w:tblPr>
        <w:tblStyle w:val="Mkatabulky"/>
        <w:tblW w:w="0" w:type="auto"/>
        <w:tblLook w:val="04A0" w:firstRow="1" w:lastRow="0" w:firstColumn="1" w:lastColumn="0" w:noHBand="0" w:noVBand="1"/>
      </w:tblPr>
      <w:tblGrid>
        <w:gridCol w:w="1286"/>
        <w:gridCol w:w="7942"/>
      </w:tblGrid>
      <w:tr w:rsidR="005C2A63" w:rsidRPr="003E7CE0" w14:paraId="79B5A7D4" w14:textId="77777777" w:rsidTr="005C2A63">
        <w:tc>
          <w:tcPr>
            <w:tcW w:w="1271" w:type="dxa"/>
          </w:tcPr>
          <w:p w14:paraId="4FA140D6" w14:textId="77777777" w:rsidR="005C2A63" w:rsidRPr="003E7CE0" w:rsidRDefault="005C2A63" w:rsidP="005C2A63">
            <w:pPr>
              <w:spacing w:after="240"/>
              <w:jc w:val="center"/>
              <w:rPr>
                <w:rFonts w:cstheme="minorHAnsi"/>
                <w:b/>
                <w:iCs/>
                <w:sz w:val="24"/>
                <w:szCs w:val="24"/>
              </w:rPr>
            </w:pPr>
            <w:r w:rsidRPr="003E7CE0">
              <w:rPr>
                <w:rFonts w:cstheme="minorHAnsi"/>
                <w:b/>
                <w:iCs/>
                <w:sz w:val="24"/>
                <w:szCs w:val="24"/>
              </w:rPr>
              <w:t>Stát</w:t>
            </w:r>
          </w:p>
        </w:tc>
        <w:tc>
          <w:tcPr>
            <w:tcW w:w="7942" w:type="dxa"/>
          </w:tcPr>
          <w:p w14:paraId="78413C5D" w14:textId="56CE3F24" w:rsidR="005C2A63" w:rsidRPr="003E7CE0" w:rsidRDefault="005C2A63" w:rsidP="005C2A63">
            <w:pPr>
              <w:spacing w:after="240"/>
              <w:jc w:val="center"/>
              <w:rPr>
                <w:rFonts w:cstheme="minorHAnsi"/>
                <w:b/>
                <w:iCs/>
                <w:sz w:val="24"/>
                <w:szCs w:val="24"/>
              </w:rPr>
            </w:pPr>
            <w:r w:rsidRPr="003E7CE0">
              <w:rPr>
                <w:rFonts w:cstheme="minorHAnsi"/>
                <w:b/>
                <w:iCs/>
                <w:sz w:val="24"/>
                <w:szCs w:val="24"/>
              </w:rPr>
              <w:t xml:space="preserve">Parametry daňové podpory na </w:t>
            </w:r>
            <w:proofErr w:type="spellStart"/>
            <w:r w:rsidRPr="003E7CE0">
              <w:rPr>
                <w:rFonts w:cstheme="minorHAnsi"/>
                <w:b/>
                <w:iCs/>
                <w:sz w:val="24"/>
                <w:szCs w:val="24"/>
              </w:rPr>
              <w:t>VaV</w:t>
            </w:r>
            <w:proofErr w:type="spellEnd"/>
          </w:p>
        </w:tc>
      </w:tr>
      <w:tr w:rsidR="005C2A63" w:rsidRPr="00EE66D4" w14:paraId="4D72BB10" w14:textId="77777777" w:rsidTr="005C2A63">
        <w:trPr>
          <w:trHeight w:val="2269"/>
        </w:trPr>
        <w:tc>
          <w:tcPr>
            <w:tcW w:w="1271" w:type="dxa"/>
          </w:tcPr>
          <w:p w14:paraId="48F46D85" w14:textId="77777777" w:rsidR="005C2A63" w:rsidRPr="00EE66D4" w:rsidRDefault="005C2A63" w:rsidP="00D957F4">
            <w:pPr>
              <w:spacing w:after="240"/>
              <w:rPr>
                <w:rFonts w:asciiTheme="majorHAnsi" w:hAnsiTheme="majorHAnsi" w:cstheme="minorHAnsi"/>
                <w:b/>
                <w:i/>
                <w:iCs/>
                <w:szCs w:val="20"/>
              </w:rPr>
            </w:pPr>
            <w:r w:rsidRPr="00EE66D4">
              <w:rPr>
                <w:rFonts w:cstheme="minorHAnsi"/>
                <w:bCs/>
                <w:color w:val="000000" w:themeColor="text1"/>
                <w:szCs w:val="20"/>
              </w:rPr>
              <w:t>Polsko</w:t>
            </w:r>
          </w:p>
        </w:tc>
        <w:tc>
          <w:tcPr>
            <w:tcW w:w="7942" w:type="dxa"/>
          </w:tcPr>
          <w:p w14:paraId="641A6ABF" w14:textId="77777777" w:rsidR="005C2A63" w:rsidRDefault="005C2A63" w:rsidP="00D957F4">
            <w:pPr>
              <w:spacing w:after="120"/>
              <w:rPr>
                <w:rFonts w:cstheme="minorHAnsi"/>
                <w:bCs/>
                <w:color w:val="000000" w:themeColor="text1"/>
                <w:szCs w:val="20"/>
              </w:rPr>
            </w:pPr>
            <w:r w:rsidRPr="0059423F">
              <w:rPr>
                <w:rFonts w:cstheme="minorHAnsi"/>
                <w:bCs/>
                <w:color w:val="000000" w:themeColor="text1"/>
                <w:szCs w:val="20"/>
              </w:rPr>
              <w:t xml:space="preserve">Dodatečný odpočet nákladů na </w:t>
            </w:r>
            <w:proofErr w:type="spellStart"/>
            <w:r w:rsidRPr="0059423F">
              <w:rPr>
                <w:rFonts w:cstheme="minorHAnsi"/>
                <w:bCs/>
                <w:color w:val="000000" w:themeColor="text1"/>
                <w:szCs w:val="20"/>
              </w:rPr>
              <w:t>VaV</w:t>
            </w:r>
            <w:proofErr w:type="spellEnd"/>
            <w:r w:rsidRPr="0059423F">
              <w:rPr>
                <w:rFonts w:cstheme="minorHAnsi"/>
                <w:bCs/>
                <w:color w:val="000000" w:themeColor="text1"/>
                <w:szCs w:val="20"/>
              </w:rPr>
              <w:t xml:space="preserve"> ve výši </w:t>
            </w:r>
            <w:r w:rsidRPr="0059423F">
              <w:rPr>
                <w:rFonts w:cstheme="minorHAnsi"/>
                <w:b/>
                <w:color w:val="000000" w:themeColor="text1"/>
                <w:szCs w:val="20"/>
              </w:rPr>
              <w:t xml:space="preserve">200 % </w:t>
            </w:r>
            <w:r w:rsidRPr="0059423F">
              <w:rPr>
                <w:rFonts w:cstheme="minorHAnsi"/>
                <w:bCs/>
                <w:color w:val="000000" w:themeColor="text1"/>
                <w:szCs w:val="20"/>
              </w:rPr>
              <w:t>nákladů na kvalifikované pracovníky a ve výši</w:t>
            </w:r>
            <w:r w:rsidRPr="0059423F">
              <w:rPr>
                <w:rFonts w:cstheme="minorHAnsi"/>
                <w:b/>
                <w:color w:val="000000" w:themeColor="text1"/>
                <w:szCs w:val="20"/>
              </w:rPr>
              <w:t xml:space="preserve"> 100 % </w:t>
            </w:r>
            <w:r w:rsidRPr="0059423F">
              <w:rPr>
                <w:rFonts w:cstheme="minorHAnsi"/>
                <w:bCs/>
                <w:color w:val="000000" w:themeColor="text1"/>
                <w:szCs w:val="20"/>
              </w:rPr>
              <w:t>ostatních nákladů spojených s </w:t>
            </w:r>
            <w:proofErr w:type="spellStart"/>
            <w:r w:rsidRPr="0059423F">
              <w:rPr>
                <w:rFonts w:cstheme="minorHAnsi"/>
                <w:bCs/>
                <w:color w:val="000000" w:themeColor="text1"/>
                <w:szCs w:val="20"/>
              </w:rPr>
              <w:t>VaV</w:t>
            </w:r>
            <w:proofErr w:type="spellEnd"/>
            <w:r w:rsidRPr="0059423F">
              <w:rPr>
                <w:rFonts w:cstheme="minorHAnsi"/>
                <w:bCs/>
                <w:color w:val="000000" w:themeColor="text1"/>
                <w:szCs w:val="20"/>
              </w:rPr>
              <w:t>.</w:t>
            </w:r>
          </w:p>
          <w:p w14:paraId="647DFCA6" w14:textId="77777777" w:rsidR="005C2A63" w:rsidRPr="005D1EAF" w:rsidRDefault="005C2A63" w:rsidP="00D957F4">
            <w:pPr>
              <w:spacing w:after="120"/>
              <w:rPr>
                <w:rFonts w:cstheme="minorHAnsi"/>
                <w:bCs/>
                <w:color w:val="000000" w:themeColor="text1"/>
                <w:szCs w:val="20"/>
              </w:rPr>
            </w:pPr>
            <w:r>
              <w:rPr>
                <w:rFonts w:cstheme="minorHAnsi"/>
                <w:bCs/>
                <w:color w:val="000000" w:themeColor="text1"/>
                <w:szCs w:val="20"/>
              </w:rPr>
              <w:t xml:space="preserve">V případě nemožnosti využití </w:t>
            </w:r>
            <w:proofErr w:type="spellStart"/>
            <w:r>
              <w:rPr>
                <w:rFonts w:cstheme="minorHAnsi"/>
                <w:bCs/>
                <w:color w:val="000000" w:themeColor="text1"/>
                <w:szCs w:val="20"/>
              </w:rPr>
              <w:t>VaV</w:t>
            </w:r>
            <w:proofErr w:type="spellEnd"/>
            <w:r>
              <w:rPr>
                <w:rFonts w:cstheme="minorHAnsi"/>
                <w:bCs/>
                <w:color w:val="000000" w:themeColor="text1"/>
                <w:szCs w:val="20"/>
              </w:rPr>
              <w:t xml:space="preserve"> odpočtu vůči DPPO, je společnost oprávněna použít odpočet vůči dani z příjmů ze závislé činnosti odváděnou za zaměstnance.</w:t>
            </w:r>
          </w:p>
          <w:p w14:paraId="50524F49" w14:textId="77777777" w:rsidR="005C2A63" w:rsidRPr="00C278E1" w:rsidRDefault="005C2A63" w:rsidP="00D957F4">
            <w:pPr>
              <w:rPr>
                <w:rFonts w:cstheme="minorHAnsi"/>
                <w:bCs/>
                <w:color w:val="000000" w:themeColor="text1"/>
                <w:szCs w:val="20"/>
              </w:rPr>
            </w:pPr>
            <w:r w:rsidRPr="00C278E1">
              <w:rPr>
                <w:rFonts w:cstheme="minorHAnsi"/>
                <w:bCs/>
                <w:color w:val="000000" w:themeColor="text1"/>
                <w:szCs w:val="20"/>
              </w:rPr>
              <w:t>Další</w:t>
            </w:r>
            <w:r>
              <w:rPr>
                <w:rFonts w:cstheme="minorHAnsi"/>
                <w:bCs/>
                <w:color w:val="000000" w:themeColor="text1"/>
                <w:szCs w:val="20"/>
              </w:rPr>
              <w:t xml:space="preserve"> možnosti zvýhodnění:</w:t>
            </w:r>
          </w:p>
          <w:p w14:paraId="00B87B57" w14:textId="77777777" w:rsidR="005C2A63" w:rsidRPr="0059423F" w:rsidRDefault="005C2A63" w:rsidP="005C2A63">
            <w:pPr>
              <w:pStyle w:val="Odstavecseseznamem"/>
              <w:numPr>
                <w:ilvl w:val="0"/>
                <w:numId w:val="32"/>
              </w:numPr>
              <w:spacing w:after="240" w:line="240" w:lineRule="atLeast"/>
              <w:rPr>
                <w:rFonts w:asciiTheme="majorHAnsi" w:hAnsiTheme="majorHAnsi" w:cstheme="minorHAnsi"/>
                <w:b/>
                <w:i/>
                <w:iCs/>
                <w:szCs w:val="20"/>
              </w:rPr>
            </w:pPr>
            <w:r>
              <w:rPr>
                <w:rFonts w:cstheme="minorHAnsi"/>
                <w:bCs/>
                <w:color w:val="000000" w:themeColor="text1"/>
                <w:szCs w:val="20"/>
              </w:rPr>
              <w:t>o</w:t>
            </w:r>
            <w:r w:rsidRPr="00C278E1">
              <w:rPr>
                <w:rFonts w:cstheme="minorHAnsi"/>
                <w:bCs/>
                <w:color w:val="000000" w:themeColor="text1"/>
                <w:szCs w:val="20"/>
              </w:rPr>
              <w:t xml:space="preserve">dpočet na robotizaci – </w:t>
            </w:r>
            <w:r w:rsidRPr="00870936">
              <w:rPr>
                <w:rFonts w:cstheme="minorHAnsi"/>
                <w:b/>
                <w:color w:val="000000" w:themeColor="text1"/>
                <w:szCs w:val="20"/>
              </w:rPr>
              <w:t>50 %</w:t>
            </w:r>
            <w:r w:rsidRPr="00C278E1">
              <w:rPr>
                <w:rFonts w:cstheme="minorHAnsi"/>
                <w:bCs/>
                <w:color w:val="000000" w:themeColor="text1"/>
                <w:szCs w:val="20"/>
              </w:rPr>
              <w:t xml:space="preserve"> nákladů </w:t>
            </w:r>
            <w:r w:rsidRPr="00DF4490">
              <w:rPr>
                <w:rFonts w:cstheme="minorHAnsi"/>
                <w:bCs/>
                <w:color w:val="000000" w:themeColor="text1"/>
                <w:szCs w:val="20"/>
              </w:rPr>
              <w:t>investovaných do robotizace</w:t>
            </w:r>
            <w:r>
              <w:rPr>
                <w:rFonts w:cstheme="minorHAnsi"/>
                <w:bCs/>
                <w:color w:val="000000" w:themeColor="text1"/>
                <w:szCs w:val="20"/>
              </w:rPr>
              <w:t>,</w:t>
            </w:r>
          </w:p>
          <w:p w14:paraId="40606796" w14:textId="77777777" w:rsidR="005C2A63" w:rsidRDefault="005C2A63" w:rsidP="005C2A63">
            <w:pPr>
              <w:pStyle w:val="Odstavecseseznamem"/>
              <w:numPr>
                <w:ilvl w:val="0"/>
                <w:numId w:val="32"/>
              </w:numPr>
              <w:spacing w:line="240" w:lineRule="atLeast"/>
              <w:rPr>
                <w:rFonts w:asciiTheme="majorHAnsi" w:hAnsiTheme="majorHAnsi" w:cstheme="minorHAnsi"/>
                <w:b/>
                <w:i/>
                <w:iCs/>
                <w:szCs w:val="20"/>
              </w:rPr>
            </w:pPr>
            <w:r>
              <w:rPr>
                <w:rFonts w:cstheme="minorHAnsi"/>
                <w:bCs/>
                <w:color w:val="000000" w:themeColor="text1"/>
                <w:szCs w:val="20"/>
              </w:rPr>
              <w:t>o</w:t>
            </w:r>
            <w:r w:rsidRPr="00DF4490">
              <w:rPr>
                <w:rFonts w:cstheme="minorHAnsi"/>
                <w:bCs/>
                <w:color w:val="000000" w:themeColor="text1"/>
                <w:szCs w:val="20"/>
              </w:rPr>
              <w:t xml:space="preserve">dpočet na prototypy – </w:t>
            </w:r>
            <w:r w:rsidRPr="00870936">
              <w:rPr>
                <w:rFonts w:cstheme="minorHAnsi"/>
                <w:b/>
                <w:color w:val="000000" w:themeColor="text1"/>
                <w:szCs w:val="20"/>
              </w:rPr>
              <w:t>30 %</w:t>
            </w:r>
            <w:r w:rsidRPr="00DF4490">
              <w:rPr>
                <w:rFonts w:cstheme="minorHAnsi"/>
                <w:bCs/>
                <w:color w:val="000000" w:themeColor="text1"/>
                <w:szCs w:val="20"/>
              </w:rPr>
              <w:t xml:space="preserve"> nákladů souvisejících s</w:t>
            </w:r>
            <w:r>
              <w:rPr>
                <w:rFonts w:cstheme="minorHAnsi"/>
                <w:bCs/>
                <w:color w:val="000000" w:themeColor="text1"/>
                <w:szCs w:val="20"/>
              </w:rPr>
              <w:t> </w:t>
            </w:r>
            <w:r w:rsidRPr="00DF4490">
              <w:rPr>
                <w:rFonts w:cstheme="minorHAnsi"/>
                <w:bCs/>
                <w:color w:val="000000" w:themeColor="text1"/>
                <w:szCs w:val="20"/>
              </w:rPr>
              <w:t>prototypy</w:t>
            </w:r>
            <w:r>
              <w:rPr>
                <w:rFonts w:cstheme="minorHAnsi"/>
                <w:bCs/>
                <w:color w:val="000000" w:themeColor="text1"/>
                <w:szCs w:val="20"/>
              </w:rPr>
              <w:t>.</w:t>
            </w:r>
          </w:p>
        </w:tc>
      </w:tr>
      <w:tr w:rsidR="005C2A63" w:rsidRPr="00EE66D4" w14:paraId="5A0BCDF9" w14:textId="77777777" w:rsidTr="005C2A63">
        <w:trPr>
          <w:trHeight w:val="884"/>
        </w:trPr>
        <w:tc>
          <w:tcPr>
            <w:tcW w:w="1271" w:type="dxa"/>
            <w:shd w:val="clear" w:color="auto" w:fill="auto"/>
          </w:tcPr>
          <w:p w14:paraId="457F2463" w14:textId="77777777" w:rsidR="005C2A63" w:rsidRPr="0059423F" w:rsidRDefault="005C2A63" w:rsidP="00D957F4">
            <w:pPr>
              <w:spacing w:before="240" w:after="240"/>
              <w:rPr>
                <w:rFonts w:cstheme="minorHAnsi"/>
                <w:bCs/>
                <w:color w:val="000000" w:themeColor="text1"/>
                <w:szCs w:val="20"/>
              </w:rPr>
            </w:pPr>
            <w:r w:rsidRPr="0059423F">
              <w:rPr>
                <w:rFonts w:cstheme="minorHAnsi"/>
                <w:bCs/>
                <w:color w:val="000000" w:themeColor="text1"/>
                <w:szCs w:val="20"/>
              </w:rPr>
              <w:t>Maďarsko</w:t>
            </w:r>
          </w:p>
        </w:tc>
        <w:tc>
          <w:tcPr>
            <w:tcW w:w="7942" w:type="dxa"/>
            <w:shd w:val="clear" w:color="auto" w:fill="auto"/>
          </w:tcPr>
          <w:p w14:paraId="39A3C00F" w14:textId="35792E65" w:rsidR="005C2A63" w:rsidRPr="0059423F" w:rsidRDefault="005C2A63" w:rsidP="005C2A63">
            <w:pPr>
              <w:rPr>
                <w:rFonts w:cstheme="minorHAnsi"/>
                <w:bCs/>
                <w:color w:val="000000" w:themeColor="text1"/>
                <w:szCs w:val="20"/>
              </w:rPr>
            </w:pPr>
            <w:r w:rsidRPr="0059423F">
              <w:rPr>
                <w:rFonts w:cstheme="minorHAnsi"/>
                <w:bCs/>
                <w:color w:val="000000" w:themeColor="text1"/>
                <w:szCs w:val="20"/>
              </w:rPr>
              <w:t xml:space="preserve">Dodatečný odpočet nákladů na </w:t>
            </w:r>
            <w:proofErr w:type="spellStart"/>
            <w:r w:rsidRPr="0059423F">
              <w:rPr>
                <w:rFonts w:cstheme="minorHAnsi"/>
                <w:bCs/>
                <w:color w:val="000000" w:themeColor="text1"/>
                <w:szCs w:val="20"/>
              </w:rPr>
              <w:t>VaV</w:t>
            </w:r>
            <w:proofErr w:type="spellEnd"/>
            <w:r w:rsidRPr="0059423F">
              <w:rPr>
                <w:rFonts w:cstheme="minorHAnsi"/>
                <w:bCs/>
                <w:color w:val="000000" w:themeColor="text1"/>
                <w:szCs w:val="20"/>
              </w:rPr>
              <w:t xml:space="preserve"> ve výši </w:t>
            </w:r>
            <w:r w:rsidRPr="0059423F">
              <w:rPr>
                <w:rFonts w:cstheme="minorHAnsi"/>
                <w:b/>
                <w:color w:val="000000" w:themeColor="text1"/>
                <w:szCs w:val="20"/>
              </w:rPr>
              <w:t>200 %</w:t>
            </w:r>
            <w:r w:rsidRPr="0059423F">
              <w:rPr>
                <w:rFonts w:cstheme="minorHAnsi"/>
                <w:bCs/>
                <w:color w:val="000000" w:themeColor="text1"/>
                <w:szCs w:val="20"/>
              </w:rPr>
              <w:t xml:space="preserve"> </w:t>
            </w:r>
            <w:r w:rsidR="00316126" w:rsidRPr="00316126">
              <w:rPr>
                <w:rFonts w:cstheme="minorHAnsi"/>
                <w:bCs/>
                <w:color w:val="000000" w:themeColor="text1"/>
                <w:szCs w:val="20"/>
              </w:rPr>
              <w:t xml:space="preserve">nákladů souvisejících s </w:t>
            </w:r>
            <w:proofErr w:type="spellStart"/>
            <w:r w:rsidR="00316126" w:rsidRPr="00316126">
              <w:rPr>
                <w:rFonts w:cstheme="minorHAnsi"/>
                <w:bCs/>
                <w:color w:val="000000" w:themeColor="text1"/>
                <w:szCs w:val="20"/>
              </w:rPr>
              <w:t>VaV</w:t>
            </w:r>
            <w:proofErr w:type="spellEnd"/>
            <w:r w:rsidR="00316126" w:rsidRPr="00316126">
              <w:rPr>
                <w:rFonts w:cstheme="minorHAnsi"/>
                <w:bCs/>
                <w:color w:val="000000" w:themeColor="text1"/>
                <w:szCs w:val="20"/>
              </w:rPr>
              <w:t xml:space="preserve"> </w:t>
            </w:r>
            <w:r w:rsidRPr="0059423F">
              <w:rPr>
                <w:rFonts w:cstheme="minorHAnsi"/>
                <w:bCs/>
                <w:color w:val="000000" w:themeColor="text1"/>
                <w:szCs w:val="20"/>
              </w:rPr>
              <w:t xml:space="preserve">(maximálně však do </w:t>
            </w:r>
            <w:r w:rsidRPr="0059423F">
              <w:rPr>
                <w:rFonts w:cstheme="minorHAnsi"/>
                <w:b/>
                <w:color w:val="000000" w:themeColor="text1"/>
                <w:szCs w:val="20"/>
              </w:rPr>
              <w:t>80 %</w:t>
            </w:r>
            <w:r w:rsidRPr="0059423F">
              <w:rPr>
                <w:rFonts w:cstheme="minorHAnsi"/>
                <w:bCs/>
                <w:color w:val="000000" w:themeColor="text1"/>
                <w:szCs w:val="20"/>
              </w:rPr>
              <w:t xml:space="preserve"> z daňové povinnosti k dani z příjmu právnických osob, platné po dobu 13 let pro projekty, které splňují určitou hodnotu a účel).</w:t>
            </w:r>
          </w:p>
        </w:tc>
      </w:tr>
      <w:tr w:rsidR="005C2A63" w:rsidRPr="00EE66D4" w14:paraId="59BC0926" w14:textId="77777777" w:rsidTr="005C2A63">
        <w:tc>
          <w:tcPr>
            <w:tcW w:w="1271" w:type="dxa"/>
          </w:tcPr>
          <w:p w14:paraId="11E9B116" w14:textId="77777777" w:rsidR="005C2A63" w:rsidRPr="00EE66D4" w:rsidRDefault="005C2A63" w:rsidP="00D957F4">
            <w:pPr>
              <w:spacing w:before="240" w:after="240"/>
              <w:rPr>
                <w:rFonts w:cstheme="minorHAnsi"/>
                <w:bCs/>
                <w:color w:val="000000" w:themeColor="text1"/>
                <w:szCs w:val="20"/>
              </w:rPr>
            </w:pPr>
            <w:r w:rsidRPr="00EE66D4">
              <w:rPr>
                <w:rFonts w:cstheme="minorHAnsi"/>
                <w:bCs/>
                <w:color w:val="000000" w:themeColor="text1"/>
                <w:szCs w:val="20"/>
              </w:rPr>
              <w:t>Nizozemsko</w:t>
            </w:r>
          </w:p>
        </w:tc>
        <w:tc>
          <w:tcPr>
            <w:tcW w:w="7942" w:type="dxa"/>
          </w:tcPr>
          <w:p w14:paraId="4D3B547C" w14:textId="77777777" w:rsidR="005C2A63" w:rsidRPr="00573E57" w:rsidRDefault="005C2A63" w:rsidP="00316126">
            <w:pPr>
              <w:rPr>
                <w:rFonts w:cstheme="minorHAnsi"/>
                <w:bCs/>
                <w:color w:val="000000" w:themeColor="text1"/>
                <w:szCs w:val="20"/>
              </w:rPr>
            </w:pPr>
            <w:r>
              <w:rPr>
                <w:rFonts w:cstheme="minorHAnsi"/>
                <w:bCs/>
                <w:color w:val="000000" w:themeColor="text1"/>
                <w:szCs w:val="20"/>
              </w:rPr>
              <w:t>Sleva na daních ze závislé činnosti (</w:t>
            </w:r>
            <w:proofErr w:type="spellStart"/>
            <w:r>
              <w:rPr>
                <w:rFonts w:cstheme="minorHAnsi"/>
                <w:bCs/>
                <w:color w:val="000000" w:themeColor="text1"/>
                <w:szCs w:val="20"/>
              </w:rPr>
              <w:t>payroll</w:t>
            </w:r>
            <w:proofErr w:type="spellEnd"/>
            <w:r>
              <w:rPr>
                <w:rFonts w:cstheme="minorHAnsi"/>
                <w:bCs/>
                <w:color w:val="000000" w:themeColor="text1"/>
                <w:szCs w:val="20"/>
              </w:rPr>
              <w:t xml:space="preserve"> </w:t>
            </w:r>
            <w:proofErr w:type="spellStart"/>
            <w:r>
              <w:rPr>
                <w:rFonts w:cstheme="minorHAnsi"/>
                <w:bCs/>
                <w:color w:val="000000" w:themeColor="text1"/>
                <w:szCs w:val="20"/>
              </w:rPr>
              <w:t>taxes</w:t>
            </w:r>
            <w:proofErr w:type="spellEnd"/>
            <w:r>
              <w:rPr>
                <w:rFonts w:cstheme="minorHAnsi"/>
                <w:bCs/>
                <w:color w:val="000000" w:themeColor="text1"/>
                <w:szCs w:val="20"/>
              </w:rPr>
              <w:t xml:space="preserve">) ve výši: </w:t>
            </w:r>
          </w:p>
          <w:p w14:paraId="7824FB6D" w14:textId="77777777" w:rsidR="005C2A63" w:rsidRDefault="005C2A63" w:rsidP="005C2A63">
            <w:pPr>
              <w:pStyle w:val="Odstavecseseznamem"/>
              <w:numPr>
                <w:ilvl w:val="0"/>
                <w:numId w:val="31"/>
              </w:numPr>
              <w:spacing w:after="240" w:line="240" w:lineRule="atLeast"/>
              <w:rPr>
                <w:rFonts w:cstheme="minorHAnsi"/>
                <w:bCs/>
                <w:color w:val="000000" w:themeColor="text1"/>
                <w:szCs w:val="20"/>
              </w:rPr>
            </w:pPr>
            <w:r w:rsidRPr="00175FE3">
              <w:rPr>
                <w:rFonts w:cstheme="minorHAnsi"/>
                <w:b/>
                <w:color w:val="000000" w:themeColor="text1"/>
                <w:szCs w:val="20"/>
              </w:rPr>
              <w:t>32 %</w:t>
            </w:r>
            <w:r>
              <w:rPr>
                <w:rFonts w:cstheme="minorHAnsi"/>
                <w:bCs/>
                <w:color w:val="000000" w:themeColor="text1"/>
                <w:szCs w:val="20"/>
              </w:rPr>
              <w:t xml:space="preserve"> z prvních 350 000 EUR nákladů souvisejících s </w:t>
            </w:r>
            <w:proofErr w:type="spellStart"/>
            <w:r>
              <w:rPr>
                <w:rFonts w:cstheme="minorHAnsi"/>
                <w:bCs/>
                <w:color w:val="000000" w:themeColor="text1"/>
                <w:szCs w:val="20"/>
              </w:rPr>
              <w:t>VaV</w:t>
            </w:r>
            <w:proofErr w:type="spellEnd"/>
            <w:r>
              <w:rPr>
                <w:rFonts w:cstheme="minorHAnsi"/>
                <w:bCs/>
                <w:color w:val="000000" w:themeColor="text1"/>
                <w:szCs w:val="20"/>
              </w:rPr>
              <w:t>,</w:t>
            </w:r>
          </w:p>
          <w:p w14:paraId="3DCE7165" w14:textId="77777777" w:rsidR="005C2A63" w:rsidRDefault="005C2A63" w:rsidP="005C2A63">
            <w:pPr>
              <w:pStyle w:val="Odstavecseseznamem"/>
              <w:numPr>
                <w:ilvl w:val="0"/>
                <w:numId w:val="31"/>
              </w:numPr>
              <w:spacing w:after="240" w:line="240" w:lineRule="atLeast"/>
              <w:rPr>
                <w:rFonts w:cstheme="minorHAnsi"/>
                <w:bCs/>
                <w:color w:val="000000" w:themeColor="text1"/>
                <w:szCs w:val="20"/>
              </w:rPr>
            </w:pPr>
            <w:r>
              <w:rPr>
                <w:rFonts w:cstheme="minorHAnsi"/>
                <w:b/>
                <w:color w:val="000000" w:themeColor="text1"/>
                <w:szCs w:val="20"/>
              </w:rPr>
              <w:t>16</w:t>
            </w:r>
            <w:r w:rsidRPr="00175FE3">
              <w:rPr>
                <w:rFonts w:cstheme="minorHAnsi"/>
                <w:b/>
                <w:color w:val="000000" w:themeColor="text1"/>
                <w:szCs w:val="20"/>
              </w:rPr>
              <w:t xml:space="preserve"> %</w:t>
            </w:r>
            <w:r>
              <w:rPr>
                <w:rFonts w:cstheme="minorHAnsi"/>
                <w:bCs/>
                <w:color w:val="000000" w:themeColor="text1"/>
                <w:szCs w:val="20"/>
              </w:rPr>
              <w:t xml:space="preserve"> z nákladů souvisejících s </w:t>
            </w:r>
            <w:proofErr w:type="spellStart"/>
            <w:r>
              <w:rPr>
                <w:rFonts w:cstheme="minorHAnsi"/>
                <w:bCs/>
                <w:color w:val="000000" w:themeColor="text1"/>
                <w:szCs w:val="20"/>
              </w:rPr>
              <w:t>VaV</w:t>
            </w:r>
            <w:proofErr w:type="spellEnd"/>
            <w:r>
              <w:rPr>
                <w:rFonts w:cstheme="minorHAnsi"/>
                <w:bCs/>
                <w:color w:val="000000" w:themeColor="text1"/>
                <w:szCs w:val="20"/>
              </w:rPr>
              <w:t xml:space="preserve"> přesahujících hranici 350 000 EUR. </w:t>
            </w:r>
          </w:p>
          <w:p w14:paraId="33E0FFA4" w14:textId="77777777" w:rsidR="005C2A63" w:rsidRPr="00175FE3" w:rsidRDefault="005C2A63" w:rsidP="005C2A63">
            <w:pPr>
              <w:pStyle w:val="Odstavecseseznamem"/>
              <w:numPr>
                <w:ilvl w:val="0"/>
                <w:numId w:val="31"/>
              </w:numPr>
              <w:spacing w:line="240" w:lineRule="atLeast"/>
              <w:rPr>
                <w:rFonts w:cstheme="minorHAnsi"/>
                <w:bCs/>
                <w:color w:val="000000" w:themeColor="text1"/>
                <w:szCs w:val="20"/>
              </w:rPr>
            </w:pPr>
            <w:r>
              <w:rPr>
                <w:rFonts w:cstheme="minorHAnsi"/>
                <w:bCs/>
                <w:color w:val="000000" w:themeColor="text1"/>
                <w:szCs w:val="20"/>
              </w:rPr>
              <w:t xml:space="preserve">Celkové náklady na </w:t>
            </w:r>
            <w:proofErr w:type="spellStart"/>
            <w:r>
              <w:rPr>
                <w:rFonts w:cstheme="minorHAnsi"/>
                <w:bCs/>
                <w:color w:val="000000" w:themeColor="text1"/>
                <w:szCs w:val="20"/>
              </w:rPr>
              <w:t>VaV</w:t>
            </w:r>
            <w:proofErr w:type="spellEnd"/>
            <w:r>
              <w:rPr>
                <w:rFonts w:cstheme="minorHAnsi"/>
                <w:bCs/>
                <w:color w:val="000000" w:themeColor="text1"/>
                <w:szCs w:val="20"/>
              </w:rPr>
              <w:t xml:space="preserve"> mohou obsahovat paušální náhradu (viz. </w:t>
            </w:r>
            <w:proofErr w:type="gramStart"/>
            <w:r>
              <w:rPr>
                <w:rFonts w:cstheme="minorHAnsi"/>
                <w:bCs/>
                <w:color w:val="000000" w:themeColor="text1"/>
                <w:szCs w:val="20"/>
              </w:rPr>
              <w:t>níže</w:t>
            </w:r>
            <w:proofErr w:type="gramEnd"/>
            <w:r>
              <w:rPr>
                <w:rFonts w:cstheme="minorHAnsi"/>
                <w:bCs/>
                <w:color w:val="000000" w:themeColor="text1"/>
                <w:szCs w:val="20"/>
              </w:rPr>
              <w:t>)</w:t>
            </w:r>
          </w:p>
        </w:tc>
      </w:tr>
      <w:tr w:rsidR="005C2A63" w:rsidRPr="00EE66D4" w14:paraId="71806223" w14:textId="77777777" w:rsidTr="005C2A63">
        <w:tc>
          <w:tcPr>
            <w:tcW w:w="1271" w:type="dxa"/>
          </w:tcPr>
          <w:p w14:paraId="1DB7D717" w14:textId="77777777" w:rsidR="005C2A63" w:rsidRPr="00EE66D4" w:rsidRDefault="005C2A63" w:rsidP="00D957F4">
            <w:pPr>
              <w:spacing w:before="240" w:after="240"/>
              <w:rPr>
                <w:rFonts w:cstheme="minorHAnsi"/>
                <w:bCs/>
                <w:color w:val="000000" w:themeColor="text1"/>
                <w:szCs w:val="20"/>
              </w:rPr>
            </w:pPr>
            <w:r w:rsidRPr="00EE66D4">
              <w:rPr>
                <w:rFonts w:cstheme="minorHAnsi"/>
                <w:bCs/>
                <w:color w:val="000000" w:themeColor="text1"/>
                <w:szCs w:val="20"/>
              </w:rPr>
              <w:t>Velká Británie</w:t>
            </w:r>
          </w:p>
        </w:tc>
        <w:tc>
          <w:tcPr>
            <w:tcW w:w="7942" w:type="dxa"/>
          </w:tcPr>
          <w:p w14:paraId="30C3507E" w14:textId="77777777" w:rsidR="005C2A63" w:rsidRDefault="005C2A63" w:rsidP="00316126">
            <w:pPr>
              <w:rPr>
                <w:rFonts w:cstheme="minorHAnsi"/>
                <w:bCs/>
                <w:color w:val="000000" w:themeColor="text1"/>
                <w:szCs w:val="20"/>
              </w:rPr>
            </w:pPr>
            <w:r>
              <w:rPr>
                <w:rFonts w:cstheme="minorHAnsi"/>
                <w:bCs/>
                <w:color w:val="000000" w:themeColor="text1"/>
                <w:szCs w:val="20"/>
              </w:rPr>
              <w:t xml:space="preserve">Plná daňová uznatelnost nákladů na </w:t>
            </w:r>
            <w:proofErr w:type="spellStart"/>
            <w:r>
              <w:rPr>
                <w:rFonts w:cstheme="minorHAnsi"/>
                <w:bCs/>
                <w:color w:val="000000" w:themeColor="text1"/>
                <w:szCs w:val="20"/>
              </w:rPr>
              <w:t>VaV</w:t>
            </w:r>
            <w:proofErr w:type="spellEnd"/>
            <w:r>
              <w:rPr>
                <w:rFonts w:cstheme="minorHAnsi"/>
                <w:bCs/>
                <w:color w:val="000000" w:themeColor="text1"/>
                <w:szCs w:val="20"/>
              </w:rPr>
              <w:t xml:space="preserve"> v příslušném roce a následně dva režimy dodatečné daňové podpory:</w:t>
            </w:r>
          </w:p>
          <w:p w14:paraId="4FF3C205" w14:textId="30550785" w:rsidR="005C2A63" w:rsidRPr="00870936" w:rsidRDefault="005C2A63" w:rsidP="005C2A63">
            <w:pPr>
              <w:pStyle w:val="Odstavecseseznamem"/>
              <w:numPr>
                <w:ilvl w:val="0"/>
                <w:numId w:val="32"/>
              </w:numPr>
              <w:spacing w:after="240" w:line="240" w:lineRule="atLeast"/>
              <w:rPr>
                <w:rFonts w:cstheme="minorHAnsi"/>
                <w:bCs/>
                <w:color w:val="000000" w:themeColor="text1"/>
                <w:szCs w:val="20"/>
              </w:rPr>
            </w:pPr>
            <w:r>
              <w:rPr>
                <w:rFonts w:cstheme="minorHAnsi"/>
                <w:bCs/>
                <w:color w:val="000000" w:themeColor="text1"/>
                <w:szCs w:val="20"/>
              </w:rPr>
              <w:t>v</w:t>
            </w:r>
            <w:r w:rsidRPr="0007580C">
              <w:rPr>
                <w:rFonts w:cstheme="minorHAnsi"/>
                <w:bCs/>
                <w:color w:val="000000" w:themeColor="text1"/>
                <w:szCs w:val="20"/>
              </w:rPr>
              <w:t>elké podniky</w:t>
            </w:r>
            <w:r>
              <w:rPr>
                <w:rFonts w:cstheme="minorHAnsi"/>
                <w:bCs/>
                <w:color w:val="000000" w:themeColor="text1"/>
                <w:szCs w:val="20"/>
              </w:rPr>
              <w:t xml:space="preserve"> – peněžní benefit ve výši </w:t>
            </w:r>
            <w:r w:rsidRPr="0007580C">
              <w:rPr>
                <w:rFonts w:cstheme="minorHAnsi"/>
                <w:b/>
                <w:color w:val="000000" w:themeColor="text1"/>
                <w:szCs w:val="20"/>
              </w:rPr>
              <w:t>10,5 %</w:t>
            </w:r>
            <w:r w:rsidR="00316126">
              <w:rPr>
                <w:rFonts w:cstheme="minorHAnsi"/>
                <w:bCs/>
                <w:color w:val="000000" w:themeColor="text1"/>
                <w:szCs w:val="20"/>
              </w:rPr>
              <w:t xml:space="preserve"> z nákladů na </w:t>
            </w:r>
            <w:proofErr w:type="spellStart"/>
            <w:r w:rsidR="00316126">
              <w:rPr>
                <w:rFonts w:cstheme="minorHAnsi"/>
                <w:bCs/>
                <w:color w:val="000000" w:themeColor="text1"/>
                <w:szCs w:val="20"/>
              </w:rPr>
              <w:t>VaV</w:t>
            </w:r>
            <w:proofErr w:type="spellEnd"/>
            <w:r w:rsidR="00316126">
              <w:rPr>
                <w:rFonts w:cstheme="minorHAnsi"/>
                <w:bCs/>
                <w:color w:val="000000" w:themeColor="text1"/>
                <w:szCs w:val="20"/>
              </w:rPr>
              <w:t xml:space="preserve"> (13 % </w:t>
            </w:r>
            <w:r>
              <w:rPr>
                <w:rFonts w:cstheme="minorHAnsi"/>
                <w:bCs/>
                <w:color w:val="000000" w:themeColor="text1"/>
                <w:szCs w:val="20"/>
              </w:rPr>
              <w:t>podléhající zdanění 19% sazbou daně),</w:t>
            </w:r>
          </w:p>
          <w:p w14:paraId="55672842" w14:textId="77777777" w:rsidR="005C2A63" w:rsidRPr="001F421F" w:rsidRDefault="005C2A63" w:rsidP="005C2A63">
            <w:pPr>
              <w:pStyle w:val="Odstavecseseznamem"/>
              <w:numPr>
                <w:ilvl w:val="0"/>
                <w:numId w:val="32"/>
              </w:numPr>
              <w:spacing w:line="120" w:lineRule="atLeast"/>
              <w:rPr>
                <w:rFonts w:cstheme="minorHAnsi"/>
                <w:bCs/>
                <w:color w:val="000000" w:themeColor="text1"/>
                <w:szCs w:val="20"/>
              </w:rPr>
            </w:pPr>
            <w:r>
              <w:rPr>
                <w:rFonts w:cstheme="minorHAnsi"/>
                <w:bCs/>
                <w:color w:val="000000" w:themeColor="text1"/>
                <w:szCs w:val="20"/>
              </w:rPr>
              <w:t>m</w:t>
            </w:r>
            <w:r w:rsidRPr="001F421F">
              <w:rPr>
                <w:rFonts w:cstheme="minorHAnsi"/>
                <w:bCs/>
                <w:color w:val="000000" w:themeColor="text1"/>
                <w:szCs w:val="20"/>
              </w:rPr>
              <w:t>alé a střední podniky</w:t>
            </w:r>
            <w:r>
              <w:rPr>
                <w:rFonts w:cstheme="minorHAnsi"/>
                <w:bCs/>
                <w:color w:val="000000" w:themeColor="text1"/>
                <w:szCs w:val="20"/>
              </w:rPr>
              <w:t xml:space="preserve"> </w:t>
            </w:r>
            <w:r w:rsidRPr="001F421F">
              <w:rPr>
                <w:rFonts w:cstheme="minorHAnsi"/>
                <w:bCs/>
                <w:color w:val="000000" w:themeColor="text1"/>
                <w:szCs w:val="20"/>
              </w:rPr>
              <w:t xml:space="preserve">– </w:t>
            </w:r>
            <w:r>
              <w:rPr>
                <w:rFonts w:cstheme="minorHAnsi"/>
                <w:bCs/>
                <w:color w:val="000000" w:themeColor="text1"/>
                <w:szCs w:val="20"/>
              </w:rPr>
              <w:t xml:space="preserve">dodatečný </w:t>
            </w:r>
            <w:r w:rsidRPr="001F421F">
              <w:rPr>
                <w:rFonts w:cstheme="minorHAnsi"/>
                <w:bCs/>
                <w:color w:val="000000" w:themeColor="text1"/>
                <w:szCs w:val="20"/>
              </w:rPr>
              <w:t xml:space="preserve">odpočet ve výši </w:t>
            </w:r>
            <w:r w:rsidRPr="001F421F">
              <w:rPr>
                <w:rFonts w:cstheme="minorHAnsi"/>
                <w:b/>
                <w:color w:val="000000" w:themeColor="text1"/>
                <w:szCs w:val="20"/>
              </w:rPr>
              <w:t>130</w:t>
            </w:r>
            <w:r>
              <w:rPr>
                <w:rFonts w:cstheme="minorHAnsi"/>
                <w:b/>
                <w:color w:val="000000" w:themeColor="text1"/>
                <w:szCs w:val="20"/>
              </w:rPr>
              <w:t> </w:t>
            </w:r>
            <w:r w:rsidRPr="001F421F">
              <w:rPr>
                <w:rFonts w:cstheme="minorHAnsi"/>
                <w:b/>
                <w:color w:val="000000" w:themeColor="text1"/>
                <w:szCs w:val="20"/>
              </w:rPr>
              <w:t>%</w:t>
            </w:r>
            <w:r w:rsidRPr="001F421F">
              <w:rPr>
                <w:rFonts w:cstheme="minorHAnsi"/>
                <w:bCs/>
                <w:color w:val="000000" w:themeColor="text1"/>
                <w:szCs w:val="20"/>
              </w:rPr>
              <w:t xml:space="preserve"> nákladů na </w:t>
            </w:r>
            <w:proofErr w:type="spellStart"/>
            <w:r w:rsidRPr="001F421F">
              <w:rPr>
                <w:rFonts w:cstheme="minorHAnsi"/>
                <w:bCs/>
                <w:color w:val="000000" w:themeColor="text1"/>
                <w:szCs w:val="20"/>
              </w:rPr>
              <w:t>VaV</w:t>
            </w:r>
            <w:proofErr w:type="spellEnd"/>
            <w:r>
              <w:rPr>
                <w:rFonts w:cstheme="minorHAnsi"/>
                <w:bCs/>
                <w:color w:val="000000" w:themeColor="text1"/>
                <w:szCs w:val="20"/>
              </w:rPr>
              <w:t xml:space="preserve">. V případě ztráty daňový bonus (viz. </w:t>
            </w:r>
            <w:proofErr w:type="gramStart"/>
            <w:r>
              <w:rPr>
                <w:rFonts w:cstheme="minorHAnsi"/>
                <w:bCs/>
                <w:color w:val="000000" w:themeColor="text1"/>
                <w:szCs w:val="20"/>
              </w:rPr>
              <w:t>detaily</w:t>
            </w:r>
            <w:proofErr w:type="gramEnd"/>
            <w:r>
              <w:rPr>
                <w:rFonts w:cstheme="minorHAnsi"/>
                <w:bCs/>
                <w:color w:val="000000" w:themeColor="text1"/>
                <w:szCs w:val="20"/>
              </w:rPr>
              <w:t xml:space="preserve"> níže)</w:t>
            </w:r>
          </w:p>
        </w:tc>
      </w:tr>
      <w:tr w:rsidR="005C2A63" w:rsidRPr="00EE66D4" w14:paraId="7A2B4D53" w14:textId="77777777" w:rsidTr="005C2A63">
        <w:trPr>
          <w:trHeight w:val="641"/>
        </w:trPr>
        <w:tc>
          <w:tcPr>
            <w:tcW w:w="1271" w:type="dxa"/>
          </w:tcPr>
          <w:p w14:paraId="6541C3B6" w14:textId="77777777" w:rsidR="005C2A63" w:rsidRPr="00EE66D4" w:rsidRDefault="005C2A63" w:rsidP="005C2A63">
            <w:pPr>
              <w:spacing w:before="240"/>
              <w:rPr>
                <w:rFonts w:cstheme="minorHAnsi"/>
                <w:bCs/>
                <w:color w:val="000000" w:themeColor="text1"/>
                <w:szCs w:val="20"/>
              </w:rPr>
            </w:pPr>
            <w:r w:rsidRPr="00EE66D4">
              <w:rPr>
                <w:rFonts w:cstheme="minorHAnsi"/>
                <w:bCs/>
                <w:color w:val="000000" w:themeColor="text1"/>
                <w:szCs w:val="20"/>
              </w:rPr>
              <w:t>Francie</w:t>
            </w:r>
          </w:p>
        </w:tc>
        <w:tc>
          <w:tcPr>
            <w:tcW w:w="7942" w:type="dxa"/>
          </w:tcPr>
          <w:p w14:paraId="26FE05A5" w14:textId="77777777" w:rsidR="005C2A63" w:rsidRDefault="005C2A63" w:rsidP="005C2A63">
            <w:pPr>
              <w:rPr>
                <w:rFonts w:cstheme="minorHAnsi"/>
                <w:bCs/>
                <w:color w:val="000000" w:themeColor="text1"/>
                <w:szCs w:val="20"/>
              </w:rPr>
            </w:pPr>
            <w:r w:rsidRPr="00EE66D4">
              <w:rPr>
                <w:rFonts w:cstheme="minorHAnsi"/>
                <w:bCs/>
                <w:color w:val="000000" w:themeColor="text1"/>
                <w:szCs w:val="20"/>
              </w:rPr>
              <w:t xml:space="preserve">Sleva na dani ve výši </w:t>
            </w:r>
            <w:r w:rsidRPr="00175FE3">
              <w:rPr>
                <w:rFonts w:cstheme="minorHAnsi"/>
                <w:b/>
                <w:color w:val="000000" w:themeColor="text1"/>
                <w:szCs w:val="20"/>
              </w:rPr>
              <w:t>30 %</w:t>
            </w:r>
            <w:r w:rsidRPr="00EE66D4">
              <w:rPr>
                <w:rFonts w:cstheme="minorHAnsi"/>
                <w:bCs/>
                <w:color w:val="000000" w:themeColor="text1"/>
                <w:szCs w:val="20"/>
              </w:rPr>
              <w:t xml:space="preserve"> nákladů souvisejících s</w:t>
            </w:r>
            <w:r>
              <w:rPr>
                <w:rFonts w:cstheme="minorHAnsi"/>
                <w:bCs/>
                <w:color w:val="000000" w:themeColor="text1"/>
                <w:szCs w:val="20"/>
              </w:rPr>
              <w:t> </w:t>
            </w:r>
            <w:proofErr w:type="spellStart"/>
            <w:r>
              <w:rPr>
                <w:rFonts w:cstheme="minorHAnsi"/>
                <w:bCs/>
                <w:color w:val="000000" w:themeColor="text1"/>
                <w:szCs w:val="20"/>
              </w:rPr>
              <w:t>VaV</w:t>
            </w:r>
            <w:proofErr w:type="spellEnd"/>
            <w:r>
              <w:rPr>
                <w:rFonts w:cstheme="minorHAnsi"/>
                <w:bCs/>
                <w:color w:val="000000" w:themeColor="text1"/>
                <w:szCs w:val="20"/>
              </w:rPr>
              <w:t>.</w:t>
            </w:r>
            <w:r w:rsidRPr="00EE66D4">
              <w:rPr>
                <w:rFonts w:cstheme="minorHAnsi"/>
                <w:bCs/>
                <w:color w:val="000000" w:themeColor="text1"/>
                <w:szCs w:val="20"/>
              </w:rPr>
              <w:t xml:space="preserve"> </w:t>
            </w:r>
            <w:r>
              <w:rPr>
                <w:rFonts w:cstheme="minorHAnsi"/>
                <w:bCs/>
                <w:color w:val="000000" w:themeColor="text1"/>
                <w:szCs w:val="20"/>
              </w:rPr>
              <w:t xml:space="preserve">Kalkulace nákladů souvisejících s </w:t>
            </w:r>
            <w:proofErr w:type="spellStart"/>
            <w:r>
              <w:rPr>
                <w:rFonts w:cstheme="minorHAnsi"/>
                <w:bCs/>
                <w:color w:val="000000" w:themeColor="text1"/>
                <w:szCs w:val="20"/>
              </w:rPr>
              <w:t>VaV</w:t>
            </w:r>
            <w:proofErr w:type="spellEnd"/>
            <w:r>
              <w:rPr>
                <w:rFonts w:cstheme="minorHAnsi"/>
                <w:bCs/>
                <w:color w:val="000000" w:themeColor="text1"/>
                <w:szCs w:val="20"/>
              </w:rPr>
              <w:t xml:space="preserve"> obsahuje paušální náhradu.</w:t>
            </w:r>
          </w:p>
        </w:tc>
      </w:tr>
    </w:tbl>
    <w:p w14:paraId="4F3BFDD6" w14:textId="19ACD619" w:rsidR="00A6543A" w:rsidRPr="005C2A63" w:rsidRDefault="005C2A63" w:rsidP="005C2A63">
      <w:pPr>
        <w:spacing w:line="276" w:lineRule="auto"/>
        <w:jc w:val="both"/>
        <w:rPr>
          <w:rFonts w:cstheme="minorHAnsi"/>
          <w:i/>
        </w:rPr>
      </w:pPr>
      <w:r w:rsidRPr="005C2A63">
        <w:rPr>
          <w:rFonts w:cstheme="minorHAnsi"/>
          <w:i/>
        </w:rPr>
        <w:t xml:space="preserve">Zdroj: </w:t>
      </w:r>
      <w:proofErr w:type="spellStart"/>
      <w:r w:rsidRPr="005C2A63">
        <w:rPr>
          <w:rFonts w:cstheme="minorHAnsi"/>
          <w:i/>
        </w:rPr>
        <w:t>PwC</w:t>
      </w:r>
      <w:proofErr w:type="spellEnd"/>
    </w:p>
    <w:p w14:paraId="7F7ED416" w14:textId="79212DB9" w:rsidR="005C2A63" w:rsidRDefault="005C2A63" w:rsidP="005C2A63">
      <w:pPr>
        <w:spacing w:line="276" w:lineRule="auto"/>
        <w:jc w:val="both"/>
        <w:rPr>
          <w:rFonts w:cstheme="minorHAnsi"/>
          <w:sz w:val="24"/>
        </w:rPr>
      </w:pPr>
    </w:p>
    <w:p w14:paraId="2078E413" w14:textId="31CD35AA" w:rsidR="00250510" w:rsidRPr="00250510" w:rsidRDefault="00250510" w:rsidP="00250510">
      <w:pPr>
        <w:spacing w:line="276" w:lineRule="auto"/>
        <w:jc w:val="both"/>
        <w:rPr>
          <w:rFonts w:cstheme="minorHAnsi"/>
          <w:sz w:val="24"/>
        </w:rPr>
      </w:pPr>
      <w:r w:rsidRPr="00250510">
        <w:rPr>
          <w:rFonts w:cstheme="minorHAnsi"/>
          <w:sz w:val="24"/>
        </w:rPr>
        <w:t>Daňové pobídky zvyšují intenzitu výzkumných a vývojových aktivit mezi stávajícími firmami již provádějícími výzkum a vývoj a lákají firmy k zahájení nebo pokračo</w:t>
      </w:r>
      <w:r w:rsidR="003E7CE0">
        <w:rPr>
          <w:rFonts w:cstheme="minorHAnsi"/>
          <w:sz w:val="24"/>
        </w:rPr>
        <w:t>vání v investicích do výzkumu a </w:t>
      </w:r>
      <w:r w:rsidRPr="00250510">
        <w:rPr>
          <w:rFonts w:cstheme="minorHAnsi"/>
          <w:sz w:val="24"/>
        </w:rPr>
        <w:t>vývoje.</w:t>
      </w:r>
    </w:p>
    <w:p w14:paraId="76F2BAA1" w14:textId="76AD7D83" w:rsidR="00250510" w:rsidRDefault="00250510" w:rsidP="00250510">
      <w:pPr>
        <w:spacing w:line="276" w:lineRule="auto"/>
        <w:jc w:val="both"/>
        <w:rPr>
          <w:rFonts w:cstheme="minorHAnsi"/>
          <w:sz w:val="24"/>
        </w:rPr>
      </w:pPr>
      <w:r w:rsidRPr="00250510">
        <w:rPr>
          <w:rFonts w:cstheme="minorHAnsi"/>
          <w:sz w:val="24"/>
        </w:rPr>
        <w:t>Celkově se daňové pobídky pro výzkum a vývoj zdají být vhodnější k podpoře experimentálních vývojových aktivit v ČR v podnikatelském sektoru, zatímco přímé financování se zdá být efektivnější při podpoře základního a aplikovaného výzkumu, který je sice orientován na konečnou apl</w:t>
      </w:r>
      <w:r w:rsidR="003E7CE0">
        <w:rPr>
          <w:rFonts w:cstheme="minorHAnsi"/>
          <w:sz w:val="24"/>
        </w:rPr>
        <w:t>ikaci, ale </w:t>
      </w:r>
      <w:r w:rsidRPr="00250510">
        <w:rPr>
          <w:rFonts w:cstheme="minorHAnsi"/>
          <w:sz w:val="24"/>
        </w:rPr>
        <w:t>ještě je daleko od dosažení na trh.</w:t>
      </w:r>
    </w:p>
    <w:p w14:paraId="04FA298C" w14:textId="59690A12" w:rsidR="00250510" w:rsidRPr="00250510" w:rsidRDefault="00250510" w:rsidP="00250510">
      <w:pPr>
        <w:spacing w:line="276" w:lineRule="auto"/>
        <w:jc w:val="both"/>
        <w:rPr>
          <w:rFonts w:cstheme="minorHAnsi"/>
          <w:sz w:val="24"/>
        </w:rPr>
      </w:pPr>
      <w:r w:rsidRPr="00250510">
        <w:rPr>
          <w:rFonts w:cstheme="minorHAnsi"/>
          <w:sz w:val="24"/>
        </w:rPr>
        <w:t xml:space="preserve">Vliv daňových pobídek pro </w:t>
      </w:r>
      <w:proofErr w:type="spellStart"/>
      <w:r w:rsidRPr="00250510">
        <w:rPr>
          <w:rFonts w:cstheme="minorHAnsi"/>
          <w:sz w:val="24"/>
        </w:rPr>
        <w:t>VaV</w:t>
      </w:r>
      <w:proofErr w:type="spellEnd"/>
      <w:r w:rsidRPr="00250510">
        <w:rPr>
          <w:rFonts w:cstheme="minorHAnsi"/>
          <w:sz w:val="24"/>
        </w:rPr>
        <w:t xml:space="preserve"> na experimentální vývoj je přibližně dvakrát větší než vliv na základní a aplikovaný výzkum, přičemž vliv přímého financování na experimentální vývoj je poloviční než vliv na základní i aplikovaný výzkum. Daňové pobídky a přímé financování se proto vzájemně doplňují. (Pozn. Ale může to být také způsobeno malým podílem přímé finanční podpory plynoucí do projektů experimentálního vývoje.) </w:t>
      </w:r>
    </w:p>
    <w:p w14:paraId="7F5D6986" w14:textId="77777777" w:rsidR="005C2A63" w:rsidRPr="005C2A63" w:rsidRDefault="005C2A63" w:rsidP="005C2A63">
      <w:pPr>
        <w:spacing w:line="276" w:lineRule="auto"/>
        <w:jc w:val="both"/>
        <w:rPr>
          <w:rFonts w:cstheme="minorHAnsi"/>
          <w:sz w:val="24"/>
        </w:rPr>
      </w:pPr>
    </w:p>
    <w:p w14:paraId="26CE3D38" w14:textId="77777777" w:rsidR="004A1DAE" w:rsidRPr="00250510" w:rsidRDefault="004A1DAE" w:rsidP="00250510">
      <w:pPr>
        <w:rPr>
          <w:rFonts w:ascii="Calibri" w:eastAsia="Calibri" w:hAnsi="Calibri" w:cs="Calibri"/>
          <w:b/>
          <w:bCs/>
          <w:color w:val="002060"/>
          <w:sz w:val="28"/>
        </w:rPr>
      </w:pPr>
      <w:r>
        <w:rPr>
          <w:rFonts w:eastAsia="Calibri"/>
          <w:noProof/>
          <w:color w:val="002060"/>
          <w:sz w:val="28"/>
        </w:rPr>
        <w:lastRenderedPageBreak/>
        <mc:AlternateContent>
          <mc:Choice Requires="wps">
            <w:drawing>
              <wp:anchor distT="0" distB="0" distL="114300" distR="114300" simplePos="0" relativeHeight="251695104" behindDoc="0" locked="0" layoutInCell="1" allowOverlap="1" wp14:anchorId="510F5C78" wp14:editId="555B3A3D">
                <wp:simplePos x="0" y="0"/>
                <wp:positionH relativeFrom="column">
                  <wp:posOffset>1007275</wp:posOffset>
                </wp:positionH>
                <wp:positionV relativeFrom="paragraph">
                  <wp:posOffset>1968137</wp:posOffset>
                </wp:positionV>
                <wp:extent cx="485775" cy="1682115"/>
                <wp:effectExtent l="19050" t="19050" r="28575" b="13335"/>
                <wp:wrapNone/>
                <wp:docPr id="4" name="Obdélník 4"/>
                <wp:cNvGraphicFramePr/>
                <a:graphic xmlns:a="http://schemas.openxmlformats.org/drawingml/2006/main">
                  <a:graphicData uri="http://schemas.microsoft.com/office/word/2010/wordprocessingShape">
                    <wps:wsp>
                      <wps:cNvSpPr/>
                      <wps:spPr>
                        <a:xfrm>
                          <a:off x="0" y="0"/>
                          <a:ext cx="485775" cy="1682115"/>
                        </a:xfrm>
                        <a:prstGeom prst="rect">
                          <a:avLst/>
                        </a:prstGeom>
                        <a:noFill/>
                        <a:ln w="28575" cap="flat" cmpd="sng" algn="ctr">
                          <a:solidFill>
                            <a:srgbClr val="C00000"/>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2"/>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F88F2A" id="Obdélník 4" o:spid="_x0000_s1026" style="position:absolute;margin-left:79.3pt;margin-top:154.95pt;width:38.25pt;height:132.4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" filled="f" strokecolor="#c00000" strokeweight="2.25pt">
                <v:stroke joinstyle="round"/>
              </v:rect>
            </w:pict>
          </mc:Fallback>
        </mc:AlternateContent>
      </w:r>
      <w:r>
        <w:rPr>
          <w:rFonts w:eastAsia="Calibri"/>
          <w:noProof/>
          <w:color w:val="002060"/>
          <w:sz w:val="28"/>
        </w:rPr>
        <w:drawing>
          <wp:anchor distT="0" distB="0" distL="114300" distR="114300" simplePos="0" relativeHeight="251694080" behindDoc="0" locked="0" layoutInCell="1" allowOverlap="1" wp14:anchorId="27D61D6A" wp14:editId="5C332A85">
            <wp:simplePos x="0" y="0"/>
            <wp:positionH relativeFrom="column">
              <wp:posOffset>332105</wp:posOffset>
            </wp:positionH>
            <wp:positionV relativeFrom="paragraph">
              <wp:posOffset>363220</wp:posOffset>
            </wp:positionV>
            <wp:extent cx="5612130" cy="3291840"/>
            <wp:effectExtent l="0" t="0" r="7620" b="3810"/>
            <wp:wrapTopAndBottom/>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12130" cy="3291840"/>
                    </a:xfrm>
                    <a:prstGeom prst="rect">
                      <a:avLst/>
                    </a:prstGeom>
                    <a:noFill/>
                  </pic:spPr>
                </pic:pic>
              </a:graphicData>
            </a:graphic>
          </wp:anchor>
        </w:drawing>
      </w:r>
      <w:r w:rsidRPr="00E55AF9">
        <w:rPr>
          <w:rFonts w:eastAsia="Calibri"/>
          <w:noProof/>
          <w:color w:val="002060"/>
          <w:sz w:val="28"/>
        </w:rPr>
        <mc:AlternateContent>
          <mc:Choice Requires="wps">
            <w:drawing>
              <wp:anchor distT="0" distB="0" distL="114300" distR="114300" simplePos="0" relativeHeight="251693056" behindDoc="1" locked="0" layoutInCell="1" allowOverlap="1" wp14:anchorId="31F3274E" wp14:editId="58379FE5">
                <wp:simplePos x="0" y="0"/>
                <wp:positionH relativeFrom="column">
                  <wp:posOffset>-81915</wp:posOffset>
                </wp:positionH>
                <wp:positionV relativeFrom="paragraph">
                  <wp:posOffset>-391795</wp:posOffset>
                </wp:positionV>
                <wp:extent cx="414020" cy="3750310"/>
                <wp:effectExtent l="0" t="0" r="0" b="0"/>
                <wp:wrapNone/>
                <wp:docPr id="31" name="TextBox 30"/>
                <wp:cNvGraphicFramePr/>
                <a:graphic xmlns:a="http://schemas.openxmlformats.org/drawingml/2006/main">
                  <a:graphicData uri="http://schemas.microsoft.com/office/word/2010/wordprocessingShape">
                    <wps:wsp>
                      <wps:cNvSpPr txBox="1"/>
                      <wps:spPr>
                        <a:xfrm>
                          <a:off x="0" y="0"/>
                          <a:ext cx="414020" cy="3750310"/>
                        </a:xfrm>
                        <a:prstGeom prst="rect">
                          <a:avLst/>
                        </a:prstGeom>
                        <a:noFill/>
                      </wps:spPr>
                      <wps:txbx>
                        <w:txbxContent>
                          <w:p w14:paraId="528DD918" w14:textId="77777777" w:rsidR="00C62F38" w:rsidRPr="00277BEE" w:rsidRDefault="00C62F38" w:rsidP="004A1DAE">
                            <w:pPr>
                              <w:pStyle w:val="Normlnweb"/>
                              <w:spacing w:before="0" w:beforeAutospacing="0" w:after="0" w:afterAutospacing="0"/>
                              <w:rPr>
                                <w:sz w:val="28"/>
                              </w:rPr>
                            </w:pPr>
                            <w:r w:rsidRPr="00277BEE">
                              <w:rPr>
                                <w:rFonts w:asciiTheme="majorHAnsi" w:hAnsi="Calibri Light" w:cstheme="minorBidi"/>
                                <w:b/>
                                <w:bCs/>
                                <w:color w:val="000000" w:themeColor="text1" w:themeShade="80"/>
                                <w:kern w:val="24"/>
                                <w:sz w:val="28"/>
                              </w:rPr>
                              <w:t xml:space="preserve">Dodatečné </w:t>
                            </w:r>
                            <w:proofErr w:type="spellStart"/>
                            <w:r w:rsidRPr="00277BEE">
                              <w:rPr>
                                <w:rFonts w:asciiTheme="majorHAnsi" w:hAnsi="Calibri Light" w:cstheme="minorBidi"/>
                                <w:b/>
                                <w:bCs/>
                                <w:color w:val="000000" w:themeColor="text1" w:themeShade="80"/>
                                <w:kern w:val="24"/>
                                <w:sz w:val="28"/>
                              </w:rPr>
                              <w:t>VaV</w:t>
                            </w:r>
                            <w:proofErr w:type="spellEnd"/>
                            <w:r w:rsidRPr="00277BEE">
                              <w:rPr>
                                <w:rFonts w:asciiTheme="majorHAnsi" w:hAnsi="Calibri Light" w:cstheme="minorBidi"/>
                                <w:b/>
                                <w:bCs/>
                                <w:color w:val="000000" w:themeColor="text1" w:themeShade="80"/>
                                <w:kern w:val="24"/>
                                <w:sz w:val="28"/>
                              </w:rPr>
                              <w:t xml:space="preserve"> z 1 koruny podpory</w:t>
                            </w:r>
                          </w:p>
                        </w:txbxContent>
                      </wps:txbx>
                      <wps:bodyPr vert="vert270" wrap="square" rtlCol="0">
                        <a:noAutofit/>
                      </wps:bodyPr>
                    </wps:wsp>
                  </a:graphicData>
                </a:graphic>
                <wp14:sizeRelH relativeFrom="margin">
                  <wp14:pctWidth>0</wp14:pctWidth>
                </wp14:sizeRelH>
                <wp14:sizeRelV relativeFrom="margin">
                  <wp14:pctHeight>0</wp14:pctHeight>
                </wp14:sizeRelV>
              </wp:anchor>
            </w:drawing>
          </mc:Choice>
          <mc:Fallback>
            <w:pict>
              <v:shapetype w14:anchorId="31F3274E" id="_x0000_t202" coordsize="21600,21600" o:spt="202" path="m,l,21600r21600,l21600,xe">
                <v:stroke joinstyle="miter"/>
                <v:path gradientshapeok="t" o:connecttype="rect"/>
              </v:shapetype>
              <v:shape id="TextBox 30" o:spid="_x0000_s1026" type="#_x0000_t202" style="position:absolute;margin-left:-6.45pt;margin-top:-30.85pt;width:32.6pt;height:295.3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" filled="f" stroked="f">
                <v:textbox style="layout-flow:vertical;mso-layout-flow-alt:bottom-to-top">
                  <w:txbxContent>
                    <w:p w14:paraId="528DD918" w14:textId="77777777" w:rsidR="00C62F38" w:rsidRPr="00277BEE" w:rsidRDefault="00C62F38" w:rsidP="004A1DAE">
                      <w:pPr>
                        <w:pStyle w:val="Normlnweb"/>
                        <w:spacing w:before="0" w:beforeAutospacing="0" w:after="0" w:afterAutospacing="0"/>
                        <w:rPr>
                          <w:sz w:val="28"/>
                        </w:rPr>
                      </w:pPr>
                      <w:r w:rsidRPr="00277BEE">
                        <w:rPr>
                          <w:rFonts w:asciiTheme="majorHAnsi" w:hAnsi="Calibri Light" w:cstheme="minorBidi"/>
                          <w:b/>
                          <w:bCs/>
                          <w:color w:val="000000" w:themeColor="text1" w:themeShade="80"/>
                          <w:kern w:val="24"/>
                          <w:sz w:val="28"/>
                        </w:rPr>
                        <w:t xml:space="preserve">Dodatečné </w:t>
                      </w:r>
                      <w:proofErr w:type="spellStart"/>
                      <w:r w:rsidRPr="00277BEE">
                        <w:rPr>
                          <w:rFonts w:asciiTheme="majorHAnsi" w:hAnsi="Calibri Light" w:cstheme="minorBidi"/>
                          <w:b/>
                          <w:bCs/>
                          <w:color w:val="000000" w:themeColor="text1" w:themeShade="80"/>
                          <w:kern w:val="24"/>
                          <w:sz w:val="28"/>
                        </w:rPr>
                        <w:t>VaV</w:t>
                      </w:r>
                      <w:proofErr w:type="spellEnd"/>
                      <w:r w:rsidRPr="00277BEE">
                        <w:rPr>
                          <w:rFonts w:asciiTheme="majorHAnsi" w:hAnsi="Calibri Light" w:cstheme="minorBidi"/>
                          <w:b/>
                          <w:bCs/>
                          <w:color w:val="000000" w:themeColor="text1" w:themeShade="80"/>
                          <w:kern w:val="24"/>
                          <w:sz w:val="28"/>
                        </w:rPr>
                        <w:t xml:space="preserve"> z 1 koruny podpory</w:t>
                      </w:r>
                    </w:p>
                  </w:txbxContent>
                </v:textbox>
              </v:shape>
            </w:pict>
          </mc:Fallback>
        </mc:AlternateContent>
      </w:r>
      <w:r w:rsidRPr="00250510">
        <w:rPr>
          <w:rFonts w:ascii="Calibri" w:eastAsia="Calibri" w:hAnsi="Calibri" w:cs="Calibri"/>
          <w:b/>
          <w:bCs/>
        </w:rPr>
        <w:t>Graf: Efektivita daňových odpočtů a přímé podpory podle zemí (Zdroj: OECD, 2020)</w:t>
      </w:r>
    </w:p>
    <w:p w14:paraId="54156898" w14:textId="5C46939F" w:rsidR="004A1DAE" w:rsidRPr="004A1DAE" w:rsidRDefault="003E7CE0" w:rsidP="003E7CE0">
      <w:pPr>
        <w:spacing w:line="276" w:lineRule="auto"/>
        <w:jc w:val="center"/>
        <w:rPr>
          <w:rFonts w:cstheme="minorHAnsi"/>
          <w:b/>
          <w:sz w:val="24"/>
        </w:rPr>
      </w:pPr>
      <w:r w:rsidRPr="003E7CE0">
        <w:rPr>
          <w:rFonts w:cstheme="minorHAnsi"/>
          <w:b/>
          <w:color w:val="2E74B5" w:themeColor="accent1" w:themeShade="BF"/>
          <w:sz w:val="24"/>
        </w:rPr>
        <w:t>|</w:t>
      </w:r>
      <w:r w:rsidRPr="003E7CE0">
        <w:rPr>
          <w:rFonts w:cstheme="minorHAnsi"/>
          <w:sz w:val="24"/>
        </w:rPr>
        <w:t xml:space="preserve">- daňové odpočty    </w:t>
      </w:r>
      <w:r w:rsidRPr="003E7CE0">
        <w:rPr>
          <w:rFonts w:cstheme="minorHAnsi"/>
          <w:b/>
          <w:color w:val="ED7D31" w:themeColor="accent2"/>
          <w:sz w:val="24"/>
        </w:rPr>
        <w:t>|</w:t>
      </w:r>
      <w:r w:rsidRPr="003E7CE0">
        <w:rPr>
          <w:rFonts w:cstheme="minorHAnsi"/>
          <w:sz w:val="24"/>
        </w:rPr>
        <w:t>-</w:t>
      </w:r>
      <w:r>
        <w:rPr>
          <w:rFonts w:cstheme="minorHAnsi"/>
          <w:b/>
          <w:sz w:val="24"/>
        </w:rPr>
        <w:t xml:space="preserve"> </w:t>
      </w:r>
      <w:r w:rsidRPr="003E7CE0">
        <w:rPr>
          <w:rFonts w:cstheme="minorHAnsi"/>
          <w:sz w:val="24"/>
        </w:rPr>
        <w:t>přímá podpora</w:t>
      </w:r>
    </w:p>
    <w:p w14:paraId="5383B578" w14:textId="22150F91" w:rsidR="00A6543A" w:rsidRDefault="00A6543A" w:rsidP="00A6543A">
      <w:pPr>
        <w:pStyle w:val="Odstavecseseznamem"/>
        <w:numPr>
          <w:ilvl w:val="0"/>
          <w:numId w:val="15"/>
        </w:numPr>
        <w:spacing w:line="276" w:lineRule="auto"/>
        <w:jc w:val="both"/>
        <w:rPr>
          <w:rFonts w:eastAsia="Times New Roman" w:cstheme="minorHAnsi"/>
          <w:sz w:val="24"/>
          <w:szCs w:val="24"/>
        </w:rPr>
      </w:pPr>
      <w:r w:rsidRPr="002832F8">
        <w:rPr>
          <w:rFonts w:eastAsia="Times New Roman" w:cstheme="minorHAnsi"/>
          <w:sz w:val="24"/>
          <w:szCs w:val="24"/>
        </w:rPr>
        <w:t xml:space="preserve">Daňové pobídky na </w:t>
      </w:r>
      <w:proofErr w:type="spellStart"/>
      <w:r w:rsidRPr="002832F8">
        <w:rPr>
          <w:rFonts w:eastAsia="Times New Roman" w:cstheme="minorHAnsi"/>
          <w:sz w:val="24"/>
          <w:szCs w:val="24"/>
        </w:rPr>
        <w:t>VaV</w:t>
      </w:r>
      <w:proofErr w:type="spellEnd"/>
      <w:r w:rsidRPr="002832F8">
        <w:rPr>
          <w:rFonts w:eastAsia="Times New Roman" w:cstheme="minorHAnsi"/>
          <w:sz w:val="24"/>
          <w:szCs w:val="24"/>
        </w:rPr>
        <w:t xml:space="preserve"> i přímá podpora</w:t>
      </w:r>
      <w:r w:rsidRPr="002832F8">
        <w:rPr>
          <w:rFonts w:eastAsia="Times New Roman" w:cstheme="minorHAnsi"/>
          <w:b/>
          <w:sz w:val="24"/>
          <w:szCs w:val="24"/>
        </w:rPr>
        <w:t xml:space="preserve"> účinně podporují investování do oblasti </w:t>
      </w:r>
      <w:proofErr w:type="spellStart"/>
      <w:r w:rsidRPr="002832F8">
        <w:rPr>
          <w:rFonts w:eastAsia="Times New Roman" w:cstheme="minorHAnsi"/>
          <w:b/>
          <w:sz w:val="24"/>
          <w:szCs w:val="24"/>
        </w:rPr>
        <w:t>VaV</w:t>
      </w:r>
      <w:proofErr w:type="spellEnd"/>
      <w:r w:rsidRPr="002832F8">
        <w:rPr>
          <w:rFonts w:eastAsia="Times New Roman" w:cstheme="minorHAnsi"/>
          <w:b/>
          <w:sz w:val="24"/>
          <w:szCs w:val="24"/>
        </w:rPr>
        <w:t xml:space="preserve"> v podnicích.</w:t>
      </w:r>
      <w:r w:rsidRPr="002832F8">
        <w:rPr>
          <w:rFonts w:eastAsia="Times New Roman" w:cstheme="minorHAnsi"/>
          <w:sz w:val="24"/>
          <w:szCs w:val="24"/>
        </w:rPr>
        <w:t xml:space="preserve"> </w:t>
      </w:r>
    </w:p>
    <w:p w14:paraId="53A6148D" w14:textId="77777777" w:rsidR="004A1DAE" w:rsidRPr="004A1DAE" w:rsidRDefault="004A1DAE" w:rsidP="004A1DAE">
      <w:pPr>
        <w:spacing w:line="276" w:lineRule="auto"/>
        <w:jc w:val="both"/>
        <w:rPr>
          <w:rFonts w:eastAsia="Times New Roman" w:cstheme="minorHAnsi"/>
          <w:sz w:val="24"/>
          <w:szCs w:val="24"/>
        </w:rPr>
      </w:pPr>
    </w:p>
    <w:p w14:paraId="4C34D10C" w14:textId="156780E2" w:rsidR="004A1DAE" w:rsidRPr="004A1DAE" w:rsidRDefault="004A1DAE" w:rsidP="004A1DAE">
      <w:pPr>
        <w:rPr>
          <w:rFonts w:ascii="Calibri" w:eastAsia="Calibri" w:hAnsi="Calibri" w:cs="Calibri"/>
          <w:b/>
          <w:bCs/>
          <w:color w:val="002060"/>
          <w:sz w:val="28"/>
        </w:rPr>
      </w:pPr>
      <w:r w:rsidRPr="006313C6">
        <w:rPr>
          <w:rFonts w:eastAsia="Calibri"/>
          <w:noProof/>
        </w:rPr>
        <mc:AlternateContent>
          <mc:Choice Requires="wps">
            <w:drawing>
              <wp:anchor distT="0" distB="0" distL="114300" distR="114300" simplePos="0" relativeHeight="251691008" behindDoc="1" locked="0" layoutInCell="1" allowOverlap="1" wp14:anchorId="5F84F50D" wp14:editId="2351709E">
                <wp:simplePos x="0" y="0"/>
                <wp:positionH relativeFrom="column">
                  <wp:posOffset>134036</wp:posOffset>
                </wp:positionH>
                <wp:positionV relativeFrom="paragraph">
                  <wp:posOffset>298475</wp:posOffset>
                </wp:positionV>
                <wp:extent cx="476250" cy="2282190"/>
                <wp:effectExtent l="0" t="0" r="0" b="0"/>
                <wp:wrapTight wrapText="bothSides">
                  <wp:wrapPolygon edited="0">
                    <wp:start x="0" y="0"/>
                    <wp:lineTo x="0" y="21600"/>
                    <wp:lineTo x="21600" y="21600"/>
                    <wp:lineTo x="21600" y="0"/>
                  </wp:wrapPolygon>
                </wp:wrapTight>
                <wp:docPr id="9" name="TextBox 8"/>
                <wp:cNvGraphicFramePr/>
                <a:graphic xmlns:a="http://schemas.openxmlformats.org/drawingml/2006/main">
                  <a:graphicData uri="http://schemas.microsoft.com/office/word/2010/wordprocessingShape">
                    <wps:wsp>
                      <wps:cNvSpPr txBox="1"/>
                      <wps:spPr>
                        <a:xfrm>
                          <a:off x="0" y="0"/>
                          <a:ext cx="476250" cy="2282190"/>
                        </a:xfrm>
                        <a:prstGeom prst="rect">
                          <a:avLst/>
                        </a:prstGeom>
                        <a:noFill/>
                      </wps:spPr>
                      <wps:txbx>
                        <w:txbxContent>
                          <w:p w14:paraId="206B374A" w14:textId="77777777" w:rsidR="00C62F38" w:rsidRPr="00277BEE" w:rsidRDefault="00C62F38" w:rsidP="004A1DAE">
                            <w:pPr>
                              <w:pStyle w:val="Normlnweb"/>
                              <w:spacing w:before="0" w:beforeAutospacing="0" w:after="0" w:afterAutospacing="0"/>
                              <w:rPr>
                                <w:sz w:val="18"/>
                              </w:rPr>
                            </w:pPr>
                            <w:r w:rsidRPr="00277BEE">
                              <w:rPr>
                                <w:rFonts w:asciiTheme="majorHAnsi" w:hAnsi="Calibri Light" w:cstheme="minorBidi"/>
                                <w:b/>
                                <w:bCs/>
                                <w:color w:val="000000" w:themeColor="text1" w:themeShade="80"/>
                                <w:kern w:val="24"/>
                                <w:szCs w:val="36"/>
                              </w:rPr>
                              <w:t xml:space="preserve">Dodatečné </w:t>
                            </w:r>
                            <w:proofErr w:type="spellStart"/>
                            <w:r w:rsidRPr="00277BEE">
                              <w:rPr>
                                <w:rFonts w:asciiTheme="majorHAnsi" w:hAnsi="Calibri Light" w:cstheme="minorBidi"/>
                                <w:b/>
                                <w:bCs/>
                                <w:color w:val="000000" w:themeColor="text1" w:themeShade="80"/>
                                <w:kern w:val="24"/>
                                <w:szCs w:val="36"/>
                              </w:rPr>
                              <w:t>VaV</w:t>
                            </w:r>
                            <w:proofErr w:type="spellEnd"/>
                            <w:r w:rsidRPr="00277BEE">
                              <w:rPr>
                                <w:rFonts w:asciiTheme="majorHAnsi" w:hAnsi="Calibri Light" w:cstheme="minorBidi"/>
                                <w:b/>
                                <w:bCs/>
                                <w:color w:val="000000" w:themeColor="text1" w:themeShade="80"/>
                                <w:kern w:val="24"/>
                                <w:szCs w:val="36"/>
                              </w:rPr>
                              <w:t xml:space="preserve"> z 1 koruny podpory</w:t>
                            </w:r>
                          </w:p>
                        </w:txbxContent>
                      </wps:txbx>
                      <wps:bodyPr vert="vert270" wrap="square" rtlCol="0">
                        <a:noAutofit/>
                      </wps:bodyPr>
                    </wps:wsp>
                  </a:graphicData>
                </a:graphic>
              </wp:anchor>
            </w:drawing>
          </mc:Choice>
          <mc:Fallback>
            <w:pict>
              <v:shape w14:anchorId="5F84F50D" id="TextBox 8" o:spid="_x0000_s1027" type="#_x0000_t202" style="position:absolute;margin-left:10.55pt;margin-top:23.5pt;width:37.5pt;height:179.7pt;z-index:-2516254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" filled="f" stroked="f">
                <v:textbox style="layout-flow:vertical;mso-layout-flow-alt:bottom-to-top">
                  <w:txbxContent>
                    <w:p w14:paraId="206B374A" w14:textId="77777777" w:rsidR="00C62F38" w:rsidRPr="00277BEE" w:rsidRDefault="00C62F38" w:rsidP="004A1DAE">
                      <w:pPr>
                        <w:pStyle w:val="Normlnweb"/>
                        <w:spacing w:before="0" w:beforeAutospacing="0" w:after="0" w:afterAutospacing="0"/>
                        <w:rPr>
                          <w:sz w:val="18"/>
                        </w:rPr>
                      </w:pPr>
                      <w:r w:rsidRPr="00277BEE">
                        <w:rPr>
                          <w:rFonts w:asciiTheme="majorHAnsi" w:hAnsi="Calibri Light" w:cstheme="minorBidi"/>
                          <w:b/>
                          <w:bCs/>
                          <w:color w:val="000000" w:themeColor="text1" w:themeShade="80"/>
                          <w:kern w:val="24"/>
                          <w:szCs w:val="36"/>
                        </w:rPr>
                        <w:t xml:space="preserve">Dodatečné </w:t>
                      </w:r>
                      <w:proofErr w:type="spellStart"/>
                      <w:r w:rsidRPr="00277BEE">
                        <w:rPr>
                          <w:rFonts w:asciiTheme="majorHAnsi" w:hAnsi="Calibri Light" w:cstheme="minorBidi"/>
                          <w:b/>
                          <w:bCs/>
                          <w:color w:val="000000" w:themeColor="text1" w:themeShade="80"/>
                          <w:kern w:val="24"/>
                          <w:szCs w:val="36"/>
                        </w:rPr>
                        <w:t>VaV</w:t>
                      </w:r>
                      <w:proofErr w:type="spellEnd"/>
                      <w:r w:rsidRPr="00277BEE">
                        <w:rPr>
                          <w:rFonts w:asciiTheme="majorHAnsi" w:hAnsi="Calibri Light" w:cstheme="minorBidi"/>
                          <w:b/>
                          <w:bCs/>
                          <w:color w:val="000000" w:themeColor="text1" w:themeShade="80"/>
                          <w:kern w:val="24"/>
                          <w:szCs w:val="36"/>
                        </w:rPr>
                        <w:t xml:space="preserve"> z 1 koruny podpory</w:t>
                      </w:r>
                    </w:p>
                  </w:txbxContent>
                </v:textbox>
                <w10:wrap type="tight"/>
              </v:shape>
            </w:pict>
          </mc:Fallback>
        </mc:AlternateContent>
      </w:r>
      <w:r w:rsidRPr="006313C6">
        <w:rPr>
          <w:rFonts w:eastAsia="Calibri"/>
          <w:noProof/>
        </w:rPr>
        <w:drawing>
          <wp:anchor distT="0" distB="0" distL="114300" distR="114300" simplePos="0" relativeHeight="251689984" behindDoc="0" locked="0" layoutInCell="1" allowOverlap="1" wp14:anchorId="1654B060" wp14:editId="0466610E">
            <wp:simplePos x="0" y="0"/>
            <wp:positionH relativeFrom="column">
              <wp:posOffset>627380</wp:posOffset>
            </wp:positionH>
            <wp:positionV relativeFrom="paragraph">
              <wp:posOffset>305156</wp:posOffset>
            </wp:positionV>
            <wp:extent cx="4276725" cy="2560955"/>
            <wp:effectExtent l="0" t="0" r="9525" b="0"/>
            <wp:wrapTopAndBottom/>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4276725" cy="2560955"/>
                    </a:xfrm>
                    <a:prstGeom prst="rect">
                      <a:avLst/>
                    </a:prstGeom>
                  </pic:spPr>
                </pic:pic>
              </a:graphicData>
            </a:graphic>
            <wp14:sizeRelH relativeFrom="margin">
              <wp14:pctWidth>0</wp14:pctWidth>
            </wp14:sizeRelH>
            <wp14:sizeRelV relativeFrom="margin">
              <wp14:pctHeight>0</wp14:pctHeight>
            </wp14:sizeRelV>
          </wp:anchor>
        </w:drawing>
      </w:r>
      <w:r w:rsidRPr="004A1DAE">
        <w:rPr>
          <w:rFonts w:ascii="Calibri" w:eastAsia="Calibri" w:hAnsi="Calibri" w:cs="Calibri"/>
          <w:b/>
          <w:bCs/>
        </w:rPr>
        <w:t xml:space="preserve">Graf: Efektivita daňových odpočtů v ČR podle úrovně firemního </w:t>
      </w:r>
      <w:proofErr w:type="spellStart"/>
      <w:r w:rsidRPr="004A1DAE">
        <w:rPr>
          <w:rFonts w:ascii="Calibri" w:eastAsia="Calibri" w:hAnsi="Calibri" w:cs="Calibri"/>
          <w:b/>
          <w:bCs/>
        </w:rPr>
        <w:t>VaV</w:t>
      </w:r>
      <w:proofErr w:type="spellEnd"/>
      <w:r w:rsidRPr="004A1DAE">
        <w:rPr>
          <w:rFonts w:ascii="Calibri" w:eastAsia="Calibri" w:hAnsi="Calibri" w:cs="Calibri"/>
          <w:b/>
          <w:bCs/>
        </w:rPr>
        <w:t xml:space="preserve"> (Zdroj: OECD, 2020)</w:t>
      </w:r>
    </w:p>
    <w:p w14:paraId="76C03562" w14:textId="1CB98D1E" w:rsidR="004A1DAE" w:rsidRPr="004A1DAE" w:rsidRDefault="004A1DAE" w:rsidP="004A1DAE">
      <w:pPr>
        <w:spacing w:line="240" w:lineRule="auto"/>
        <w:jc w:val="both"/>
        <w:rPr>
          <w:rFonts w:eastAsia="Times New Roman" w:cstheme="minorHAnsi"/>
          <w:sz w:val="24"/>
          <w:szCs w:val="24"/>
        </w:rPr>
      </w:pPr>
    </w:p>
    <w:p w14:paraId="3B6D0598" w14:textId="600101C9" w:rsidR="00BC0ED5" w:rsidRPr="00BC0ED5" w:rsidRDefault="00BC0ED5" w:rsidP="00C62F38">
      <w:pPr>
        <w:pStyle w:val="Odstavecseseznamem"/>
        <w:numPr>
          <w:ilvl w:val="0"/>
          <w:numId w:val="15"/>
        </w:numPr>
        <w:spacing w:line="240" w:lineRule="auto"/>
        <w:ind w:left="360"/>
        <w:jc w:val="both"/>
        <w:rPr>
          <w:rFonts w:eastAsia="Times New Roman" w:cstheme="minorHAnsi"/>
          <w:sz w:val="24"/>
          <w:szCs w:val="24"/>
        </w:rPr>
      </w:pPr>
      <w:r w:rsidRPr="00BC0ED5">
        <w:rPr>
          <w:rFonts w:eastAsia="Times New Roman" w:cstheme="minorHAnsi"/>
          <w:sz w:val="24"/>
          <w:szCs w:val="24"/>
        </w:rPr>
        <w:t xml:space="preserve">U firem s nižšími rozpočty na </w:t>
      </w:r>
      <w:proofErr w:type="spellStart"/>
      <w:r w:rsidRPr="00BC0ED5">
        <w:rPr>
          <w:rFonts w:eastAsia="Times New Roman" w:cstheme="minorHAnsi"/>
          <w:sz w:val="24"/>
          <w:szCs w:val="24"/>
        </w:rPr>
        <w:t>VaV</w:t>
      </w:r>
      <w:proofErr w:type="spellEnd"/>
      <w:r w:rsidRPr="00BC0ED5">
        <w:rPr>
          <w:rFonts w:eastAsia="Times New Roman" w:cstheme="minorHAnsi"/>
          <w:sz w:val="24"/>
          <w:szCs w:val="24"/>
        </w:rPr>
        <w:t xml:space="preserve"> </w:t>
      </w:r>
      <w:r>
        <w:rPr>
          <w:rFonts w:eastAsia="Times New Roman" w:cstheme="minorHAnsi"/>
          <w:sz w:val="24"/>
          <w:szCs w:val="24"/>
        </w:rPr>
        <w:t xml:space="preserve"> se projevuje </w:t>
      </w:r>
      <w:r w:rsidRPr="00BC0ED5">
        <w:rPr>
          <w:rFonts w:eastAsia="Times New Roman" w:cstheme="minorHAnsi"/>
          <w:sz w:val="24"/>
          <w:szCs w:val="24"/>
        </w:rPr>
        <w:t xml:space="preserve">vyšší účinnost odpočtů. 1 koruna snížených daní v ČR koresponduje s 1,5 korunami dodatečného </w:t>
      </w:r>
      <w:proofErr w:type="spellStart"/>
      <w:r w:rsidRPr="00BC0ED5">
        <w:rPr>
          <w:rFonts w:eastAsia="Times New Roman" w:cstheme="minorHAnsi"/>
          <w:sz w:val="24"/>
          <w:szCs w:val="24"/>
        </w:rPr>
        <w:t>VaV</w:t>
      </w:r>
      <w:proofErr w:type="spellEnd"/>
      <w:r>
        <w:rPr>
          <w:rFonts w:eastAsia="Times New Roman" w:cstheme="minorHAnsi"/>
          <w:sz w:val="24"/>
          <w:szCs w:val="24"/>
        </w:rPr>
        <w:t xml:space="preserve"> </w:t>
      </w:r>
      <w:r w:rsidRPr="00BC0ED5">
        <w:rPr>
          <w:rFonts w:eastAsia="Times New Roman" w:cstheme="minorHAnsi"/>
          <w:sz w:val="24"/>
          <w:szCs w:val="24"/>
        </w:rPr>
        <w:t xml:space="preserve">u firem s investicemi do </w:t>
      </w:r>
      <w:proofErr w:type="spellStart"/>
      <w:r w:rsidRPr="00BC0ED5">
        <w:rPr>
          <w:rFonts w:eastAsia="Times New Roman" w:cstheme="minorHAnsi"/>
          <w:sz w:val="24"/>
          <w:szCs w:val="24"/>
        </w:rPr>
        <w:t>VaV</w:t>
      </w:r>
      <w:proofErr w:type="spellEnd"/>
      <w:r w:rsidRPr="00BC0ED5">
        <w:rPr>
          <w:rFonts w:eastAsia="Times New Roman" w:cstheme="minorHAnsi"/>
          <w:sz w:val="24"/>
          <w:szCs w:val="24"/>
        </w:rPr>
        <w:t xml:space="preserve"> pod mediánem, ale jen 0,8 korunami u firem s </w:t>
      </w:r>
      <w:proofErr w:type="spellStart"/>
      <w:r w:rsidRPr="00BC0ED5">
        <w:rPr>
          <w:rFonts w:eastAsia="Times New Roman" w:cstheme="minorHAnsi"/>
          <w:sz w:val="24"/>
          <w:szCs w:val="24"/>
        </w:rPr>
        <w:t>VaV</w:t>
      </w:r>
      <w:proofErr w:type="spellEnd"/>
      <w:r w:rsidRPr="00BC0ED5">
        <w:rPr>
          <w:rFonts w:eastAsia="Times New Roman" w:cstheme="minorHAnsi"/>
          <w:sz w:val="24"/>
          <w:szCs w:val="24"/>
        </w:rPr>
        <w:t xml:space="preserve"> nad mediánovou</w:t>
      </w:r>
      <w:r>
        <w:rPr>
          <w:rFonts w:eastAsia="Times New Roman" w:cstheme="minorHAnsi"/>
          <w:sz w:val="24"/>
          <w:szCs w:val="24"/>
        </w:rPr>
        <w:t>.</w:t>
      </w:r>
    </w:p>
    <w:p w14:paraId="2ABAD460" w14:textId="607C65B1" w:rsidR="004A1DAE" w:rsidRDefault="00BC0ED5" w:rsidP="00BC0ED5">
      <w:pPr>
        <w:spacing w:line="240" w:lineRule="auto"/>
        <w:ind w:left="360"/>
        <w:jc w:val="both"/>
        <w:rPr>
          <w:rFonts w:ascii="Calibri" w:eastAsia="Calibri" w:hAnsi="Calibri" w:cs="Calibri"/>
          <w:b/>
          <w:bCs/>
          <w:sz w:val="24"/>
        </w:rPr>
      </w:pPr>
      <w:r w:rsidRPr="00BC0ED5">
        <w:rPr>
          <w:rFonts w:eastAsia="Times New Roman" w:cstheme="minorHAnsi"/>
          <w:sz w:val="24"/>
          <w:szCs w:val="24"/>
        </w:rPr>
        <w:lastRenderedPageBreak/>
        <w:t>úrovní</w:t>
      </w:r>
    </w:p>
    <w:p w14:paraId="4E8AB614" w14:textId="0C6B8BBD" w:rsidR="004A1DAE" w:rsidRPr="004A1DAE" w:rsidRDefault="004A1DAE" w:rsidP="004A1DAE">
      <w:pPr>
        <w:spacing w:line="240" w:lineRule="auto"/>
        <w:ind w:left="360"/>
        <w:jc w:val="both"/>
        <w:rPr>
          <w:rFonts w:ascii="Calibri" w:eastAsia="Calibri" w:hAnsi="Calibri" w:cs="Calibri"/>
          <w:b/>
          <w:bCs/>
          <w:sz w:val="24"/>
        </w:rPr>
      </w:pPr>
      <w:r w:rsidRPr="004A1DAE">
        <w:rPr>
          <w:rFonts w:ascii="Calibri" w:eastAsia="Calibri" w:hAnsi="Calibri" w:cs="Calibri"/>
          <w:b/>
          <w:bCs/>
          <w:sz w:val="24"/>
        </w:rPr>
        <w:t>Graf: Efektivita daňových odpočtů podle velikosti firmy napříč zeměmi (Zdroj: OECD, 2020)</w:t>
      </w:r>
    </w:p>
    <w:p w14:paraId="741AA8A7" w14:textId="02A5FFBE" w:rsidR="004A1DAE" w:rsidRPr="004A1DAE" w:rsidRDefault="00BC0ED5" w:rsidP="00BC0ED5">
      <w:pPr>
        <w:spacing w:line="276" w:lineRule="auto"/>
        <w:jc w:val="center"/>
        <w:rPr>
          <w:rFonts w:eastAsia="Times New Roman" w:cstheme="minorHAnsi"/>
          <w:b/>
          <w:sz w:val="24"/>
          <w:szCs w:val="24"/>
        </w:rPr>
      </w:pPr>
      <w:r>
        <w:rPr>
          <w:rFonts w:eastAsia="Times New Roman" w:cstheme="minorHAnsi"/>
          <w:b/>
          <w:noProof/>
          <w:sz w:val="24"/>
          <w:szCs w:val="24"/>
        </w:rPr>
        <w:drawing>
          <wp:inline distT="0" distB="0" distL="0" distR="0" wp14:anchorId="38D51401" wp14:editId="07941FDB">
            <wp:extent cx="5892622" cy="3930454"/>
            <wp:effectExtent l="0" t="0" r="0"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14524" cy="3945063"/>
                    </a:xfrm>
                    <a:prstGeom prst="rect">
                      <a:avLst/>
                    </a:prstGeom>
                    <a:noFill/>
                    <a:ln>
                      <a:noFill/>
                    </a:ln>
                  </pic:spPr>
                </pic:pic>
              </a:graphicData>
            </a:graphic>
          </wp:inline>
        </w:drawing>
      </w:r>
    </w:p>
    <w:p w14:paraId="04868DFD" w14:textId="1CEA23AB" w:rsidR="00250510" w:rsidRPr="002832F8" w:rsidRDefault="00250510" w:rsidP="00250510">
      <w:pPr>
        <w:pStyle w:val="Odstavecseseznamem"/>
        <w:numPr>
          <w:ilvl w:val="0"/>
          <w:numId w:val="15"/>
        </w:numPr>
        <w:spacing w:line="276" w:lineRule="auto"/>
        <w:jc w:val="both"/>
        <w:rPr>
          <w:rFonts w:eastAsia="Times New Roman" w:cstheme="minorHAnsi"/>
          <w:sz w:val="24"/>
          <w:szCs w:val="24"/>
        </w:rPr>
      </w:pPr>
      <w:r>
        <w:rPr>
          <w:rFonts w:eastAsia="Times New Roman" w:cstheme="minorHAnsi"/>
          <w:sz w:val="24"/>
          <w:szCs w:val="24"/>
        </w:rPr>
        <w:t>D</w:t>
      </w:r>
      <w:r w:rsidRPr="002832F8">
        <w:rPr>
          <w:rFonts w:eastAsia="Times New Roman" w:cstheme="minorHAnsi"/>
          <w:sz w:val="24"/>
          <w:szCs w:val="24"/>
        </w:rPr>
        <w:t>opad daňových pobídek pro</w:t>
      </w:r>
      <w:r>
        <w:rPr>
          <w:rFonts w:eastAsia="Times New Roman" w:cstheme="minorHAnsi"/>
          <w:sz w:val="24"/>
          <w:szCs w:val="24"/>
        </w:rPr>
        <w:t xml:space="preserve"> </w:t>
      </w:r>
      <w:proofErr w:type="spellStart"/>
      <w:r>
        <w:rPr>
          <w:rFonts w:eastAsia="Times New Roman" w:cstheme="minorHAnsi"/>
          <w:sz w:val="24"/>
          <w:szCs w:val="24"/>
        </w:rPr>
        <w:t>VaV</w:t>
      </w:r>
      <w:proofErr w:type="spellEnd"/>
      <w:r>
        <w:rPr>
          <w:rFonts w:eastAsia="Times New Roman" w:cstheme="minorHAnsi"/>
          <w:sz w:val="24"/>
          <w:szCs w:val="24"/>
        </w:rPr>
        <w:t xml:space="preserve"> klesá s velikostí </w:t>
      </w:r>
      <w:r w:rsidR="00BC0ED5">
        <w:rPr>
          <w:rFonts w:eastAsia="Times New Roman" w:cstheme="minorHAnsi"/>
          <w:sz w:val="24"/>
          <w:szCs w:val="24"/>
        </w:rPr>
        <w:t>podniků</w:t>
      </w:r>
      <w:r>
        <w:rPr>
          <w:rFonts w:eastAsia="Times New Roman" w:cstheme="minorHAnsi"/>
          <w:sz w:val="24"/>
          <w:szCs w:val="24"/>
        </w:rPr>
        <w:t>.</w:t>
      </w:r>
      <w:r w:rsidR="00BC0ED5">
        <w:rPr>
          <w:rFonts w:eastAsia="Times New Roman" w:cstheme="minorHAnsi"/>
          <w:sz w:val="24"/>
          <w:szCs w:val="24"/>
        </w:rPr>
        <w:t xml:space="preserve"> Z pohledu dodatečných výdajů firem odpovídá</w:t>
      </w:r>
      <w:r>
        <w:rPr>
          <w:rFonts w:eastAsia="Times New Roman" w:cstheme="minorHAnsi"/>
          <w:sz w:val="24"/>
          <w:szCs w:val="24"/>
        </w:rPr>
        <w:t xml:space="preserve"> 1 </w:t>
      </w:r>
      <w:r w:rsidRPr="002832F8">
        <w:rPr>
          <w:rFonts w:eastAsia="Times New Roman" w:cstheme="minorHAnsi"/>
          <w:sz w:val="24"/>
          <w:szCs w:val="24"/>
        </w:rPr>
        <w:t>EUR daňové podpory více než 1,4 EUR</w:t>
      </w:r>
      <w:r w:rsidR="00BC0ED5">
        <w:rPr>
          <w:rFonts w:eastAsia="Times New Roman" w:cstheme="minorHAnsi"/>
          <w:sz w:val="24"/>
          <w:szCs w:val="24"/>
        </w:rPr>
        <w:t xml:space="preserve"> dodatečných výdajů</w:t>
      </w:r>
      <w:r w:rsidRPr="002832F8">
        <w:rPr>
          <w:rFonts w:eastAsia="Times New Roman" w:cstheme="minorHAnsi"/>
          <w:sz w:val="24"/>
          <w:szCs w:val="24"/>
        </w:rPr>
        <w:t xml:space="preserve"> na výzkum a</w:t>
      </w:r>
      <w:r w:rsidR="00BC0ED5">
        <w:rPr>
          <w:rFonts w:eastAsia="Times New Roman" w:cstheme="minorHAnsi"/>
          <w:sz w:val="24"/>
          <w:szCs w:val="24"/>
        </w:rPr>
        <w:t> </w:t>
      </w:r>
      <w:r w:rsidRPr="002832F8">
        <w:rPr>
          <w:rFonts w:eastAsia="Times New Roman" w:cstheme="minorHAnsi"/>
          <w:sz w:val="24"/>
          <w:szCs w:val="24"/>
        </w:rPr>
        <w:t xml:space="preserve">vývoj </w:t>
      </w:r>
      <w:r w:rsidR="00BC0ED5">
        <w:rPr>
          <w:rFonts w:eastAsia="Times New Roman" w:cstheme="minorHAnsi"/>
          <w:sz w:val="24"/>
          <w:szCs w:val="24"/>
        </w:rPr>
        <w:t>u</w:t>
      </w:r>
      <w:r w:rsidRPr="002832F8">
        <w:rPr>
          <w:rFonts w:eastAsia="Times New Roman" w:cstheme="minorHAnsi"/>
          <w:sz w:val="24"/>
          <w:szCs w:val="24"/>
        </w:rPr>
        <w:t xml:space="preserve"> mal</w:t>
      </w:r>
      <w:r w:rsidR="00BC0ED5">
        <w:rPr>
          <w:rFonts w:eastAsia="Times New Roman" w:cstheme="minorHAnsi"/>
          <w:sz w:val="24"/>
          <w:szCs w:val="24"/>
        </w:rPr>
        <w:t>ých</w:t>
      </w:r>
      <w:r w:rsidRPr="002832F8">
        <w:rPr>
          <w:rFonts w:eastAsia="Times New Roman" w:cstheme="minorHAnsi"/>
          <w:sz w:val="24"/>
          <w:szCs w:val="24"/>
        </w:rPr>
        <w:t xml:space="preserve"> </w:t>
      </w:r>
      <w:r w:rsidR="00BC0ED5">
        <w:rPr>
          <w:rFonts w:eastAsia="Times New Roman" w:cstheme="minorHAnsi"/>
          <w:sz w:val="24"/>
          <w:szCs w:val="24"/>
        </w:rPr>
        <w:t>podniků</w:t>
      </w:r>
      <w:r w:rsidRPr="002832F8">
        <w:rPr>
          <w:rFonts w:eastAsia="Times New Roman" w:cstheme="minorHAnsi"/>
          <w:sz w:val="24"/>
          <w:szCs w:val="24"/>
        </w:rPr>
        <w:t xml:space="preserve"> (mén</w:t>
      </w:r>
      <w:r>
        <w:rPr>
          <w:rFonts w:eastAsia="Times New Roman" w:cstheme="minorHAnsi"/>
          <w:sz w:val="24"/>
          <w:szCs w:val="24"/>
        </w:rPr>
        <w:t>ě než 50 zaměstnanců), 1 EUR na </w:t>
      </w:r>
      <w:proofErr w:type="spellStart"/>
      <w:r w:rsidRPr="002832F8">
        <w:rPr>
          <w:rFonts w:eastAsia="Times New Roman" w:cstheme="minorHAnsi"/>
          <w:sz w:val="24"/>
          <w:szCs w:val="24"/>
        </w:rPr>
        <w:t>VaV</w:t>
      </w:r>
      <w:proofErr w:type="spellEnd"/>
      <w:r w:rsidRPr="002832F8">
        <w:rPr>
          <w:rFonts w:eastAsia="Times New Roman" w:cstheme="minorHAnsi"/>
          <w:sz w:val="24"/>
          <w:szCs w:val="24"/>
        </w:rPr>
        <w:t xml:space="preserve"> </w:t>
      </w:r>
      <w:r w:rsidR="00BC0ED5">
        <w:rPr>
          <w:rFonts w:eastAsia="Times New Roman" w:cstheme="minorHAnsi"/>
          <w:sz w:val="24"/>
          <w:szCs w:val="24"/>
        </w:rPr>
        <w:t>u středních</w:t>
      </w:r>
      <w:r w:rsidRPr="002832F8">
        <w:rPr>
          <w:rFonts w:eastAsia="Times New Roman" w:cstheme="minorHAnsi"/>
          <w:sz w:val="24"/>
          <w:szCs w:val="24"/>
        </w:rPr>
        <w:t xml:space="preserve"> podnik</w:t>
      </w:r>
      <w:r w:rsidR="00BC0ED5">
        <w:rPr>
          <w:rFonts w:eastAsia="Times New Roman" w:cstheme="minorHAnsi"/>
          <w:sz w:val="24"/>
          <w:szCs w:val="24"/>
        </w:rPr>
        <w:t>ů</w:t>
      </w:r>
      <w:r w:rsidRPr="002832F8">
        <w:rPr>
          <w:rFonts w:eastAsia="Times New Roman" w:cstheme="minorHAnsi"/>
          <w:sz w:val="24"/>
          <w:szCs w:val="24"/>
        </w:rPr>
        <w:t xml:space="preserve"> (50</w:t>
      </w:r>
      <w:r>
        <w:rPr>
          <w:rFonts w:eastAsia="Times New Roman" w:cstheme="minorHAnsi"/>
          <w:sz w:val="24"/>
          <w:szCs w:val="24"/>
        </w:rPr>
        <w:t xml:space="preserve">–249 zaměstnanců) a jen asi 0,4 EUR na </w:t>
      </w:r>
      <w:proofErr w:type="spellStart"/>
      <w:r>
        <w:rPr>
          <w:rFonts w:eastAsia="Times New Roman" w:cstheme="minorHAnsi"/>
          <w:sz w:val="24"/>
          <w:szCs w:val="24"/>
        </w:rPr>
        <w:t>VaV</w:t>
      </w:r>
      <w:proofErr w:type="spellEnd"/>
      <w:r>
        <w:rPr>
          <w:rFonts w:eastAsia="Times New Roman" w:cstheme="minorHAnsi"/>
          <w:sz w:val="24"/>
          <w:szCs w:val="24"/>
        </w:rPr>
        <w:t xml:space="preserve"> </w:t>
      </w:r>
      <w:r w:rsidR="00BC0ED5">
        <w:rPr>
          <w:rFonts w:eastAsia="Times New Roman" w:cstheme="minorHAnsi"/>
          <w:sz w:val="24"/>
          <w:szCs w:val="24"/>
        </w:rPr>
        <w:t>u</w:t>
      </w:r>
      <w:r>
        <w:rPr>
          <w:rFonts w:eastAsia="Times New Roman" w:cstheme="minorHAnsi"/>
          <w:sz w:val="24"/>
          <w:szCs w:val="24"/>
        </w:rPr>
        <w:t xml:space="preserve"> velk</w:t>
      </w:r>
      <w:r w:rsidR="00BC0ED5">
        <w:rPr>
          <w:rFonts w:eastAsia="Times New Roman" w:cstheme="minorHAnsi"/>
          <w:sz w:val="24"/>
          <w:szCs w:val="24"/>
        </w:rPr>
        <w:t>ých</w:t>
      </w:r>
      <w:r>
        <w:rPr>
          <w:rFonts w:eastAsia="Times New Roman" w:cstheme="minorHAnsi"/>
          <w:sz w:val="24"/>
          <w:szCs w:val="24"/>
        </w:rPr>
        <w:t xml:space="preserve"> </w:t>
      </w:r>
      <w:r w:rsidR="00BC0ED5">
        <w:rPr>
          <w:rFonts w:eastAsia="Times New Roman" w:cstheme="minorHAnsi"/>
          <w:sz w:val="24"/>
          <w:szCs w:val="24"/>
        </w:rPr>
        <w:t>podniků</w:t>
      </w:r>
      <w:r>
        <w:rPr>
          <w:rFonts w:eastAsia="Times New Roman" w:cstheme="minorHAnsi"/>
          <w:sz w:val="24"/>
          <w:szCs w:val="24"/>
        </w:rPr>
        <w:t xml:space="preserve"> (250 </w:t>
      </w:r>
      <w:r w:rsidRPr="002832F8">
        <w:rPr>
          <w:rFonts w:eastAsia="Times New Roman" w:cstheme="minorHAnsi"/>
          <w:sz w:val="24"/>
          <w:szCs w:val="24"/>
        </w:rPr>
        <w:t>zaměstnanců a více).</w:t>
      </w:r>
    </w:p>
    <w:p w14:paraId="132D3A7C" w14:textId="6FF1AC7F" w:rsidR="00A6543A" w:rsidRPr="00250510" w:rsidRDefault="00A6543A" w:rsidP="00A6543A">
      <w:pPr>
        <w:pStyle w:val="Odstavecseseznamem"/>
        <w:numPr>
          <w:ilvl w:val="0"/>
          <w:numId w:val="15"/>
        </w:numPr>
        <w:spacing w:line="276" w:lineRule="auto"/>
        <w:jc w:val="both"/>
        <w:rPr>
          <w:rFonts w:eastAsia="Times New Roman" w:cstheme="minorHAnsi"/>
          <w:sz w:val="24"/>
          <w:szCs w:val="24"/>
        </w:rPr>
      </w:pPr>
      <w:r w:rsidRPr="00250510">
        <w:rPr>
          <w:rFonts w:eastAsia="Times New Roman" w:cstheme="minorHAnsi"/>
          <w:sz w:val="24"/>
          <w:szCs w:val="24"/>
        </w:rPr>
        <w:t xml:space="preserve">Změny v politikách daňových pobídek na </w:t>
      </w:r>
      <w:proofErr w:type="spellStart"/>
      <w:r w:rsidRPr="00250510">
        <w:rPr>
          <w:rFonts w:eastAsia="Times New Roman" w:cstheme="minorHAnsi"/>
          <w:sz w:val="24"/>
          <w:szCs w:val="24"/>
        </w:rPr>
        <w:t>VaV</w:t>
      </w:r>
      <w:proofErr w:type="spellEnd"/>
      <w:r w:rsidRPr="00250510">
        <w:rPr>
          <w:rFonts w:eastAsia="Times New Roman" w:cstheme="minorHAnsi"/>
          <w:sz w:val="24"/>
          <w:szCs w:val="24"/>
        </w:rPr>
        <w:t>, které se zaměřují na menší firmy nebo zahrnují stropy či prahové hodnoty, mívají silnější dopady na p</w:t>
      </w:r>
      <w:r w:rsidR="00250510">
        <w:rPr>
          <w:rFonts w:eastAsia="Times New Roman" w:cstheme="minorHAnsi"/>
          <w:sz w:val="24"/>
          <w:szCs w:val="24"/>
        </w:rPr>
        <w:t>odnikové investice do výzkumu a </w:t>
      </w:r>
      <w:r w:rsidRPr="00250510">
        <w:rPr>
          <w:rFonts w:eastAsia="Times New Roman" w:cstheme="minorHAnsi"/>
          <w:sz w:val="24"/>
          <w:szCs w:val="24"/>
        </w:rPr>
        <w:t xml:space="preserve">vývoje, protože se zdá, že malé subjekty provádějící </w:t>
      </w:r>
      <w:proofErr w:type="spellStart"/>
      <w:r w:rsidRPr="00250510">
        <w:rPr>
          <w:rFonts w:eastAsia="Times New Roman" w:cstheme="minorHAnsi"/>
          <w:sz w:val="24"/>
          <w:szCs w:val="24"/>
        </w:rPr>
        <w:t>VaV</w:t>
      </w:r>
      <w:proofErr w:type="spellEnd"/>
      <w:r w:rsidRPr="00250510">
        <w:rPr>
          <w:rFonts w:eastAsia="Times New Roman" w:cstheme="minorHAnsi"/>
          <w:sz w:val="24"/>
          <w:szCs w:val="24"/>
        </w:rPr>
        <w:t xml:space="preserve"> reagují lépe než větší firmy na dostupnost daňových dotací na </w:t>
      </w:r>
      <w:proofErr w:type="spellStart"/>
      <w:r w:rsidRPr="00250510">
        <w:rPr>
          <w:rFonts w:eastAsia="Times New Roman" w:cstheme="minorHAnsi"/>
          <w:sz w:val="24"/>
          <w:szCs w:val="24"/>
        </w:rPr>
        <w:t>VaV</w:t>
      </w:r>
      <w:proofErr w:type="spellEnd"/>
      <w:r w:rsidRPr="00250510">
        <w:rPr>
          <w:rFonts w:eastAsia="Times New Roman" w:cstheme="minorHAnsi"/>
          <w:sz w:val="24"/>
          <w:szCs w:val="24"/>
        </w:rPr>
        <w:t>.</w:t>
      </w:r>
    </w:p>
    <w:p w14:paraId="64B725C1" w14:textId="1BCFF3A0" w:rsidR="005C2A63" w:rsidRDefault="00A6543A" w:rsidP="005C2A63">
      <w:pPr>
        <w:pStyle w:val="Odstavecseseznamem"/>
        <w:numPr>
          <w:ilvl w:val="0"/>
          <w:numId w:val="14"/>
        </w:numPr>
        <w:spacing w:line="276" w:lineRule="auto"/>
        <w:jc w:val="both"/>
        <w:rPr>
          <w:rFonts w:eastAsia="Times New Roman" w:cstheme="minorHAnsi"/>
          <w:sz w:val="24"/>
          <w:szCs w:val="24"/>
        </w:rPr>
      </w:pPr>
      <w:r w:rsidRPr="002832F8">
        <w:rPr>
          <w:rFonts w:eastAsia="Times New Roman" w:cstheme="minorHAnsi"/>
          <w:sz w:val="24"/>
          <w:szCs w:val="24"/>
        </w:rPr>
        <w:t xml:space="preserve">Dále viz </w:t>
      </w:r>
      <w:r w:rsidR="004A1DAE">
        <w:rPr>
          <w:rFonts w:eastAsia="Times New Roman" w:cstheme="minorHAnsi"/>
          <w:sz w:val="24"/>
          <w:szCs w:val="24"/>
        </w:rPr>
        <w:t xml:space="preserve">příloha </w:t>
      </w:r>
      <w:r w:rsidRPr="002832F8">
        <w:rPr>
          <w:rFonts w:eastAsia="Times New Roman" w:cstheme="minorHAnsi"/>
          <w:sz w:val="24"/>
          <w:szCs w:val="24"/>
        </w:rPr>
        <w:t xml:space="preserve">Efektivnost daňových pobídek pro </w:t>
      </w:r>
      <w:proofErr w:type="spellStart"/>
      <w:r w:rsidRPr="002832F8">
        <w:rPr>
          <w:rFonts w:eastAsia="Times New Roman" w:cstheme="minorHAnsi"/>
          <w:sz w:val="24"/>
          <w:szCs w:val="24"/>
        </w:rPr>
        <w:t>VaV_OECD</w:t>
      </w:r>
      <w:proofErr w:type="spellEnd"/>
      <w:r w:rsidRPr="002832F8">
        <w:rPr>
          <w:rFonts w:eastAsia="Times New Roman" w:cstheme="minorHAnsi"/>
          <w:sz w:val="24"/>
          <w:szCs w:val="24"/>
        </w:rPr>
        <w:t xml:space="preserve"> a </w:t>
      </w:r>
      <w:r w:rsidR="004A1DAE">
        <w:rPr>
          <w:rFonts w:eastAsia="Times New Roman" w:cstheme="minorHAnsi"/>
          <w:sz w:val="24"/>
          <w:szCs w:val="24"/>
        </w:rPr>
        <w:t xml:space="preserve">příloha </w:t>
      </w:r>
      <w:r w:rsidRPr="002832F8">
        <w:rPr>
          <w:rFonts w:eastAsia="Times New Roman" w:cstheme="minorHAnsi"/>
          <w:sz w:val="24"/>
          <w:szCs w:val="24"/>
        </w:rPr>
        <w:t xml:space="preserve">Daňové odpočty </w:t>
      </w:r>
      <w:proofErr w:type="spellStart"/>
      <w:r w:rsidRPr="002832F8">
        <w:rPr>
          <w:rFonts w:eastAsia="Times New Roman" w:cstheme="minorHAnsi"/>
          <w:sz w:val="24"/>
          <w:szCs w:val="24"/>
        </w:rPr>
        <w:t>brožura_CERGE</w:t>
      </w:r>
      <w:proofErr w:type="spellEnd"/>
      <w:r w:rsidRPr="002832F8">
        <w:rPr>
          <w:rFonts w:eastAsia="Times New Roman" w:cstheme="minorHAnsi"/>
          <w:sz w:val="24"/>
          <w:szCs w:val="24"/>
        </w:rPr>
        <w:t>-EI</w:t>
      </w:r>
    </w:p>
    <w:p w14:paraId="142559B1" w14:textId="2BC3BE17" w:rsidR="00B90CC0" w:rsidRPr="005C2A63" w:rsidRDefault="005C2A63" w:rsidP="005C2A63">
      <w:pPr>
        <w:rPr>
          <w:rFonts w:eastAsia="Times New Roman" w:cstheme="minorHAnsi"/>
          <w:sz w:val="24"/>
          <w:szCs w:val="24"/>
        </w:rPr>
      </w:pPr>
      <w:r>
        <w:rPr>
          <w:rFonts w:eastAsia="Times New Roman" w:cstheme="minorHAnsi"/>
          <w:sz w:val="24"/>
          <w:szCs w:val="24"/>
        </w:rPr>
        <w:br w:type="page"/>
      </w:r>
    </w:p>
    <w:p w14:paraId="6763B7B1" w14:textId="5273A76E" w:rsidR="00DD5CBC" w:rsidRPr="006A7703" w:rsidRDefault="00DD5CBC" w:rsidP="00DD5CBC">
      <w:pPr>
        <w:pStyle w:val="Nadpis1"/>
        <w:numPr>
          <w:ilvl w:val="0"/>
          <w:numId w:val="25"/>
        </w:numPr>
        <w:spacing w:before="0"/>
        <w:ind w:left="284" w:hanging="284"/>
        <w:rPr>
          <w:rFonts w:eastAsia="Calibri"/>
          <w:b/>
          <w:szCs w:val="40"/>
        </w:rPr>
      </w:pPr>
      <w:r>
        <w:rPr>
          <w:rFonts w:eastAsia="Calibri"/>
          <w:b/>
          <w:szCs w:val="40"/>
        </w:rPr>
        <w:lastRenderedPageBreak/>
        <w:t xml:space="preserve"> </w:t>
      </w:r>
      <w:r w:rsidRPr="00E52E86">
        <w:rPr>
          <w:rFonts w:eastAsia="Calibri"/>
          <w:b/>
          <w:szCs w:val="40"/>
        </w:rPr>
        <w:t xml:space="preserve">Kontrola daňových odpočtů na výzkum a vývoj </w:t>
      </w:r>
      <w:r>
        <w:rPr>
          <w:rFonts w:eastAsia="Calibri"/>
          <w:b/>
          <w:szCs w:val="40"/>
        </w:rPr>
        <w:t>ve</w:t>
      </w:r>
      <w:r w:rsidRPr="00E52E86">
        <w:rPr>
          <w:rFonts w:eastAsia="Calibri"/>
          <w:b/>
          <w:szCs w:val="40"/>
        </w:rPr>
        <w:t xml:space="preserve"> </w:t>
      </w:r>
      <w:r>
        <w:rPr>
          <w:rFonts w:eastAsia="Calibri"/>
          <w:b/>
          <w:szCs w:val="40"/>
        </w:rPr>
        <w:t>vybraných zahraničních zemích</w:t>
      </w:r>
    </w:p>
    <w:p w14:paraId="2EA9A0FD" w14:textId="77777777" w:rsidR="00656F3D" w:rsidRDefault="00656F3D" w:rsidP="00656F3D">
      <w:pPr>
        <w:ind w:left="142"/>
        <w:jc w:val="both"/>
        <w:rPr>
          <w:sz w:val="24"/>
          <w:szCs w:val="24"/>
        </w:rPr>
      </w:pPr>
    </w:p>
    <w:p w14:paraId="12BEB545" w14:textId="02C0848C" w:rsidR="00DD5CBC" w:rsidRPr="00656F3D" w:rsidRDefault="00656F3D" w:rsidP="00656F3D">
      <w:pPr>
        <w:ind w:left="142"/>
        <w:jc w:val="both"/>
        <w:rPr>
          <w:sz w:val="24"/>
          <w:szCs w:val="24"/>
        </w:rPr>
      </w:pPr>
      <w:r w:rsidRPr="00656F3D">
        <w:rPr>
          <w:sz w:val="24"/>
          <w:szCs w:val="24"/>
        </w:rPr>
        <w:t xml:space="preserve">Jelikož je samotná kontrola daňových odpočtů na </w:t>
      </w:r>
      <w:proofErr w:type="spellStart"/>
      <w:r w:rsidRPr="00656F3D">
        <w:rPr>
          <w:sz w:val="24"/>
          <w:szCs w:val="24"/>
        </w:rPr>
        <w:t>VaV</w:t>
      </w:r>
      <w:proofErr w:type="spellEnd"/>
      <w:r w:rsidRPr="00656F3D">
        <w:rPr>
          <w:sz w:val="24"/>
          <w:szCs w:val="24"/>
        </w:rPr>
        <w:t xml:space="preserve"> jedním ze stěžejních diskutovaných bodů v rámci PSDO 2022, byla provedena rešerše vybraných zemí. Problematické body systému kontroly daňových odpočtů na </w:t>
      </w:r>
      <w:proofErr w:type="spellStart"/>
      <w:r w:rsidRPr="00656F3D">
        <w:rPr>
          <w:sz w:val="24"/>
          <w:szCs w:val="24"/>
        </w:rPr>
        <w:t>VaV</w:t>
      </w:r>
      <w:proofErr w:type="spellEnd"/>
      <w:r w:rsidRPr="00656F3D">
        <w:rPr>
          <w:sz w:val="24"/>
          <w:szCs w:val="24"/>
        </w:rPr>
        <w:t xml:space="preserve"> v ČR jsou součástí další kapitoly.</w:t>
      </w:r>
    </w:p>
    <w:p w14:paraId="6EF486C4" w14:textId="79A70D46" w:rsidR="00DD5CBC" w:rsidRDefault="00DD5CBC" w:rsidP="00DD5CBC">
      <w:pPr>
        <w:ind w:left="567" w:hanging="141"/>
        <w:rPr>
          <w:rFonts w:ascii="Calibri" w:eastAsia="Calibri" w:hAnsi="Calibri" w:cs="Calibri"/>
          <w:b/>
          <w:bCs/>
          <w:color w:val="002060"/>
          <w:sz w:val="28"/>
        </w:rPr>
      </w:pPr>
      <w:r w:rsidRPr="000A2A76">
        <w:rPr>
          <w:rFonts w:ascii="Calibri" w:eastAsia="Calibri" w:hAnsi="Calibri" w:cs="Calibri"/>
          <w:b/>
          <w:bCs/>
          <w:color w:val="002060"/>
          <w:sz w:val="28"/>
        </w:rPr>
        <w:t>RAKOUSKO</w:t>
      </w:r>
    </w:p>
    <w:p w14:paraId="35E300BE" w14:textId="30FEB45E" w:rsidR="00DD5CBC" w:rsidRPr="000A2A76" w:rsidRDefault="00DD5CBC" w:rsidP="00DD5CBC">
      <w:pPr>
        <w:pStyle w:val="Odstavecseseznamem"/>
        <w:numPr>
          <w:ilvl w:val="0"/>
          <w:numId w:val="11"/>
        </w:numPr>
        <w:spacing w:line="276" w:lineRule="auto"/>
        <w:jc w:val="both"/>
        <w:rPr>
          <w:sz w:val="24"/>
          <w:szCs w:val="24"/>
        </w:rPr>
      </w:pPr>
      <w:r w:rsidRPr="000A2A76">
        <w:rPr>
          <w:sz w:val="24"/>
          <w:szCs w:val="24"/>
        </w:rPr>
        <w:t xml:space="preserve">V Rakousku je daňový odpočet na </w:t>
      </w:r>
      <w:proofErr w:type="spellStart"/>
      <w:r w:rsidRPr="000A2A76">
        <w:rPr>
          <w:sz w:val="24"/>
          <w:szCs w:val="24"/>
        </w:rPr>
        <w:t>VaV</w:t>
      </w:r>
      <w:proofErr w:type="spellEnd"/>
      <w:r w:rsidR="00656F3D">
        <w:rPr>
          <w:sz w:val="24"/>
          <w:szCs w:val="24"/>
        </w:rPr>
        <w:t xml:space="preserve"> </w:t>
      </w:r>
      <w:r w:rsidRPr="000A2A76">
        <w:rPr>
          <w:sz w:val="24"/>
          <w:szCs w:val="24"/>
        </w:rPr>
        <w:t xml:space="preserve">(přesněji </w:t>
      </w:r>
      <w:proofErr w:type="spellStart"/>
      <w:r w:rsidRPr="000A2A76">
        <w:rPr>
          <w:sz w:val="24"/>
          <w:szCs w:val="24"/>
        </w:rPr>
        <w:t>VaV</w:t>
      </w:r>
      <w:proofErr w:type="spellEnd"/>
      <w:r w:rsidR="00656F3D">
        <w:rPr>
          <w:sz w:val="24"/>
          <w:szCs w:val="24"/>
        </w:rPr>
        <w:t xml:space="preserve"> </w:t>
      </w:r>
      <w:r w:rsidRPr="000A2A76">
        <w:rPr>
          <w:sz w:val="24"/>
          <w:szCs w:val="24"/>
        </w:rPr>
        <w:t>daňový kredit) kontrolován rakouským finančním úřadem</w:t>
      </w:r>
    </w:p>
    <w:p w14:paraId="60A05675" w14:textId="77777777" w:rsidR="00DD5CBC" w:rsidRPr="000A2A76" w:rsidRDefault="00DD5CBC" w:rsidP="00DD5CBC">
      <w:pPr>
        <w:pStyle w:val="Odstavecseseznamem"/>
        <w:numPr>
          <w:ilvl w:val="0"/>
          <w:numId w:val="11"/>
        </w:numPr>
        <w:spacing w:line="276" w:lineRule="auto"/>
        <w:jc w:val="both"/>
        <w:rPr>
          <w:sz w:val="24"/>
          <w:szCs w:val="24"/>
        </w:rPr>
      </w:pPr>
      <w:r w:rsidRPr="000A2A76">
        <w:rPr>
          <w:sz w:val="24"/>
          <w:szCs w:val="24"/>
        </w:rPr>
        <w:t xml:space="preserve">Pro přiznání odpočtu je nezbytné v prvním kroku zajistit schválení technické dokumentace (max. 3000 znaků) od </w:t>
      </w:r>
      <w:proofErr w:type="spellStart"/>
      <w:r w:rsidRPr="000A2A76">
        <w:rPr>
          <w:sz w:val="24"/>
          <w:szCs w:val="24"/>
        </w:rPr>
        <w:t>AustrianReasearchPromotionAgency</w:t>
      </w:r>
      <w:proofErr w:type="spellEnd"/>
    </w:p>
    <w:p w14:paraId="0221B3C1" w14:textId="6C5D4B46" w:rsidR="00DD5CBC" w:rsidRPr="000A2A76" w:rsidRDefault="00DD5CBC" w:rsidP="00DD5CBC">
      <w:pPr>
        <w:pStyle w:val="Odstavecseseznamem"/>
        <w:numPr>
          <w:ilvl w:val="0"/>
          <w:numId w:val="11"/>
        </w:numPr>
        <w:spacing w:line="276" w:lineRule="auto"/>
        <w:jc w:val="both"/>
        <w:rPr>
          <w:sz w:val="24"/>
          <w:szCs w:val="24"/>
        </w:rPr>
      </w:pPr>
      <w:r w:rsidRPr="000A2A76">
        <w:rPr>
          <w:sz w:val="24"/>
          <w:szCs w:val="24"/>
        </w:rPr>
        <w:t xml:space="preserve">Kontrola </w:t>
      </w:r>
      <w:proofErr w:type="spellStart"/>
      <w:r w:rsidRPr="000A2A76">
        <w:rPr>
          <w:sz w:val="24"/>
          <w:szCs w:val="24"/>
        </w:rPr>
        <w:t>VaV</w:t>
      </w:r>
      <w:proofErr w:type="spellEnd"/>
      <w:r w:rsidR="00656F3D">
        <w:rPr>
          <w:sz w:val="24"/>
          <w:szCs w:val="24"/>
        </w:rPr>
        <w:t xml:space="preserve"> </w:t>
      </w:r>
      <w:r w:rsidRPr="000A2A76">
        <w:rPr>
          <w:sz w:val="24"/>
          <w:szCs w:val="24"/>
        </w:rPr>
        <w:t>odpočtu probíhá zpravidla v rámci běžné kontroly daně z příjmů</w:t>
      </w:r>
    </w:p>
    <w:p w14:paraId="61F9A025" w14:textId="36C2B2BD" w:rsidR="00DD5CBC" w:rsidRPr="000A2A76" w:rsidRDefault="00DD5CBC" w:rsidP="00DD5CBC">
      <w:pPr>
        <w:pStyle w:val="Odstavecseseznamem"/>
        <w:numPr>
          <w:ilvl w:val="0"/>
          <w:numId w:val="11"/>
        </w:numPr>
        <w:spacing w:line="276" w:lineRule="auto"/>
        <w:jc w:val="both"/>
        <w:rPr>
          <w:sz w:val="24"/>
          <w:szCs w:val="24"/>
        </w:rPr>
      </w:pPr>
      <w:r w:rsidRPr="000A2A76">
        <w:rPr>
          <w:sz w:val="24"/>
          <w:szCs w:val="24"/>
        </w:rPr>
        <w:t>Rakouské finanční úřady se zaměřují na kontrolu nákladů a podpůrné dokumentace</w:t>
      </w:r>
      <w:r w:rsidR="00250510">
        <w:rPr>
          <w:sz w:val="24"/>
          <w:szCs w:val="24"/>
        </w:rPr>
        <w:t>. V </w:t>
      </w:r>
      <w:r w:rsidRPr="000A2A76">
        <w:rPr>
          <w:sz w:val="24"/>
          <w:szCs w:val="24"/>
        </w:rPr>
        <w:t xml:space="preserve">případě, že má FÚ pochybnosti o samotném </w:t>
      </w:r>
      <w:proofErr w:type="spellStart"/>
      <w:r w:rsidRPr="000A2A76">
        <w:rPr>
          <w:sz w:val="24"/>
          <w:szCs w:val="24"/>
        </w:rPr>
        <w:t>VaV</w:t>
      </w:r>
      <w:proofErr w:type="spellEnd"/>
      <w:r w:rsidR="00656F3D">
        <w:rPr>
          <w:sz w:val="24"/>
          <w:szCs w:val="24"/>
        </w:rPr>
        <w:t xml:space="preserve"> </w:t>
      </w:r>
      <w:r w:rsidRPr="000A2A76">
        <w:rPr>
          <w:sz w:val="24"/>
          <w:szCs w:val="24"/>
        </w:rPr>
        <w:t xml:space="preserve">požádá o znalecké posouzení </w:t>
      </w:r>
      <w:proofErr w:type="spellStart"/>
      <w:r w:rsidRPr="000A2A76">
        <w:rPr>
          <w:sz w:val="24"/>
          <w:szCs w:val="24"/>
        </w:rPr>
        <w:t>AustrianReasearchPromotionAgency</w:t>
      </w:r>
      <w:proofErr w:type="spellEnd"/>
      <w:r w:rsidRPr="000A2A76">
        <w:rPr>
          <w:sz w:val="24"/>
          <w:szCs w:val="24"/>
        </w:rPr>
        <w:t>.</w:t>
      </w:r>
    </w:p>
    <w:p w14:paraId="40818BA7" w14:textId="77777777" w:rsidR="00DD5CBC" w:rsidRPr="000A2A76" w:rsidRDefault="00DD5CBC" w:rsidP="00DD5CBC">
      <w:pPr>
        <w:pStyle w:val="Odstavecseseznamem"/>
        <w:numPr>
          <w:ilvl w:val="0"/>
          <w:numId w:val="11"/>
        </w:numPr>
        <w:spacing w:line="276" w:lineRule="auto"/>
        <w:jc w:val="both"/>
        <w:rPr>
          <w:sz w:val="24"/>
          <w:szCs w:val="24"/>
        </w:rPr>
      </w:pPr>
      <w:r w:rsidRPr="000A2A76">
        <w:rPr>
          <w:sz w:val="24"/>
          <w:szCs w:val="24"/>
        </w:rPr>
        <w:t>V rámci kontroly rakouské FÚ revidují:</w:t>
      </w:r>
    </w:p>
    <w:p w14:paraId="44D758D7" w14:textId="77777777" w:rsidR="00DD5CBC" w:rsidRPr="000A2A76" w:rsidRDefault="00DD5CBC" w:rsidP="00DD5CBC">
      <w:pPr>
        <w:pStyle w:val="Odstavecseseznamem"/>
        <w:numPr>
          <w:ilvl w:val="1"/>
          <w:numId w:val="11"/>
        </w:numPr>
        <w:spacing w:line="276" w:lineRule="auto"/>
        <w:jc w:val="both"/>
        <w:rPr>
          <w:sz w:val="24"/>
          <w:szCs w:val="24"/>
        </w:rPr>
      </w:pPr>
      <w:r w:rsidRPr="000A2A76">
        <w:rPr>
          <w:sz w:val="24"/>
          <w:szCs w:val="24"/>
        </w:rPr>
        <w:t>Výpočet nákladové základny</w:t>
      </w:r>
    </w:p>
    <w:p w14:paraId="1477FB69" w14:textId="77777777" w:rsidR="00DD5CBC" w:rsidRPr="000A2A76" w:rsidRDefault="00DD5CBC" w:rsidP="00DD5CBC">
      <w:pPr>
        <w:pStyle w:val="Odstavecseseznamem"/>
        <w:numPr>
          <w:ilvl w:val="1"/>
          <w:numId w:val="11"/>
        </w:numPr>
        <w:spacing w:line="276" w:lineRule="auto"/>
        <w:jc w:val="both"/>
        <w:rPr>
          <w:sz w:val="24"/>
          <w:szCs w:val="24"/>
        </w:rPr>
      </w:pPr>
      <w:r w:rsidRPr="000A2A76">
        <w:rPr>
          <w:sz w:val="24"/>
          <w:szCs w:val="24"/>
        </w:rPr>
        <w:t>Podpůrné dokumenty související s nárokovanými náklady</w:t>
      </w:r>
    </w:p>
    <w:p w14:paraId="59F4B3AD" w14:textId="77777777" w:rsidR="00DD5CBC" w:rsidRDefault="00DD5CBC" w:rsidP="00DD5CBC">
      <w:pPr>
        <w:pStyle w:val="Odstavecseseznamem"/>
        <w:numPr>
          <w:ilvl w:val="1"/>
          <w:numId w:val="11"/>
        </w:numPr>
        <w:spacing w:line="276" w:lineRule="auto"/>
        <w:jc w:val="both"/>
        <w:rPr>
          <w:sz w:val="24"/>
          <w:szCs w:val="24"/>
        </w:rPr>
      </w:pPr>
      <w:r w:rsidRPr="000A2A76">
        <w:rPr>
          <w:sz w:val="24"/>
          <w:szCs w:val="24"/>
        </w:rPr>
        <w:t xml:space="preserve">Technické zázemí projektů </w:t>
      </w:r>
      <w:proofErr w:type="spellStart"/>
      <w:r w:rsidRPr="000A2A76">
        <w:rPr>
          <w:sz w:val="24"/>
          <w:szCs w:val="24"/>
        </w:rPr>
        <w:t>VaV</w:t>
      </w:r>
      <w:proofErr w:type="spellEnd"/>
    </w:p>
    <w:p w14:paraId="1B9DC718" w14:textId="77777777" w:rsidR="00DD5CBC" w:rsidRDefault="00DD5CBC" w:rsidP="00DD5CBC">
      <w:pPr>
        <w:pStyle w:val="Odstavecseseznamem"/>
        <w:numPr>
          <w:ilvl w:val="1"/>
          <w:numId w:val="11"/>
        </w:numPr>
        <w:spacing w:line="276" w:lineRule="auto"/>
        <w:jc w:val="both"/>
        <w:rPr>
          <w:sz w:val="24"/>
          <w:szCs w:val="24"/>
        </w:rPr>
      </w:pPr>
      <w:r w:rsidRPr="000A2A76">
        <w:rPr>
          <w:sz w:val="24"/>
          <w:szCs w:val="24"/>
        </w:rPr>
        <w:t>V případě pochybností je vyžadován velmi detailní popis projektu, který je obsáhlejší než původní schvalovaná dokumentace</w:t>
      </w:r>
    </w:p>
    <w:p w14:paraId="778AE4F4" w14:textId="77777777" w:rsidR="00DD5CBC" w:rsidRPr="00ED3E84" w:rsidRDefault="00DD5CBC" w:rsidP="00DD5CBC"/>
    <w:p w14:paraId="267E54CF" w14:textId="77777777" w:rsidR="00DD5CBC" w:rsidRPr="00ED3E84" w:rsidRDefault="00DD5CBC" w:rsidP="00DD5CBC">
      <w:pPr>
        <w:ind w:left="567" w:hanging="141"/>
        <w:rPr>
          <w:rFonts w:ascii="Calibri" w:eastAsia="Calibri" w:hAnsi="Calibri" w:cs="Calibri"/>
          <w:b/>
          <w:bCs/>
          <w:color w:val="002060"/>
          <w:sz w:val="28"/>
        </w:rPr>
      </w:pPr>
      <w:r w:rsidRPr="00ED3E84">
        <w:rPr>
          <w:rFonts w:ascii="Calibri" w:eastAsia="Calibri" w:hAnsi="Calibri" w:cs="Calibri"/>
          <w:b/>
          <w:bCs/>
          <w:color w:val="002060"/>
          <w:sz w:val="28"/>
        </w:rPr>
        <w:t>POLSKO</w:t>
      </w:r>
    </w:p>
    <w:p w14:paraId="57885FE4" w14:textId="77777777" w:rsidR="00DD5CBC" w:rsidRPr="00ED3E84" w:rsidRDefault="00DD5CBC" w:rsidP="00250510">
      <w:pPr>
        <w:pStyle w:val="Odstavecseseznamem"/>
        <w:numPr>
          <w:ilvl w:val="0"/>
          <w:numId w:val="11"/>
        </w:numPr>
        <w:spacing w:line="240" w:lineRule="auto"/>
        <w:rPr>
          <w:sz w:val="24"/>
          <w:szCs w:val="24"/>
        </w:rPr>
      </w:pPr>
      <w:r w:rsidRPr="00ED3E84">
        <w:rPr>
          <w:sz w:val="24"/>
          <w:szCs w:val="24"/>
        </w:rPr>
        <w:t>Kontrolu provádí finanční úřad</w:t>
      </w:r>
    </w:p>
    <w:p w14:paraId="25D38DBD" w14:textId="4374012D" w:rsidR="00DD5CBC" w:rsidRPr="00ED3E84" w:rsidRDefault="00DD5CBC" w:rsidP="00250510">
      <w:pPr>
        <w:pStyle w:val="Odstavecseseznamem"/>
        <w:numPr>
          <w:ilvl w:val="0"/>
          <w:numId w:val="11"/>
        </w:numPr>
        <w:spacing w:line="240" w:lineRule="auto"/>
        <w:rPr>
          <w:sz w:val="24"/>
          <w:szCs w:val="24"/>
        </w:rPr>
      </w:pPr>
      <w:r w:rsidRPr="00ED3E84">
        <w:rPr>
          <w:sz w:val="24"/>
          <w:szCs w:val="24"/>
        </w:rPr>
        <w:t xml:space="preserve">Polský finanční úřad si pro kontrolu </w:t>
      </w:r>
      <w:proofErr w:type="spellStart"/>
      <w:r w:rsidRPr="00ED3E84">
        <w:rPr>
          <w:sz w:val="24"/>
          <w:szCs w:val="24"/>
        </w:rPr>
        <w:t>VaV</w:t>
      </w:r>
      <w:proofErr w:type="spellEnd"/>
      <w:r w:rsidRPr="00ED3E84">
        <w:rPr>
          <w:sz w:val="24"/>
          <w:szCs w:val="24"/>
        </w:rPr>
        <w:t xml:space="preserve"> může najmou</w:t>
      </w:r>
      <w:r>
        <w:rPr>
          <w:sz w:val="24"/>
          <w:szCs w:val="24"/>
        </w:rPr>
        <w:t>t</w:t>
      </w:r>
      <w:r w:rsidR="00250510">
        <w:rPr>
          <w:sz w:val="24"/>
          <w:szCs w:val="24"/>
        </w:rPr>
        <w:t xml:space="preserve"> externího znalce, aby </w:t>
      </w:r>
      <w:r w:rsidRPr="00ED3E84">
        <w:rPr>
          <w:sz w:val="24"/>
          <w:szCs w:val="24"/>
        </w:rPr>
        <w:t>posoudil</w:t>
      </w:r>
      <w:r>
        <w:rPr>
          <w:sz w:val="24"/>
          <w:szCs w:val="24"/>
        </w:rPr>
        <w:t>,</w:t>
      </w:r>
      <w:r w:rsidRPr="00ED3E84">
        <w:rPr>
          <w:sz w:val="24"/>
          <w:szCs w:val="24"/>
        </w:rPr>
        <w:t xml:space="preserve"> zda je </w:t>
      </w:r>
      <w:proofErr w:type="spellStart"/>
      <w:r w:rsidRPr="00ED3E84">
        <w:rPr>
          <w:sz w:val="24"/>
          <w:szCs w:val="24"/>
        </w:rPr>
        <w:t>VaV</w:t>
      </w:r>
      <w:proofErr w:type="spellEnd"/>
      <w:r>
        <w:rPr>
          <w:sz w:val="24"/>
          <w:szCs w:val="24"/>
        </w:rPr>
        <w:t xml:space="preserve"> </w:t>
      </w:r>
      <w:r w:rsidRPr="00ED3E84">
        <w:rPr>
          <w:sz w:val="24"/>
          <w:szCs w:val="24"/>
        </w:rPr>
        <w:t xml:space="preserve">prováděno </w:t>
      </w:r>
      <w:r>
        <w:rPr>
          <w:sz w:val="24"/>
          <w:szCs w:val="24"/>
        </w:rPr>
        <w:t xml:space="preserve"> - </w:t>
      </w:r>
      <w:r w:rsidRPr="00ED3E84">
        <w:rPr>
          <w:sz w:val="24"/>
          <w:szCs w:val="24"/>
        </w:rPr>
        <w:t>v praxi se s tím, ale kolegové ještě nesetkali</w:t>
      </w:r>
    </w:p>
    <w:p w14:paraId="3FF15251" w14:textId="77777777" w:rsidR="00DD5CBC" w:rsidRPr="00ED3E84" w:rsidRDefault="00DD5CBC" w:rsidP="00250510">
      <w:pPr>
        <w:pStyle w:val="Odstavecseseznamem"/>
        <w:numPr>
          <w:ilvl w:val="0"/>
          <w:numId w:val="11"/>
        </w:numPr>
        <w:spacing w:line="240" w:lineRule="auto"/>
        <w:rPr>
          <w:sz w:val="24"/>
          <w:szCs w:val="24"/>
        </w:rPr>
      </w:pPr>
      <w:r w:rsidRPr="00ED3E84">
        <w:rPr>
          <w:sz w:val="24"/>
          <w:szCs w:val="24"/>
        </w:rPr>
        <w:t>Kontroly standardně prověřují dokumenty proka</w:t>
      </w:r>
      <w:r>
        <w:rPr>
          <w:sz w:val="24"/>
          <w:szCs w:val="24"/>
        </w:rPr>
        <w:t xml:space="preserve">zující nákladovou stránku </w:t>
      </w:r>
      <w:proofErr w:type="spellStart"/>
      <w:r>
        <w:rPr>
          <w:sz w:val="24"/>
          <w:szCs w:val="24"/>
        </w:rPr>
        <w:t>VaV</w:t>
      </w:r>
      <w:proofErr w:type="spellEnd"/>
      <w:r>
        <w:rPr>
          <w:sz w:val="24"/>
          <w:szCs w:val="24"/>
        </w:rPr>
        <w:t xml:space="preserve"> a </w:t>
      </w:r>
      <w:r w:rsidRPr="00ED3E84">
        <w:rPr>
          <w:sz w:val="24"/>
          <w:szCs w:val="24"/>
        </w:rPr>
        <w:t>samotné výpočty</w:t>
      </w:r>
      <w:r>
        <w:rPr>
          <w:sz w:val="24"/>
          <w:szCs w:val="24"/>
        </w:rPr>
        <w:t xml:space="preserve"> </w:t>
      </w:r>
      <w:r w:rsidRPr="00ED3E84">
        <w:rPr>
          <w:sz w:val="24"/>
          <w:szCs w:val="24"/>
        </w:rPr>
        <w:t xml:space="preserve">odpočtu </w:t>
      </w:r>
      <w:proofErr w:type="spellStart"/>
      <w:r w:rsidRPr="00ED3E84">
        <w:rPr>
          <w:sz w:val="24"/>
          <w:szCs w:val="24"/>
        </w:rPr>
        <w:t>VaV</w:t>
      </w:r>
      <w:proofErr w:type="spellEnd"/>
    </w:p>
    <w:p w14:paraId="27EFD248" w14:textId="77777777" w:rsidR="00DD5CBC" w:rsidRPr="00ED3E84" w:rsidRDefault="00DD5CBC" w:rsidP="00250510">
      <w:pPr>
        <w:pStyle w:val="Odstavecseseznamem"/>
        <w:numPr>
          <w:ilvl w:val="0"/>
          <w:numId w:val="11"/>
        </w:numPr>
        <w:spacing w:line="240" w:lineRule="auto"/>
        <w:rPr>
          <w:sz w:val="24"/>
          <w:szCs w:val="24"/>
        </w:rPr>
      </w:pPr>
      <w:r w:rsidRPr="00ED3E84">
        <w:rPr>
          <w:sz w:val="24"/>
          <w:szCs w:val="24"/>
        </w:rPr>
        <w:t xml:space="preserve">Pouze v případě velmi agresivního uplatnění </w:t>
      </w:r>
      <w:proofErr w:type="spellStart"/>
      <w:r w:rsidRPr="00ED3E84">
        <w:rPr>
          <w:sz w:val="24"/>
          <w:szCs w:val="24"/>
        </w:rPr>
        <w:t>VaV</w:t>
      </w:r>
      <w:proofErr w:type="spellEnd"/>
      <w:r w:rsidRPr="00ED3E84">
        <w:rPr>
          <w:sz w:val="24"/>
          <w:szCs w:val="24"/>
        </w:rPr>
        <w:t xml:space="preserve"> polský finanční úřad zpochybnil provádění </w:t>
      </w:r>
      <w:proofErr w:type="spellStart"/>
      <w:r w:rsidRPr="00ED3E84">
        <w:rPr>
          <w:sz w:val="24"/>
          <w:szCs w:val="24"/>
        </w:rPr>
        <w:t>VaV</w:t>
      </w:r>
      <w:proofErr w:type="spellEnd"/>
      <w:r>
        <w:rPr>
          <w:sz w:val="24"/>
          <w:szCs w:val="24"/>
        </w:rPr>
        <w:t xml:space="preserve"> </w:t>
      </w:r>
      <w:r w:rsidRPr="00ED3E84">
        <w:rPr>
          <w:sz w:val="24"/>
          <w:szCs w:val="24"/>
        </w:rPr>
        <w:t xml:space="preserve">jako takového (butiková firma tvrdící, že provádí </w:t>
      </w:r>
      <w:proofErr w:type="spellStart"/>
      <w:r w:rsidRPr="00ED3E84">
        <w:rPr>
          <w:sz w:val="24"/>
          <w:szCs w:val="24"/>
        </w:rPr>
        <w:t>VaV</w:t>
      </w:r>
      <w:proofErr w:type="spellEnd"/>
      <w:r w:rsidRPr="00ED3E84">
        <w:rPr>
          <w:sz w:val="24"/>
          <w:szCs w:val="24"/>
        </w:rPr>
        <w:t xml:space="preserve"> tím, že zákazník při koupi testuje výrobky)</w:t>
      </w:r>
    </w:p>
    <w:p w14:paraId="3662DA5D" w14:textId="741AC50B" w:rsidR="00DD5CBC" w:rsidRDefault="00DD5CBC" w:rsidP="00250510">
      <w:pPr>
        <w:pStyle w:val="Odstavecseseznamem"/>
        <w:numPr>
          <w:ilvl w:val="0"/>
          <w:numId w:val="11"/>
        </w:numPr>
        <w:spacing w:line="240" w:lineRule="auto"/>
        <w:rPr>
          <w:sz w:val="24"/>
          <w:szCs w:val="24"/>
        </w:rPr>
      </w:pPr>
      <w:r w:rsidRPr="00ED3E84">
        <w:rPr>
          <w:sz w:val="24"/>
          <w:szCs w:val="24"/>
        </w:rPr>
        <w:t>Polské FÚ běžně požadují při kontrolách předložení pracovních smluv, doložení zaplacení mezd a</w:t>
      </w:r>
      <w:r>
        <w:rPr>
          <w:sz w:val="24"/>
          <w:szCs w:val="24"/>
        </w:rPr>
        <w:t xml:space="preserve"> </w:t>
      </w:r>
      <w:r w:rsidRPr="00ED3E84">
        <w:rPr>
          <w:sz w:val="24"/>
          <w:szCs w:val="24"/>
        </w:rPr>
        <w:t xml:space="preserve">povinných odvodů, v případě, že zaměstnanci pracují na </w:t>
      </w:r>
      <w:proofErr w:type="spellStart"/>
      <w:r w:rsidRPr="00ED3E84">
        <w:rPr>
          <w:sz w:val="24"/>
          <w:szCs w:val="24"/>
        </w:rPr>
        <w:t>VaV</w:t>
      </w:r>
      <w:proofErr w:type="spellEnd"/>
      <w:r w:rsidRPr="00ED3E84">
        <w:rPr>
          <w:sz w:val="24"/>
          <w:szCs w:val="24"/>
        </w:rPr>
        <w:t xml:space="preserve"> pouze částečně tak i </w:t>
      </w:r>
      <w:proofErr w:type="spellStart"/>
      <w:r w:rsidRPr="00ED3E84">
        <w:rPr>
          <w:sz w:val="24"/>
          <w:szCs w:val="24"/>
        </w:rPr>
        <w:t>timesheety</w:t>
      </w:r>
      <w:proofErr w:type="spellEnd"/>
      <w:r>
        <w:rPr>
          <w:sz w:val="24"/>
          <w:szCs w:val="24"/>
        </w:rPr>
        <w:t xml:space="preserve"> </w:t>
      </w:r>
      <w:r w:rsidRPr="00ED3E84">
        <w:rPr>
          <w:sz w:val="24"/>
          <w:szCs w:val="24"/>
        </w:rPr>
        <w:t xml:space="preserve">nebo jinou evidenci jako </w:t>
      </w:r>
      <w:r>
        <w:rPr>
          <w:sz w:val="24"/>
          <w:szCs w:val="24"/>
        </w:rPr>
        <w:t xml:space="preserve">např. výpis z JIRA apod. Pokud </w:t>
      </w:r>
      <w:r w:rsidRPr="00ED3E84">
        <w:rPr>
          <w:sz w:val="24"/>
          <w:szCs w:val="24"/>
        </w:rPr>
        <w:t xml:space="preserve">zaměstnanci pracují na </w:t>
      </w:r>
      <w:proofErr w:type="spellStart"/>
      <w:r w:rsidRPr="00ED3E84">
        <w:rPr>
          <w:sz w:val="24"/>
          <w:szCs w:val="24"/>
        </w:rPr>
        <w:t>VaV</w:t>
      </w:r>
      <w:proofErr w:type="spellEnd"/>
      <w:r w:rsidRPr="00ED3E84">
        <w:rPr>
          <w:sz w:val="24"/>
          <w:szCs w:val="24"/>
        </w:rPr>
        <w:t xml:space="preserve"> 100% času,</w:t>
      </w:r>
      <w:r>
        <w:rPr>
          <w:sz w:val="24"/>
          <w:szCs w:val="24"/>
        </w:rPr>
        <w:t xml:space="preserve"> </w:t>
      </w:r>
      <w:r w:rsidRPr="00ED3E84">
        <w:rPr>
          <w:sz w:val="24"/>
          <w:szCs w:val="24"/>
        </w:rPr>
        <w:t>pak je dostatečné tvrzení daňového subjektu, jiná evidence</w:t>
      </w:r>
      <w:r>
        <w:rPr>
          <w:sz w:val="24"/>
          <w:szCs w:val="24"/>
        </w:rPr>
        <w:t xml:space="preserve"> času není požadována. V případě </w:t>
      </w:r>
      <w:r w:rsidRPr="00ED3E84">
        <w:rPr>
          <w:sz w:val="24"/>
          <w:szCs w:val="24"/>
        </w:rPr>
        <w:t>materiálových nákladů kritéria pr</w:t>
      </w:r>
      <w:r w:rsidR="00250510">
        <w:rPr>
          <w:sz w:val="24"/>
          <w:szCs w:val="24"/>
        </w:rPr>
        <w:t>o </w:t>
      </w:r>
      <w:r w:rsidRPr="00ED3E84">
        <w:rPr>
          <w:sz w:val="24"/>
          <w:szCs w:val="24"/>
        </w:rPr>
        <w:t xml:space="preserve">určení </w:t>
      </w:r>
      <w:proofErr w:type="spellStart"/>
      <w:r w:rsidRPr="00ED3E84">
        <w:rPr>
          <w:sz w:val="24"/>
          <w:szCs w:val="24"/>
        </w:rPr>
        <w:t>VaV</w:t>
      </w:r>
      <w:proofErr w:type="spellEnd"/>
      <w:r w:rsidRPr="00ED3E84">
        <w:rPr>
          <w:sz w:val="24"/>
          <w:szCs w:val="24"/>
        </w:rPr>
        <w:t xml:space="preserve"> a ne</w:t>
      </w:r>
      <w:r w:rsidR="00656F3D">
        <w:rPr>
          <w:sz w:val="24"/>
          <w:szCs w:val="24"/>
        </w:rPr>
        <w:t>-</w:t>
      </w:r>
      <w:proofErr w:type="spellStart"/>
      <w:r w:rsidRPr="00ED3E84">
        <w:rPr>
          <w:sz w:val="24"/>
          <w:szCs w:val="24"/>
        </w:rPr>
        <w:t>VaV</w:t>
      </w:r>
      <w:proofErr w:type="spellEnd"/>
      <w:r w:rsidRPr="00ED3E84">
        <w:rPr>
          <w:sz w:val="24"/>
          <w:szCs w:val="24"/>
        </w:rPr>
        <w:t xml:space="preserve"> materiálu, vzor kalkulace, smlouvy s</w:t>
      </w:r>
      <w:r>
        <w:rPr>
          <w:sz w:val="24"/>
          <w:szCs w:val="24"/>
        </w:rPr>
        <w:t xml:space="preserve"> </w:t>
      </w:r>
      <w:r w:rsidRPr="00ED3E84">
        <w:rPr>
          <w:sz w:val="24"/>
          <w:szCs w:val="24"/>
        </w:rPr>
        <w:t>výzkumnými organizacemi atd.</w:t>
      </w:r>
    </w:p>
    <w:p w14:paraId="09600332" w14:textId="77777777" w:rsidR="00DD5CBC" w:rsidRPr="00ED3E84" w:rsidRDefault="00DD5CBC" w:rsidP="00DD5CBC">
      <w:pPr>
        <w:pStyle w:val="Odstavecseseznamem"/>
        <w:spacing w:line="240" w:lineRule="auto"/>
        <w:ind w:left="1287"/>
        <w:jc w:val="both"/>
        <w:rPr>
          <w:sz w:val="24"/>
          <w:szCs w:val="24"/>
        </w:rPr>
      </w:pPr>
    </w:p>
    <w:p w14:paraId="43674DBC" w14:textId="77777777" w:rsidR="00DD5CBC" w:rsidRDefault="00DD5CBC" w:rsidP="00DD5CBC">
      <w:pPr>
        <w:ind w:left="567" w:hanging="141"/>
        <w:rPr>
          <w:rFonts w:ascii="Calibri" w:eastAsia="Calibri" w:hAnsi="Calibri" w:cs="Calibri"/>
          <w:b/>
          <w:bCs/>
          <w:color w:val="002060"/>
          <w:sz w:val="28"/>
        </w:rPr>
      </w:pPr>
      <w:r w:rsidRPr="00ED3E84">
        <w:rPr>
          <w:rFonts w:ascii="Calibri" w:eastAsia="Calibri" w:hAnsi="Calibri" w:cs="Calibri"/>
          <w:b/>
          <w:bCs/>
          <w:color w:val="002060"/>
          <w:sz w:val="28"/>
        </w:rPr>
        <w:lastRenderedPageBreak/>
        <w:t>HOLANDSKO</w:t>
      </w:r>
    </w:p>
    <w:p w14:paraId="6D1E0474" w14:textId="3A97EB69" w:rsidR="00DD5CBC" w:rsidRPr="00ED3E84" w:rsidRDefault="00DD5CBC" w:rsidP="00250510">
      <w:pPr>
        <w:pStyle w:val="Odstavecseseznamem"/>
        <w:numPr>
          <w:ilvl w:val="0"/>
          <w:numId w:val="11"/>
        </w:numPr>
        <w:spacing w:line="240" w:lineRule="auto"/>
        <w:rPr>
          <w:sz w:val="24"/>
          <w:szCs w:val="24"/>
        </w:rPr>
      </w:pPr>
      <w:r w:rsidRPr="00ED3E84">
        <w:rPr>
          <w:sz w:val="24"/>
          <w:szCs w:val="24"/>
        </w:rPr>
        <w:t xml:space="preserve">Kontrolu provádí </w:t>
      </w:r>
      <w:proofErr w:type="spellStart"/>
      <w:r w:rsidRPr="00ED3E84">
        <w:rPr>
          <w:sz w:val="24"/>
          <w:szCs w:val="24"/>
        </w:rPr>
        <w:t>Ne</w:t>
      </w:r>
      <w:r>
        <w:rPr>
          <w:sz w:val="24"/>
          <w:szCs w:val="24"/>
        </w:rPr>
        <w:t>therlandsEnterpriseAgency</w:t>
      </w:r>
      <w:proofErr w:type="spellEnd"/>
      <w:r>
        <w:rPr>
          <w:sz w:val="24"/>
          <w:szCs w:val="24"/>
        </w:rPr>
        <w:t xml:space="preserve">(RVO) – </w:t>
      </w:r>
      <w:r w:rsidR="00250510">
        <w:rPr>
          <w:sz w:val="24"/>
          <w:szCs w:val="24"/>
        </w:rPr>
        <w:t>agentura zodpovědná za </w:t>
      </w:r>
      <w:r w:rsidRPr="00ED3E84">
        <w:rPr>
          <w:sz w:val="24"/>
          <w:szCs w:val="24"/>
        </w:rPr>
        <w:t>implementaci/hodnocení pobídkových schémat v NL</w:t>
      </w:r>
    </w:p>
    <w:p w14:paraId="339DCA35" w14:textId="77777777" w:rsidR="00DD5CBC" w:rsidRPr="00ED3E84" w:rsidRDefault="00DD5CBC" w:rsidP="00250510">
      <w:pPr>
        <w:pStyle w:val="Odstavecseseznamem"/>
        <w:numPr>
          <w:ilvl w:val="0"/>
          <w:numId w:val="11"/>
        </w:numPr>
        <w:spacing w:line="240" w:lineRule="auto"/>
        <w:rPr>
          <w:sz w:val="24"/>
          <w:szCs w:val="24"/>
        </w:rPr>
      </w:pPr>
      <w:r w:rsidRPr="00ED3E84">
        <w:rPr>
          <w:sz w:val="24"/>
          <w:szCs w:val="24"/>
        </w:rPr>
        <w:t>Holandské finanční úřad</w:t>
      </w:r>
      <w:r>
        <w:rPr>
          <w:sz w:val="24"/>
          <w:szCs w:val="24"/>
        </w:rPr>
        <w:t>y</w:t>
      </w:r>
      <w:r w:rsidRPr="00ED3E84">
        <w:rPr>
          <w:sz w:val="24"/>
          <w:szCs w:val="24"/>
        </w:rPr>
        <w:t xml:space="preserve"> nejsou v těchto kontrolách zapojeny</w:t>
      </w:r>
    </w:p>
    <w:p w14:paraId="476314AB" w14:textId="77777777" w:rsidR="00DD5CBC" w:rsidRPr="00ED3E84" w:rsidRDefault="00DD5CBC" w:rsidP="00250510">
      <w:pPr>
        <w:pStyle w:val="Odstavecseseznamem"/>
        <w:numPr>
          <w:ilvl w:val="0"/>
          <w:numId w:val="11"/>
        </w:numPr>
        <w:spacing w:line="240" w:lineRule="auto"/>
        <w:rPr>
          <w:sz w:val="24"/>
          <w:szCs w:val="24"/>
        </w:rPr>
      </w:pPr>
      <w:r w:rsidRPr="00ED3E84">
        <w:rPr>
          <w:sz w:val="24"/>
          <w:szCs w:val="24"/>
        </w:rPr>
        <w:t>Kontrola se provádí každých 5 let (v některých případech častěji)</w:t>
      </w:r>
    </w:p>
    <w:p w14:paraId="3F1CAD8D" w14:textId="77777777" w:rsidR="00DD5CBC" w:rsidRPr="00ED3E84" w:rsidRDefault="00DD5CBC" w:rsidP="00250510">
      <w:pPr>
        <w:pStyle w:val="Odstavecseseznamem"/>
        <w:numPr>
          <w:ilvl w:val="0"/>
          <w:numId w:val="11"/>
        </w:numPr>
        <w:spacing w:line="240" w:lineRule="auto"/>
        <w:rPr>
          <w:sz w:val="24"/>
          <w:szCs w:val="24"/>
        </w:rPr>
      </w:pPr>
      <w:r w:rsidRPr="00ED3E84">
        <w:rPr>
          <w:sz w:val="24"/>
          <w:szCs w:val="24"/>
        </w:rPr>
        <w:t>Kontrola zkoumá dva toky dokumentů a jejich soulad s nárokovaným odpočtem:</w:t>
      </w:r>
    </w:p>
    <w:p w14:paraId="4A3AD45C" w14:textId="3D1DCCC8" w:rsidR="00DD5CBC" w:rsidRPr="00ED3E84" w:rsidRDefault="00DD5CBC" w:rsidP="00250510">
      <w:pPr>
        <w:pStyle w:val="Odstavecseseznamem"/>
        <w:numPr>
          <w:ilvl w:val="1"/>
          <w:numId w:val="11"/>
        </w:numPr>
        <w:spacing w:line="240" w:lineRule="auto"/>
        <w:rPr>
          <w:sz w:val="24"/>
          <w:szCs w:val="24"/>
        </w:rPr>
      </w:pPr>
      <w:r w:rsidRPr="00ED3E84">
        <w:rPr>
          <w:sz w:val="24"/>
          <w:szCs w:val="24"/>
        </w:rPr>
        <w:t>Dokumenty týkající se zaměstnanců, kteř</w:t>
      </w:r>
      <w:r w:rsidR="00250510">
        <w:rPr>
          <w:sz w:val="24"/>
          <w:szCs w:val="24"/>
        </w:rPr>
        <w:t>í vstupují do výpočtu nároku na </w:t>
      </w:r>
      <w:r w:rsidRPr="00ED3E84">
        <w:rPr>
          <w:sz w:val="24"/>
          <w:szCs w:val="24"/>
        </w:rPr>
        <w:t>odpočet</w:t>
      </w:r>
    </w:p>
    <w:p w14:paraId="4DF1BAF7" w14:textId="77777777" w:rsidR="00DD5CBC" w:rsidRPr="00ED3E84" w:rsidRDefault="00DD5CBC" w:rsidP="00250510">
      <w:pPr>
        <w:pStyle w:val="Odstavecseseznamem"/>
        <w:numPr>
          <w:ilvl w:val="1"/>
          <w:numId w:val="11"/>
        </w:numPr>
        <w:spacing w:line="240" w:lineRule="auto"/>
        <w:rPr>
          <w:sz w:val="24"/>
          <w:szCs w:val="24"/>
        </w:rPr>
      </w:pPr>
      <w:r w:rsidRPr="00ED3E84">
        <w:rPr>
          <w:sz w:val="24"/>
          <w:szCs w:val="24"/>
        </w:rPr>
        <w:t xml:space="preserve">Dokumenty vztahující se k administraci </w:t>
      </w:r>
      <w:proofErr w:type="spellStart"/>
      <w:r w:rsidRPr="00ED3E84">
        <w:rPr>
          <w:sz w:val="24"/>
          <w:szCs w:val="24"/>
        </w:rPr>
        <w:t>VaV</w:t>
      </w:r>
      <w:proofErr w:type="spellEnd"/>
      <w:r>
        <w:rPr>
          <w:sz w:val="24"/>
          <w:szCs w:val="24"/>
        </w:rPr>
        <w:t>-</w:t>
      </w:r>
      <w:r w:rsidRPr="00ED3E84">
        <w:rPr>
          <w:sz w:val="24"/>
          <w:szCs w:val="24"/>
        </w:rPr>
        <w:t>projektu –</w:t>
      </w:r>
      <w:r>
        <w:rPr>
          <w:sz w:val="24"/>
          <w:szCs w:val="24"/>
        </w:rPr>
        <w:t xml:space="preserve"> </w:t>
      </w:r>
      <w:r w:rsidRPr="00ED3E84">
        <w:rPr>
          <w:sz w:val="24"/>
          <w:szCs w:val="24"/>
        </w:rPr>
        <w:t>postup, průběžné kontroly, výsledek</w:t>
      </w:r>
    </w:p>
    <w:p w14:paraId="4D9E8500" w14:textId="77777777" w:rsidR="00DD5CBC" w:rsidRDefault="00DD5CBC" w:rsidP="00250510">
      <w:pPr>
        <w:pStyle w:val="Odstavecseseznamem"/>
        <w:numPr>
          <w:ilvl w:val="0"/>
          <w:numId w:val="11"/>
        </w:numPr>
        <w:spacing w:line="240" w:lineRule="auto"/>
        <w:rPr>
          <w:sz w:val="24"/>
          <w:szCs w:val="24"/>
        </w:rPr>
      </w:pPr>
      <w:r w:rsidRPr="00ED3E84">
        <w:rPr>
          <w:sz w:val="24"/>
          <w:szCs w:val="24"/>
        </w:rPr>
        <w:t xml:space="preserve">V rámci kontrol dochází k návštěvám </w:t>
      </w:r>
      <w:proofErr w:type="spellStart"/>
      <w:r w:rsidRPr="00ED3E84">
        <w:rPr>
          <w:sz w:val="24"/>
          <w:szCs w:val="24"/>
        </w:rPr>
        <w:t>VaV</w:t>
      </w:r>
      <w:proofErr w:type="spellEnd"/>
      <w:r>
        <w:rPr>
          <w:sz w:val="24"/>
          <w:szCs w:val="24"/>
        </w:rPr>
        <w:t>-</w:t>
      </w:r>
      <w:r w:rsidRPr="00ED3E84">
        <w:rPr>
          <w:sz w:val="24"/>
          <w:szCs w:val="24"/>
        </w:rPr>
        <w:t>lokací, pohovorům s</w:t>
      </w:r>
      <w:r>
        <w:rPr>
          <w:sz w:val="24"/>
          <w:szCs w:val="24"/>
        </w:rPr>
        <w:t> </w:t>
      </w:r>
      <w:proofErr w:type="spellStart"/>
      <w:r w:rsidRPr="00ED3E84">
        <w:rPr>
          <w:sz w:val="24"/>
          <w:szCs w:val="24"/>
        </w:rPr>
        <w:t>VaV</w:t>
      </w:r>
      <w:proofErr w:type="spellEnd"/>
      <w:r>
        <w:rPr>
          <w:sz w:val="24"/>
          <w:szCs w:val="24"/>
        </w:rPr>
        <w:t>-</w:t>
      </w:r>
      <w:r w:rsidRPr="00ED3E84">
        <w:rPr>
          <w:sz w:val="24"/>
          <w:szCs w:val="24"/>
        </w:rPr>
        <w:t>zaměstnanci, kontrole prototypů/dem, je prováděna kontrola auditní stopy faktur a jiných dokumentů</w:t>
      </w:r>
    </w:p>
    <w:p w14:paraId="556120B9" w14:textId="77777777" w:rsidR="00DD5CBC" w:rsidRDefault="00DD5CBC" w:rsidP="00DD5CBC">
      <w:pPr>
        <w:pStyle w:val="Odstavecseseznamem"/>
        <w:spacing w:line="240" w:lineRule="auto"/>
        <w:ind w:left="1287"/>
        <w:jc w:val="both"/>
        <w:rPr>
          <w:sz w:val="24"/>
          <w:szCs w:val="24"/>
        </w:rPr>
      </w:pPr>
    </w:p>
    <w:p w14:paraId="0A313D3D" w14:textId="77777777" w:rsidR="00DD5CBC" w:rsidRPr="000A2A76" w:rsidRDefault="00DD5CBC" w:rsidP="00DD5CBC">
      <w:pPr>
        <w:ind w:left="567" w:hanging="141"/>
        <w:rPr>
          <w:rFonts w:ascii="Calibri" w:eastAsia="Calibri" w:hAnsi="Calibri" w:cs="Calibri"/>
          <w:b/>
          <w:bCs/>
          <w:color w:val="002060"/>
          <w:sz w:val="28"/>
        </w:rPr>
      </w:pPr>
      <w:r w:rsidRPr="000A2A76">
        <w:rPr>
          <w:rFonts w:ascii="Calibri" w:eastAsia="Calibri" w:hAnsi="Calibri" w:cs="Calibri"/>
          <w:b/>
          <w:bCs/>
          <w:color w:val="002060"/>
          <w:sz w:val="28"/>
        </w:rPr>
        <w:t>NOVÝ ZÉLAND</w:t>
      </w:r>
    </w:p>
    <w:p w14:paraId="1E071372" w14:textId="77777777" w:rsidR="00DD5CBC" w:rsidRPr="000A2A76" w:rsidRDefault="00DD5CBC" w:rsidP="00250510">
      <w:pPr>
        <w:pStyle w:val="Odstavecseseznamem"/>
        <w:numPr>
          <w:ilvl w:val="0"/>
          <w:numId w:val="11"/>
        </w:numPr>
        <w:spacing w:line="240" w:lineRule="auto"/>
        <w:rPr>
          <w:sz w:val="24"/>
          <w:szCs w:val="24"/>
        </w:rPr>
      </w:pPr>
      <w:r w:rsidRPr="000A2A76">
        <w:rPr>
          <w:sz w:val="24"/>
          <w:szCs w:val="24"/>
        </w:rPr>
        <w:t>Pro uplatnění odpočtu je nezbytné provést speciální daňovou registraci</w:t>
      </w:r>
    </w:p>
    <w:p w14:paraId="1081BE6E" w14:textId="77777777" w:rsidR="00DD5CBC" w:rsidRPr="000A2A76" w:rsidRDefault="00DD5CBC" w:rsidP="00250510">
      <w:pPr>
        <w:pStyle w:val="Odstavecseseznamem"/>
        <w:numPr>
          <w:ilvl w:val="0"/>
          <w:numId w:val="11"/>
        </w:numPr>
        <w:spacing w:line="240" w:lineRule="auto"/>
        <w:rPr>
          <w:sz w:val="24"/>
          <w:szCs w:val="24"/>
        </w:rPr>
      </w:pPr>
      <w:r w:rsidRPr="000A2A76">
        <w:rPr>
          <w:sz w:val="24"/>
          <w:szCs w:val="24"/>
        </w:rPr>
        <w:t>Následně do 7. dne druhého měsíce po rozvahovém dni je nutno požádat o obecný souhlas s uplatněním odpočtu. Tento souhlas se udělí na 1 až 3 roky.  Pokud souhlas není udělen, nelze odpočet uplatnit, ale také není možné se proti tomuto rozhodnutí odvolat.</w:t>
      </w:r>
    </w:p>
    <w:p w14:paraId="5C733669" w14:textId="77777777" w:rsidR="00DD5CBC" w:rsidRPr="000A2A76" w:rsidRDefault="00DD5CBC" w:rsidP="00250510">
      <w:pPr>
        <w:pStyle w:val="Odstavecseseznamem"/>
        <w:numPr>
          <w:ilvl w:val="0"/>
          <w:numId w:val="11"/>
        </w:numPr>
        <w:spacing w:line="240" w:lineRule="auto"/>
        <w:rPr>
          <w:sz w:val="24"/>
          <w:szCs w:val="24"/>
        </w:rPr>
      </w:pPr>
      <w:proofErr w:type="spellStart"/>
      <w:r w:rsidRPr="000A2A76">
        <w:rPr>
          <w:sz w:val="24"/>
          <w:szCs w:val="24"/>
        </w:rPr>
        <w:t>VaV</w:t>
      </w:r>
      <w:proofErr w:type="spellEnd"/>
      <w:r>
        <w:rPr>
          <w:sz w:val="24"/>
          <w:szCs w:val="24"/>
        </w:rPr>
        <w:t xml:space="preserve"> </w:t>
      </w:r>
      <w:r w:rsidRPr="000A2A76">
        <w:rPr>
          <w:sz w:val="24"/>
          <w:szCs w:val="24"/>
        </w:rPr>
        <w:t xml:space="preserve">činnosti jsou revidovány agenturou </w:t>
      </w:r>
      <w:proofErr w:type="spellStart"/>
      <w:r w:rsidRPr="000A2A76">
        <w:rPr>
          <w:sz w:val="24"/>
          <w:szCs w:val="24"/>
        </w:rPr>
        <w:t>CallaghanInnovation</w:t>
      </w:r>
      <w:proofErr w:type="spellEnd"/>
      <w:r w:rsidRPr="000A2A76">
        <w:rPr>
          <w:sz w:val="24"/>
          <w:szCs w:val="24"/>
        </w:rPr>
        <w:t xml:space="preserve"> –</w:t>
      </w:r>
      <w:r>
        <w:rPr>
          <w:sz w:val="24"/>
          <w:szCs w:val="24"/>
        </w:rPr>
        <w:t xml:space="preserve"> </w:t>
      </w:r>
      <w:r w:rsidRPr="000A2A76">
        <w:rPr>
          <w:sz w:val="24"/>
          <w:szCs w:val="24"/>
        </w:rPr>
        <w:t xml:space="preserve">kontrola zda ohlášené činnosti splňují zákonné podmínky </w:t>
      </w:r>
    </w:p>
    <w:p w14:paraId="4AFB39AE" w14:textId="77777777" w:rsidR="00DD5CBC" w:rsidRPr="000A2A76" w:rsidRDefault="00DD5CBC" w:rsidP="00250510">
      <w:pPr>
        <w:pStyle w:val="Odstavecseseznamem"/>
        <w:numPr>
          <w:ilvl w:val="0"/>
          <w:numId w:val="11"/>
        </w:numPr>
        <w:spacing w:line="240" w:lineRule="auto"/>
        <w:rPr>
          <w:sz w:val="24"/>
          <w:szCs w:val="24"/>
        </w:rPr>
      </w:pPr>
      <w:r w:rsidRPr="000A2A76">
        <w:rPr>
          <w:sz w:val="24"/>
          <w:szCs w:val="24"/>
        </w:rPr>
        <w:t>Konečný souhlas uděluje finanční správa a je tento souhlas pro ni závazný. Po udělení souhlasu podá daňový subjekt dodatečné daňové přiznání.</w:t>
      </w:r>
    </w:p>
    <w:p w14:paraId="22E09264" w14:textId="2CDF4755" w:rsidR="00DD5CBC" w:rsidRPr="000A2A76" w:rsidRDefault="00DD5CBC" w:rsidP="00250510">
      <w:pPr>
        <w:pStyle w:val="Odstavecseseznamem"/>
        <w:numPr>
          <w:ilvl w:val="0"/>
          <w:numId w:val="11"/>
        </w:numPr>
        <w:spacing w:line="240" w:lineRule="auto"/>
        <w:rPr>
          <w:sz w:val="24"/>
          <w:szCs w:val="24"/>
        </w:rPr>
      </w:pPr>
      <w:r w:rsidRPr="000A2A76">
        <w:rPr>
          <w:sz w:val="24"/>
          <w:szCs w:val="24"/>
        </w:rPr>
        <w:t xml:space="preserve">Kontrola probíhá, jakmile je podáno dodatečné daňové přiznání a související speciální formulář, který obsahuje detaily o </w:t>
      </w:r>
      <w:proofErr w:type="spellStart"/>
      <w:r w:rsidRPr="000A2A76">
        <w:rPr>
          <w:sz w:val="24"/>
          <w:szCs w:val="24"/>
        </w:rPr>
        <w:t>VaV</w:t>
      </w:r>
      <w:proofErr w:type="spellEnd"/>
      <w:r w:rsidR="00656F3D">
        <w:rPr>
          <w:sz w:val="24"/>
          <w:szCs w:val="24"/>
        </w:rPr>
        <w:t>-</w:t>
      </w:r>
      <w:r w:rsidRPr="000A2A76">
        <w:rPr>
          <w:sz w:val="24"/>
          <w:szCs w:val="24"/>
        </w:rPr>
        <w:t>výdajích a je požádáno o odpočet (daňový kredit).</w:t>
      </w:r>
      <w:r>
        <w:rPr>
          <w:sz w:val="24"/>
          <w:szCs w:val="24"/>
        </w:rPr>
        <w:t xml:space="preserve"> </w:t>
      </w:r>
      <w:r w:rsidRPr="000A2A76">
        <w:rPr>
          <w:sz w:val="24"/>
          <w:szCs w:val="24"/>
        </w:rPr>
        <w:t xml:space="preserve">Kontroly se v současnosti zabývají pouze nákladovou stránkou odpočtu. Kolegové očekávají, že zaměření kontrol na samotné </w:t>
      </w:r>
      <w:proofErr w:type="spellStart"/>
      <w:r w:rsidRPr="000A2A76">
        <w:rPr>
          <w:sz w:val="24"/>
          <w:szCs w:val="24"/>
        </w:rPr>
        <w:t>VaV</w:t>
      </w:r>
      <w:proofErr w:type="spellEnd"/>
      <w:r w:rsidR="00656F3D">
        <w:rPr>
          <w:sz w:val="24"/>
          <w:szCs w:val="24"/>
        </w:rPr>
        <w:t xml:space="preserve"> </w:t>
      </w:r>
      <w:r w:rsidRPr="000A2A76">
        <w:rPr>
          <w:sz w:val="24"/>
          <w:szCs w:val="24"/>
        </w:rPr>
        <w:t>nastane v nejbližší budoucnosti.</w:t>
      </w:r>
    </w:p>
    <w:p w14:paraId="1C5CD96D" w14:textId="77777777" w:rsidR="00DD5CBC" w:rsidRPr="000A2A76" w:rsidRDefault="00DD5CBC" w:rsidP="00250510">
      <w:pPr>
        <w:pStyle w:val="Odstavecseseznamem"/>
        <w:numPr>
          <w:ilvl w:val="0"/>
          <w:numId w:val="11"/>
        </w:numPr>
        <w:spacing w:line="240" w:lineRule="auto"/>
        <w:rPr>
          <w:sz w:val="24"/>
          <w:szCs w:val="24"/>
        </w:rPr>
      </w:pPr>
      <w:r w:rsidRPr="000A2A76">
        <w:rPr>
          <w:sz w:val="24"/>
          <w:szCs w:val="24"/>
        </w:rPr>
        <w:t>V rámci kontroly dochází k žádostem o kopie faktur, nájemních smluv, zaměstnaneckých smluv, evidence času apod.</w:t>
      </w:r>
    </w:p>
    <w:p w14:paraId="310DEEEF" w14:textId="396D3CC0" w:rsidR="00DD5CBC" w:rsidRDefault="00DD5CBC" w:rsidP="00250510">
      <w:pPr>
        <w:pStyle w:val="Odstavecseseznamem"/>
        <w:numPr>
          <w:ilvl w:val="0"/>
          <w:numId w:val="11"/>
        </w:numPr>
        <w:spacing w:line="240" w:lineRule="auto"/>
        <w:rPr>
          <w:sz w:val="24"/>
          <w:szCs w:val="24"/>
        </w:rPr>
      </w:pPr>
      <w:r w:rsidRPr="000A2A76">
        <w:rPr>
          <w:sz w:val="24"/>
          <w:szCs w:val="24"/>
        </w:rPr>
        <w:t>Bohužel v rámci kontrol dochází k situaci, kdy jsou vyžadovány dokumenty, které jdou nad rámec zákona a dochází k neefektivní a pomalé k</w:t>
      </w:r>
      <w:r w:rsidR="00250510">
        <w:rPr>
          <w:sz w:val="24"/>
          <w:szCs w:val="24"/>
        </w:rPr>
        <w:t>ontrole a často k situacím, kdy </w:t>
      </w:r>
      <w:r w:rsidRPr="000A2A76">
        <w:rPr>
          <w:sz w:val="24"/>
          <w:szCs w:val="24"/>
        </w:rPr>
        <w:t>kredit je zadržen.</w:t>
      </w:r>
    </w:p>
    <w:p w14:paraId="7E941379" w14:textId="634B4730" w:rsidR="00DD5CBC" w:rsidRDefault="00DD5CBC">
      <w:pPr>
        <w:rPr>
          <w:sz w:val="24"/>
          <w:szCs w:val="24"/>
        </w:rPr>
      </w:pPr>
      <w:r>
        <w:rPr>
          <w:sz w:val="24"/>
          <w:szCs w:val="24"/>
        </w:rPr>
        <w:br w:type="page"/>
      </w:r>
    </w:p>
    <w:p w14:paraId="72821B80" w14:textId="7C98782A" w:rsidR="00C853BF" w:rsidRPr="006A7703" w:rsidRDefault="00DD5CBC" w:rsidP="006A7703">
      <w:pPr>
        <w:pStyle w:val="Nadpis1"/>
        <w:numPr>
          <w:ilvl w:val="0"/>
          <w:numId w:val="25"/>
        </w:numPr>
        <w:spacing w:before="0"/>
        <w:ind w:left="284" w:hanging="284"/>
        <w:rPr>
          <w:rFonts w:eastAsia="Calibri"/>
          <w:b/>
          <w:szCs w:val="40"/>
        </w:rPr>
      </w:pPr>
      <w:r>
        <w:rPr>
          <w:rFonts w:eastAsia="Calibri"/>
          <w:b/>
          <w:szCs w:val="40"/>
        </w:rPr>
        <w:lastRenderedPageBreak/>
        <w:t xml:space="preserve"> </w:t>
      </w:r>
      <w:r w:rsidR="00C853BF" w:rsidRPr="00E52E86">
        <w:rPr>
          <w:rFonts w:eastAsia="Calibri"/>
          <w:b/>
          <w:szCs w:val="40"/>
        </w:rPr>
        <w:t>Zdůvodnění poklesu počtu firem využíva</w:t>
      </w:r>
      <w:r w:rsidR="00B4705A">
        <w:rPr>
          <w:rFonts w:eastAsia="Calibri"/>
          <w:b/>
          <w:szCs w:val="40"/>
        </w:rPr>
        <w:t>jících daňové odpočty v ČR od </w:t>
      </w:r>
      <w:r w:rsidR="00C853BF" w:rsidRPr="00E52E86">
        <w:rPr>
          <w:rFonts w:eastAsia="Calibri"/>
          <w:b/>
          <w:szCs w:val="40"/>
        </w:rPr>
        <w:t>roku 2015</w:t>
      </w:r>
    </w:p>
    <w:p w14:paraId="368AB51C" w14:textId="65BC3913" w:rsidR="00C853BF" w:rsidRDefault="00C853BF" w:rsidP="00C853BF"/>
    <w:p w14:paraId="03FB626B" w14:textId="77777777" w:rsidR="00C853BF" w:rsidRDefault="00C853BF" w:rsidP="00C853BF">
      <w:pPr>
        <w:ind w:left="426"/>
        <w:jc w:val="both"/>
        <w:rPr>
          <w:sz w:val="24"/>
          <w:szCs w:val="24"/>
        </w:rPr>
      </w:pPr>
      <w:r w:rsidRPr="004F70F7">
        <w:rPr>
          <w:sz w:val="24"/>
          <w:szCs w:val="24"/>
        </w:rPr>
        <w:t>Nepružnost systému a jeho restriktiv</w:t>
      </w:r>
      <w:r>
        <w:rPr>
          <w:sz w:val="24"/>
          <w:szCs w:val="24"/>
        </w:rPr>
        <w:t>ní přístup nejvíce zasahuje malé</w:t>
      </w:r>
      <w:r w:rsidRPr="004F70F7">
        <w:rPr>
          <w:sz w:val="24"/>
          <w:szCs w:val="24"/>
        </w:rPr>
        <w:t xml:space="preserve"> a střední podniky.</w:t>
      </w:r>
      <w:r>
        <w:rPr>
          <w:sz w:val="24"/>
          <w:szCs w:val="24"/>
        </w:rPr>
        <w:t xml:space="preserve"> V jiných zemích, např. na Slovensku nedochází k takovému způsobu kontrol, v ČR se předkládají příliš podrobná data pro účely daňové správy na rozdíl od zahraničí, kde se předkládá pouze </w:t>
      </w:r>
      <w:r w:rsidRPr="00C271DD">
        <w:rPr>
          <w:b/>
          <w:sz w:val="24"/>
          <w:szCs w:val="24"/>
        </w:rPr>
        <w:t>přehled rozpočtových položek</w:t>
      </w:r>
      <w:r>
        <w:rPr>
          <w:sz w:val="24"/>
          <w:szCs w:val="24"/>
        </w:rPr>
        <w:t>.</w:t>
      </w:r>
    </w:p>
    <w:p w14:paraId="5DFB5FB6" w14:textId="6F9EABFF" w:rsidR="00C853BF" w:rsidRDefault="00C853BF" w:rsidP="00C853BF">
      <w:pPr>
        <w:tabs>
          <w:tab w:val="left" w:pos="567"/>
        </w:tabs>
        <w:ind w:left="426"/>
        <w:jc w:val="both"/>
        <w:rPr>
          <w:sz w:val="24"/>
          <w:szCs w:val="24"/>
        </w:rPr>
      </w:pPr>
      <w:r w:rsidRPr="00CD016C">
        <w:rPr>
          <w:b/>
          <w:sz w:val="24"/>
          <w:szCs w:val="24"/>
        </w:rPr>
        <w:t>ČR ve srovnání se světem používá tento nástroj ČR</w:t>
      </w:r>
      <w:r>
        <w:rPr>
          <w:b/>
          <w:sz w:val="24"/>
          <w:szCs w:val="24"/>
        </w:rPr>
        <w:t xml:space="preserve"> </w:t>
      </w:r>
      <w:r w:rsidRPr="00CD016C">
        <w:rPr>
          <w:b/>
          <w:sz w:val="24"/>
          <w:szCs w:val="24"/>
        </w:rPr>
        <w:t>v malé míře.</w:t>
      </w:r>
      <w:r>
        <w:rPr>
          <w:sz w:val="24"/>
          <w:szCs w:val="24"/>
        </w:rPr>
        <w:t xml:space="preserve"> ČR na rozdíl od světa nezavedlo limit pro daňový odpočet pro velké firmy, což je unikátní přístup. </w:t>
      </w:r>
    </w:p>
    <w:p w14:paraId="0F93B5D7" w14:textId="10F79B51" w:rsidR="00C853BF" w:rsidRPr="00B17671" w:rsidRDefault="00EA16A6" w:rsidP="00C853BF">
      <w:pPr>
        <w:tabs>
          <w:tab w:val="left" w:pos="567"/>
        </w:tabs>
        <w:ind w:left="426"/>
        <w:jc w:val="both"/>
        <w:rPr>
          <w:sz w:val="24"/>
          <w:szCs w:val="24"/>
        </w:rPr>
      </w:pPr>
      <w:r>
        <w:rPr>
          <w:b/>
          <w:sz w:val="24"/>
          <w:szCs w:val="24"/>
        </w:rPr>
        <w:t>V PSDO 2022 b</w:t>
      </w:r>
      <w:r w:rsidR="00C853BF" w:rsidRPr="00B17671">
        <w:rPr>
          <w:b/>
          <w:sz w:val="24"/>
          <w:szCs w:val="24"/>
        </w:rPr>
        <w:t>ylo diskutováno, že tento nástroj má smysl v jeho časové flexibilitě</w:t>
      </w:r>
      <w:r w:rsidR="00C853BF" w:rsidRPr="00B17671">
        <w:rPr>
          <w:sz w:val="24"/>
          <w:szCs w:val="24"/>
        </w:rPr>
        <w:t xml:space="preserve">, že jej lze využít téměř okamžitě při potřebě realizovat </w:t>
      </w:r>
      <w:proofErr w:type="spellStart"/>
      <w:r w:rsidR="00C853BF" w:rsidRPr="00B17671">
        <w:rPr>
          <w:sz w:val="24"/>
          <w:szCs w:val="24"/>
        </w:rPr>
        <w:t>VaV</w:t>
      </w:r>
      <w:proofErr w:type="spellEnd"/>
      <w:r w:rsidR="00C853BF" w:rsidRPr="00B17671">
        <w:rPr>
          <w:sz w:val="24"/>
          <w:szCs w:val="24"/>
        </w:rPr>
        <w:t xml:space="preserve"> ze strany firem, má tedy silnější motivační účinek pro podporu </w:t>
      </w:r>
      <w:proofErr w:type="spellStart"/>
      <w:r w:rsidR="00C853BF" w:rsidRPr="00B17671">
        <w:rPr>
          <w:sz w:val="24"/>
          <w:szCs w:val="24"/>
        </w:rPr>
        <w:t>VaV</w:t>
      </w:r>
      <w:proofErr w:type="spellEnd"/>
      <w:r w:rsidR="00C853BF" w:rsidRPr="00B17671">
        <w:rPr>
          <w:sz w:val="24"/>
          <w:szCs w:val="24"/>
        </w:rPr>
        <w:t xml:space="preserve"> v ČR.</w:t>
      </w:r>
    </w:p>
    <w:p w14:paraId="30B3C216" w14:textId="68417B4C" w:rsidR="00C853BF" w:rsidRPr="00B17671" w:rsidRDefault="00EA16A6" w:rsidP="00C853BF">
      <w:pPr>
        <w:tabs>
          <w:tab w:val="left" w:pos="567"/>
        </w:tabs>
        <w:ind w:left="426"/>
        <w:jc w:val="both"/>
        <w:rPr>
          <w:sz w:val="24"/>
          <w:szCs w:val="24"/>
        </w:rPr>
      </w:pPr>
      <w:r>
        <w:rPr>
          <w:sz w:val="24"/>
          <w:szCs w:val="24"/>
        </w:rPr>
        <w:t>Smysluplnost této</w:t>
      </w:r>
      <w:r w:rsidR="00C853BF" w:rsidRPr="00B17671">
        <w:rPr>
          <w:sz w:val="24"/>
          <w:szCs w:val="24"/>
        </w:rPr>
        <w:t xml:space="preserve"> nepřímá podpor</w:t>
      </w:r>
      <w:r>
        <w:rPr>
          <w:sz w:val="24"/>
          <w:szCs w:val="24"/>
        </w:rPr>
        <w:t>y</w:t>
      </w:r>
      <w:r w:rsidR="00C853BF" w:rsidRPr="00B17671">
        <w:rPr>
          <w:sz w:val="24"/>
          <w:szCs w:val="24"/>
        </w:rPr>
        <w:t xml:space="preserve"> </w:t>
      </w:r>
      <w:r>
        <w:rPr>
          <w:sz w:val="24"/>
          <w:szCs w:val="24"/>
        </w:rPr>
        <w:t>spočívá v</w:t>
      </w:r>
      <w:r w:rsidR="00C853BF" w:rsidRPr="00B17671">
        <w:rPr>
          <w:sz w:val="24"/>
          <w:szCs w:val="24"/>
        </w:rPr>
        <w:t xml:space="preserve"> </w:t>
      </w:r>
      <w:r w:rsidR="00C853BF" w:rsidRPr="00B17671">
        <w:rPr>
          <w:b/>
          <w:sz w:val="24"/>
          <w:szCs w:val="24"/>
        </w:rPr>
        <w:t>administrativn</w:t>
      </w:r>
      <w:r>
        <w:rPr>
          <w:b/>
          <w:sz w:val="24"/>
          <w:szCs w:val="24"/>
        </w:rPr>
        <w:t>í</w:t>
      </w:r>
      <w:r w:rsidR="00C853BF" w:rsidRPr="00B17671">
        <w:rPr>
          <w:b/>
          <w:sz w:val="24"/>
          <w:szCs w:val="24"/>
        </w:rPr>
        <w:t xml:space="preserve"> jednoduch</w:t>
      </w:r>
      <w:r>
        <w:rPr>
          <w:b/>
          <w:sz w:val="24"/>
          <w:szCs w:val="24"/>
        </w:rPr>
        <w:t>osti</w:t>
      </w:r>
      <w:r w:rsidR="00C853BF" w:rsidRPr="00B17671">
        <w:rPr>
          <w:b/>
          <w:sz w:val="24"/>
          <w:szCs w:val="24"/>
        </w:rPr>
        <w:t>, pružn</w:t>
      </w:r>
      <w:r>
        <w:rPr>
          <w:b/>
          <w:sz w:val="24"/>
          <w:szCs w:val="24"/>
        </w:rPr>
        <w:t>osti a </w:t>
      </w:r>
      <w:r w:rsidR="00C853BF" w:rsidRPr="00B17671">
        <w:rPr>
          <w:b/>
          <w:sz w:val="24"/>
          <w:szCs w:val="24"/>
        </w:rPr>
        <w:t>každoroční</w:t>
      </w:r>
      <w:r>
        <w:rPr>
          <w:b/>
          <w:sz w:val="24"/>
          <w:szCs w:val="24"/>
        </w:rPr>
        <w:t xml:space="preserve"> možnosti uplatnění</w:t>
      </w:r>
      <w:r w:rsidR="00C853BF" w:rsidRPr="00B17671">
        <w:rPr>
          <w:b/>
          <w:sz w:val="24"/>
          <w:szCs w:val="24"/>
        </w:rPr>
        <w:t>.</w:t>
      </w:r>
    </w:p>
    <w:p w14:paraId="066CC57C" w14:textId="5E6B9A5F" w:rsidR="00C853BF" w:rsidRPr="00B17671" w:rsidRDefault="00EA16A6" w:rsidP="00C853BF">
      <w:pPr>
        <w:tabs>
          <w:tab w:val="left" w:pos="567"/>
        </w:tabs>
        <w:ind w:left="426"/>
        <w:jc w:val="both"/>
        <w:rPr>
          <w:sz w:val="24"/>
          <w:szCs w:val="24"/>
        </w:rPr>
      </w:pPr>
      <w:r w:rsidRPr="00B17671">
        <w:rPr>
          <w:sz w:val="24"/>
          <w:szCs w:val="24"/>
        </w:rPr>
        <w:t>PSDO</w:t>
      </w:r>
      <w:r>
        <w:rPr>
          <w:sz w:val="24"/>
          <w:szCs w:val="24"/>
        </w:rPr>
        <w:t xml:space="preserve"> 2022</w:t>
      </w:r>
      <w:r w:rsidRPr="00B17671">
        <w:rPr>
          <w:sz w:val="24"/>
          <w:szCs w:val="24"/>
        </w:rPr>
        <w:t xml:space="preserve"> </w:t>
      </w:r>
      <w:r w:rsidR="00C853BF" w:rsidRPr="00B17671">
        <w:rPr>
          <w:sz w:val="24"/>
          <w:szCs w:val="24"/>
        </w:rPr>
        <w:t>disku</w:t>
      </w:r>
      <w:r>
        <w:rPr>
          <w:sz w:val="24"/>
          <w:szCs w:val="24"/>
        </w:rPr>
        <w:t>tovala</w:t>
      </w:r>
      <w:r w:rsidR="00C853BF" w:rsidRPr="00B17671">
        <w:rPr>
          <w:sz w:val="24"/>
          <w:szCs w:val="24"/>
        </w:rPr>
        <w:t xml:space="preserve">, zda by měla stanovit nějaké </w:t>
      </w:r>
      <w:r w:rsidR="00C853BF" w:rsidRPr="00B17671">
        <w:rPr>
          <w:b/>
          <w:sz w:val="24"/>
          <w:szCs w:val="24"/>
        </w:rPr>
        <w:t>cílové číslo počtu firem</w:t>
      </w:r>
      <w:r w:rsidR="00C853BF" w:rsidRPr="00B17671">
        <w:rPr>
          <w:sz w:val="24"/>
          <w:szCs w:val="24"/>
        </w:rPr>
        <w:t xml:space="preserve"> využívajících systém daňových odpočtů. Na stanovení tohoto čísla</w:t>
      </w:r>
      <w:r>
        <w:rPr>
          <w:sz w:val="24"/>
          <w:szCs w:val="24"/>
        </w:rPr>
        <w:t xml:space="preserve"> však</w:t>
      </w:r>
      <w:r w:rsidR="00C853BF" w:rsidRPr="00B17671">
        <w:rPr>
          <w:sz w:val="24"/>
          <w:szCs w:val="24"/>
        </w:rPr>
        <w:t xml:space="preserve"> nedošlo</w:t>
      </w:r>
      <w:r w:rsidR="00CD1F0E">
        <w:rPr>
          <w:sz w:val="24"/>
          <w:szCs w:val="24"/>
        </w:rPr>
        <w:t xml:space="preserve"> vzhledem k nejednotnému pohledu</w:t>
      </w:r>
      <w:r w:rsidR="00C853BF" w:rsidRPr="00B17671">
        <w:rPr>
          <w:sz w:val="24"/>
          <w:szCs w:val="24"/>
        </w:rPr>
        <w:t xml:space="preserve"> členů PSDO</w:t>
      </w:r>
      <w:r w:rsidR="00CD1F0E">
        <w:rPr>
          <w:sz w:val="24"/>
          <w:szCs w:val="24"/>
        </w:rPr>
        <w:t xml:space="preserve"> 2022</w:t>
      </w:r>
      <w:r w:rsidR="00C853BF" w:rsidRPr="00B17671">
        <w:rPr>
          <w:sz w:val="24"/>
          <w:szCs w:val="24"/>
        </w:rPr>
        <w:t>.</w:t>
      </w:r>
    </w:p>
    <w:p w14:paraId="15E0ECB5" w14:textId="77777777" w:rsidR="00C853BF" w:rsidRPr="00B17671" w:rsidRDefault="00C853BF" w:rsidP="00C853BF">
      <w:pPr>
        <w:ind w:left="426"/>
        <w:rPr>
          <w:b/>
          <w:sz w:val="24"/>
          <w:szCs w:val="24"/>
          <w:u w:val="single"/>
        </w:rPr>
      </w:pPr>
      <w:r w:rsidRPr="00B17671">
        <w:rPr>
          <w:b/>
          <w:sz w:val="24"/>
          <w:szCs w:val="24"/>
          <w:u w:val="single"/>
        </w:rPr>
        <w:t>Důvody snížení využívání tohoto nástroje z pohledu SP ČR, poradenských firem a Komory daňových poradců</w:t>
      </w:r>
      <w:r w:rsidRPr="00B17671">
        <w:rPr>
          <w:b/>
          <w:sz w:val="24"/>
          <w:szCs w:val="24"/>
        </w:rPr>
        <w:t>:</w:t>
      </w:r>
    </w:p>
    <w:p w14:paraId="70E59A3E" w14:textId="77777777" w:rsidR="00C853BF" w:rsidRPr="00B17671" w:rsidRDefault="00C853BF" w:rsidP="00C853BF">
      <w:pPr>
        <w:pStyle w:val="Odstavecseseznamem"/>
        <w:numPr>
          <w:ilvl w:val="0"/>
          <w:numId w:val="19"/>
        </w:numPr>
        <w:ind w:left="1985" w:hanging="425"/>
        <w:rPr>
          <w:rFonts w:eastAsiaTheme="minorHAnsi"/>
          <w:sz w:val="24"/>
          <w:szCs w:val="24"/>
          <w:lang w:eastAsia="en-US"/>
        </w:rPr>
      </w:pPr>
      <w:r w:rsidRPr="00B17671">
        <w:rPr>
          <w:rFonts w:eastAsiaTheme="minorHAnsi"/>
          <w:sz w:val="24"/>
          <w:szCs w:val="24"/>
          <w:lang w:eastAsia="en-US"/>
        </w:rPr>
        <w:t>Množství kontrol.</w:t>
      </w:r>
    </w:p>
    <w:p w14:paraId="335B2918" w14:textId="77777777" w:rsidR="00C853BF" w:rsidRPr="00B17671" w:rsidRDefault="00C853BF" w:rsidP="00C853BF">
      <w:pPr>
        <w:pStyle w:val="Odstavecseseznamem"/>
        <w:numPr>
          <w:ilvl w:val="0"/>
          <w:numId w:val="19"/>
        </w:numPr>
        <w:ind w:left="1985" w:hanging="425"/>
        <w:rPr>
          <w:rFonts w:eastAsiaTheme="minorHAnsi"/>
          <w:sz w:val="24"/>
          <w:szCs w:val="24"/>
          <w:lang w:eastAsia="en-US"/>
        </w:rPr>
      </w:pPr>
      <w:r w:rsidRPr="00B17671">
        <w:rPr>
          <w:rFonts w:eastAsiaTheme="minorHAnsi"/>
          <w:sz w:val="24"/>
          <w:szCs w:val="24"/>
          <w:lang w:eastAsia="en-US"/>
        </w:rPr>
        <w:t>Zdlouhavost a náročnost kontrol, kontroly trvají několik měsíců a let.</w:t>
      </w:r>
    </w:p>
    <w:p w14:paraId="4B445F33" w14:textId="77777777" w:rsidR="00C853BF" w:rsidRPr="00B17671" w:rsidRDefault="00C853BF" w:rsidP="00C853BF">
      <w:pPr>
        <w:pStyle w:val="Odstavecseseznamem"/>
        <w:numPr>
          <w:ilvl w:val="0"/>
          <w:numId w:val="19"/>
        </w:numPr>
        <w:ind w:left="1985" w:hanging="425"/>
        <w:rPr>
          <w:rFonts w:eastAsiaTheme="minorHAnsi"/>
          <w:sz w:val="24"/>
          <w:szCs w:val="24"/>
          <w:lang w:eastAsia="en-US"/>
        </w:rPr>
      </w:pPr>
      <w:r w:rsidRPr="00B17671">
        <w:rPr>
          <w:rFonts w:eastAsiaTheme="minorHAnsi"/>
          <w:sz w:val="24"/>
          <w:szCs w:val="24"/>
          <w:lang w:eastAsia="en-US"/>
        </w:rPr>
        <w:t>Judikáty se často vztahují k formálnímu pochybení a ne k obsahovému.</w:t>
      </w:r>
    </w:p>
    <w:p w14:paraId="19050D6F" w14:textId="77777777" w:rsidR="00C853BF" w:rsidRPr="00B17671" w:rsidRDefault="00C853BF" w:rsidP="00C853BF">
      <w:pPr>
        <w:pStyle w:val="Odstavecseseznamem"/>
        <w:numPr>
          <w:ilvl w:val="0"/>
          <w:numId w:val="19"/>
        </w:numPr>
        <w:ind w:left="1985" w:hanging="425"/>
        <w:rPr>
          <w:sz w:val="24"/>
          <w:szCs w:val="24"/>
        </w:rPr>
      </w:pPr>
      <w:r w:rsidRPr="00B17671">
        <w:rPr>
          <w:sz w:val="24"/>
          <w:szCs w:val="24"/>
        </w:rPr>
        <w:t>Nemožnost dodatečného dokazování při řízení s finančním úřadem.</w:t>
      </w:r>
    </w:p>
    <w:p w14:paraId="71E10FFF" w14:textId="77777777" w:rsidR="00C853BF" w:rsidRPr="00B17671" w:rsidRDefault="00C853BF" w:rsidP="00C853BF">
      <w:pPr>
        <w:pStyle w:val="Odstavecseseznamem"/>
        <w:numPr>
          <w:ilvl w:val="0"/>
          <w:numId w:val="19"/>
        </w:numPr>
        <w:ind w:left="1985" w:hanging="425"/>
        <w:rPr>
          <w:sz w:val="24"/>
          <w:szCs w:val="24"/>
        </w:rPr>
      </w:pPr>
      <w:r w:rsidRPr="00B17671">
        <w:rPr>
          <w:sz w:val="24"/>
          <w:szCs w:val="24"/>
        </w:rPr>
        <w:t xml:space="preserve">Nadále přetrvává dojem netransparentnosti v oblasti požadavků na formální úpravy formulářů a identifikace </w:t>
      </w:r>
      <w:proofErr w:type="spellStart"/>
      <w:r w:rsidRPr="00B17671">
        <w:rPr>
          <w:sz w:val="24"/>
          <w:szCs w:val="24"/>
        </w:rPr>
        <w:t>VaV</w:t>
      </w:r>
      <w:proofErr w:type="spellEnd"/>
      <w:r w:rsidRPr="00B17671">
        <w:rPr>
          <w:sz w:val="24"/>
          <w:szCs w:val="24"/>
        </w:rPr>
        <w:t xml:space="preserve"> projektu.</w:t>
      </w:r>
    </w:p>
    <w:p w14:paraId="622F9E13" w14:textId="77777777" w:rsidR="00C853BF" w:rsidRPr="00B17671" w:rsidRDefault="00C853BF" w:rsidP="00C853BF">
      <w:pPr>
        <w:pStyle w:val="Odstavecseseznamem"/>
        <w:numPr>
          <w:ilvl w:val="0"/>
          <w:numId w:val="19"/>
        </w:numPr>
        <w:ind w:left="1985" w:hanging="425"/>
        <w:rPr>
          <w:sz w:val="24"/>
          <w:szCs w:val="24"/>
        </w:rPr>
      </w:pPr>
      <w:r w:rsidRPr="00B17671">
        <w:rPr>
          <w:sz w:val="24"/>
          <w:szCs w:val="24"/>
        </w:rPr>
        <w:t>Komunikace při potřebě získat informace a rady od finanční správy je z pohledu firem nedostatečná.</w:t>
      </w:r>
    </w:p>
    <w:p w14:paraId="57D0233B" w14:textId="77777777" w:rsidR="00C853BF" w:rsidRPr="00B17671" w:rsidRDefault="00C853BF" w:rsidP="00C853BF">
      <w:pPr>
        <w:pStyle w:val="Odstavecseseznamem"/>
        <w:numPr>
          <w:ilvl w:val="0"/>
          <w:numId w:val="19"/>
        </w:numPr>
        <w:ind w:left="1985" w:hanging="425"/>
        <w:rPr>
          <w:sz w:val="24"/>
          <w:szCs w:val="24"/>
        </w:rPr>
      </w:pPr>
      <w:r w:rsidRPr="00B17671">
        <w:rPr>
          <w:sz w:val="24"/>
          <w:szCs w:val="24"/>
        </w:rPr>
        <w:t>Nízká mediální podpora tohoto nástroje ze strany státu.</w:t>
      </w:r>
    </w:p>
    <w:p w14:paraId="66E47096" w14:textId="77777777" w:rsidR="00C853BF" w:rsidRPr="00B17671" w:rsidRDefault="00C853BF" w:rsidP="00C853BF">
      <w:pPr>
        <w:pStyle w:val="Odstavecseseznamem"/>
        <w:numPr>
          <w:ilvl w:val="0"/>
          <w:numId w:val="19"/>
        </w:numPr>
        <w:ind w:left="1985" w:hanging="425"/>
        <w:jc w:val="both"/>
        <w:rPr>
          <w:rFonts w:eastAsiaTheme="minorHAnsi"/>
          <w:sz w:val="24"/>
          <w:szCs w:val="24"/>
          <w:lang w:eastAsia="en-US"/>
        </w:rPr>
      </w:pPr>
      <w:r w:rsidRPr="00B17671">
        <w:rPr>
          <w:rFonts w:eastAsiaTheme="minorHAnsi"/>
          <w:sz w:val="24"/>
          <w:szCs w:val="24"/>
          <w:lang w:eastAsia="en-US"/>
        </w:rPr>
        <w:t>Judikáty, které jsou k dispozici, se váží ke zdaňovacímu období do roku 2018, aktuálně nejsou k dispozici judikáty po novelizaci zákona o dani z příjmu, a nelze vyhodnotit dopad změn zcela komplexně.</w:t>
      </w:r>
    </w:p>
    <w:p w14:paraId="64C028BF" w14:textId="48DA3776" w:rsidR="00062F7C" w:rsidRDefault="00C853BF" w:rsidP="00C853BF">
      <w:pPr>
        <w:pStyle w:val="Odstavecseseznamem"/>
        <w:numPr>
          <w:ilvl w:val="0"/>
          <w:numId w:val="19"/>
        </w:numPr>
        <w:ind w:left="1985" w:hanging="425"/>
        <w:jc w:val="both"/>
        <w:rPr>
          <w:rFonts w:eastAsiaTheme="minorHAnsi"/>
          <w:sz w:val="24"/>
          <w:szCs w:val="24"/>
          <w:lang w:eastAsia="en-US"/>
        </w:rPr>
      </w:pPr>
      <w:r w:rsidRPr="00B17671">
        <w:rPr>
          <w:rFonts w:eastAsiaTheme="minorHAnsi"/>
          <w:sz w:val="24"/>
          <w:szCs w:val="24"/>
          <w:lang w:eastAsia="en-US"/>
        </w:rPr>
        <w:t>Vysvětlení GFŘ:  Judikatura po novele z roku 2019 není k dispozici z objektivních příčin. Existuje zde velmi nízká pravděpodobnost zahájení soudního řízení (natož jeho ukončení) za ZO 2019 a násl., a to s ohledem na lhůtu pro podání DP, případné kontrolní postupy, odvolací řízení atd.</w:t>
      </w:r>
    </w:p>
    <w:p w14:paraId="3915CCE3" w14:textId="3B06B3C2" w:rsidR="00C853BF" w:rsidRPr="00062F7C" w:rsidRDefault="00062F7C" w:rsidP="00062F7C">
      <w:pPr>
        <w:rPr>
          <w:rFonts w:eastAsiaTheme="minorHAnsi"/>
          <w:sz w:val="24"/>
          <w:szCs w:val="24"/>
          <w:lang w:eastAsia="en-US"/>
        </w:rPr>
      </w:pPr>
      <w:r>
        <w:rPr>
          <w:rFonts w:eastAsiaTheme="minorHAnsi"/>
          <w:sz w:val="24"/>
          <w:szCs w:val="24"/>
          <w:lang w:eastAsia="en-US"/>
        </w:rPr>
        <w:br w:type="page"/>
      </w:r>
    </w:p>
    <w:p w14:paraId="3AE803B3" w14:textId="507E79A4" w:rsidR="00C853BF" w:rsidRPr="00C853BF" w:rsidRDefault="00EA16A6" w:rsidP="00C853BF">
      <w:pPr>
        <w:pStyle w:val="Nadpis1"/>
        <w:spacing w:line="240" w:lineRule="auto"/>
        <w:ind w:left="567" w:hanging="141"/>
        <w:jc w:val="both"/>
        <w:rPr>
          <w:rFonts w:ascii="Calibri" w:eastAsia="Calibri" w:hAnsi="Calibri" w:cs="Calibri"/>
          <w:b/>
          <w:color w:val="002060"/>
          <w:sz w:val="28"/>
          <w:szCs w:val="22"/>
        </w:rPr>
      </w:pPr>
      <w:r>
        <w:rPr>
          <w:rFonts w:ascii="Calibri" w:eastAsia="Calibri" w:hAnsi="Calibri" w:cs="Calibri"/>
          <w:b/>
          <w:color w:val="002060"/>
          <w:sz w:val="28"/>
          <w:szCs w:val="22"/>
        </w:rPr>
        <w:lastRenderedPageBreak/>
        <w:t>Diskutované návrhy PSDO 2022</w:t>
      </w:r>
      <w:r w:rsidR="00C853BF" w:rsidRPr="00C853BF">
        <w:rPr>
          <w:rFonts w:ascii="Calibri" w:eastAsia="Calibri" w:hAnsi="Calibri" w:cs="Calibri"/>
          <w:b/>
          <w:color w:val="002060"/>
          <w:sz w:val="28"/>
          <w:szCs w:val="22"/>
        </w:rPr>
        <w:t xml:space="preserve"> vedoucí k zlepšení stavu</w:t>
      </w:r>
    </w:p>
    <w:p w14:paraId="71E2BB79" w14:textId="1D8FC09F" w:rsidR="00C853BF" w:rsidRPr="00C853BF" w:rsidRDefault="00CD1F0E" w:rsidP="00C853BF">
      <w:pPr>
        <w:pStyle w:val="Odstavecseseznamem"/>
        <w:numPr>
          <w:ilvl w:val="0"/>
          <w:numId w:val="20"/>
        </w:numPr>
        <w:ind w:left="1985" w:hanging="425"/>
        <w:rPr>
          <w:b/>
          <w:color w:val="002060"/>
          <w:sz w:val="24"/>
          <w:szCs w:val="24"/>
        </w:rPr>
      </w:pPr>
      <w:r>
        <w:rPr>
          <w:b/>
          <w:color w:val="002060"/>
          <w:sz w:val="24"/>
          <w:szCs w:val="24"/>
        </w:rPr>
        <w:t>Legislativní změny</w:t>
      </w:r>
    </w:p>
    <w:p w14:paraId="223EFBCF" w14:textId="77777777" w:rsidR="00C853BF" w:rsidRPr="00AE16EB" w:rsidRDefault="00C853BF" w:rsidP="00C853BF">
      <w:pPr>
        <w:pStyle w:val="Odstavecseseznamem"/>
        <w:ind w:left="1985"/>
        <w:rPr>
          <w:b/>
          <w:sz w:val="14"/>
          <w:szCs w:val="24"/>
        </w:rPr>
      </w:pPr>
    </w:p>
    <w:p w14:paraId="654EE892" w14:textId="29C4B3D5" w:rsidR="00C853BF" w:rsidRPr="0090028F" w:rsidRDefault="00C853BF" w:rsidP="00C853BF">
      <w:pPr>
        <w:pStyle w:val="Odstavecseseznamem"/>
        <w:numPr>
          <w:ilvl w:val="1"/>
          <w:numId w:val="20"/>
        </w:numPr>
        <w:jc w:val="both"/>
        <w:rPr>
          <w:b/>
          <w:sz w:val="24"/>
          <w:szCs w:val="24"/>
        </w:rPr>
      </w:pPr>
      <w:r>
        <w:rPr>
          <w:sz w:val="24"/>
          <w:szCs w:val="24"/>
        </w:rPr>
        <w:t>U</w:t>
      </w:r>
      <w:r w:rsidRPr="0051237A">
        <w:rPr>
          <w:sz w:val="24"/>
          <w:szCs w:val="24"/>
        </w:rPr>
        <w:t xml:space="preserve">možnění </w:t>
      </w:r>
      <w:r>
        <w:rPr>
          <w:sz w:val="24"/>
          <w:szCs w:val="24"/>
        </w:rPr>
        <w:t>dokazování v průběhu daňového  řízení, i v</w:t>
      </w:r>
      <w:r w:rsidR="00250510">
        <w:rPr>
          <w:sz w:val="24"/>
          <w:szCs w:val="24"/>
        </w:rPr>
        <w:t> </w:t>
      </w:r>
      <w:r>
        <w:rPr>
          <w:sz w:val="24"/>
          <w:szCs w:val="24"/>
        </w:rPr>
        <w:t>situaci</w:t>
      </w:r>
      <w:r w:rsidR="00250510">
        <w:rPr>
          <w:sz w:val="24"/>
          <w:szCs w:val="24"/>
        </w:rPr>
        <w:t>, kdy </w:t>
      </w:r>
      <w:r>
        <w:rPr>
          <w:sz w:val="24"/>
          <w:szCs w:val="24"/>
        </w:rPr>
        <w:t xml:space="preserve">nebudou naplněny všechny formální náležitosti, ale prokazatelně půjde o </w:t>
      </w:r>
      <w:proofErr w:type="spellStart"/>
      <w:r>
        <w:rPr>
          <w:sz w:val="24"/>
          <w:szCs w:val="24"/>
        </w:rPr>
        <w:t>VaV</w:t>
      </w:r>
      <w:proofErr w:type="spellEnd"/>
      <w:r>
        <w:rPr>
          <w:sz w:val="24"/>
          <w:szCs w:val="24"/>
        </w:rPr>
        <w:t>.</w:t>
      </w:r>
    </w:p>
    <w:p w14:paraId="1F3D27F8" w14:textId="77777777" w:rsidR="00C853BF" w:rsidRPr="00F62EB4" w:rsidRDefault="00C853BF" w:rsidP="00C853BF">
      <w:pPr>
        <w:pStyle w:val="Odstavecseseznamem"/>
        <w:numPr>
          <w:ilvl w:val="1"/>
          <w:numId w:val="20"/>
        </w:numPr>
        <w:jc w:val="both"/>
        <w:rPr>
          <w:b/>
          <w:sz w:val="24"/>
          <w:szCs w:val="24"/>
        </w:rPr>
      </w:pPr>
      <w:r>
        <w:rPr>
          <w:sz w:val="24"/>
          <w:szCs w:val="24"/>
        </w:rPr>
        <w:t xml:space="preserve">Změny </w:t>
      </w:r>
      <w:r w:rsidRPr="00BF4444">
        <w:rPr>
          <w:rFonts w:cs="Calibri"/>
          <w:sz w:val="24"/>
        </w:rPr>
        <w:t>zákon</w:t>
      </w:r>
      <w:r>
        <w:rPr>
          <w:rFonts w:cs="Calibri"/>
          <w:sz w:val="24"/>
        </w:rPr>
        <w:t>a č.</w:t>
      </w:r>
      <w:r w:rsidRPr="00BF4444">
        <w:rPr>
          <w:rFonts w:cs="Calibri"/>
          <w:sz w:val="24"/>
        </w:rPr>
        <w:t xml:space="preserve"> 586/1992 Sb., o daních z</w:t>
      </w:r>
      <w:r>
        <w:rPr>
          <w:rFonts w:cs="Calibri"/>
          <w:sz w:val="24"/>
        </w:rPr>
        <w:t> </w:t>
      </w:r>
      <w:r w:rsidRPr="00BF4444">
        <w:rPr>
          <w:rFonts w:cs="Calibri"/>
          <w:sz w:val="24"/>
        </w:rPr>
        <w:t>příjmu</w:t>
      </w:r>
      <w:r>
        <w:rPr>
          <w:rFonts w:cs="Calibri"/>
          <w:sz w:val="24"/>
        </w:rPr>
        <w:t xml:space="preserve"> ve věci následného umožnění oprav či doplnění (například jinými nezpochybnitelnými doklady a důkazními prostředky) náležitostí v projektu a umožnění následného dokazování.</w:t>
      </w:r>
    </w:p>
    <w:p w14:paraId="08332366" w14:textId="77777777" w:rsidR="00C853BF" w:rsidRPr="00F62EB4" w:rsidRDefault="00C853BF" w:rsidP="00C853BF">
      <w:pPr>
        <w:pStyle w:val="Odstavecseseznamem"/>
        <w:numPr>
          <w:ilvl w:val="1"/>
          <w:numId w:val="20"/>
        </w:numPr>
        <w:jc w:val="both"/>
        <w:rPr>
          <w:b/>
          <w:sz w:val="24"/>
          <w:szCs w:val="24"/>
        </w:rPr>
      </w:pPr>
      <w:r>
        <w:rPr>
          <w:sz w:val="24"/>
          <w:szCs w:val="24"/>
        </w:rPr>
        <w:t xml:space="preserve">Umožnit  vyhotovení </w:t>
      </w:r>
      <w:r w:rsidRPr="0051237A">
        <w:rPr>
          <w:sz w:val="24"/>
          <w:szCs w:val="24"/>
        </w:rPr>
        <w:t>posudku</w:t>
      </w:r>
      <w:r>
        <w:rPr>
          <w:sz w:val="24"/>
          <w:szCs w:val="24"/>
        </w:rPr>
        <w:t xml:space="preserve"> k obecnému obsahu projektu </w:t>
      </w:r>
      <w:proofErr w:type="spellStart"/>
      <w:r>
        <w:rPr>
          <w:sz w:val="24"/>
          <w:szCs w:val="24"/>
        </w:rPr>
        <w:t>VaV</w:t>
      </w:r>
      <w:proofErr w:type="spellEnd"/>
      <w:r>
        <w:rPr>
          <w:sz w:val="24"/>
          <w:szCs w:val="24"/>
        </w:rPr>
        <w:t xml:space="preserve">, </w:t>
      </w:r>
      <w:proofErr w:type="gramStart"/>
      <w:r>
        <w:rPr>
          <w:sz w:val="24"/>
          <w:szCs w:val="24"/>
        </w:rPr>
        <w:t>tzn. zda</w:t>
      </w:r>
      <w:proofErr w:type="gramEnd"/>
      <w:r w:rsidRPr="0051237A">
        <w:rPr>
          <w:sz w:val="24"/>
          <w:szCs w:val="24"/>
        </w:rPr>
        <w:t xml:space="preserve"> se jedná o projekt </w:t>
      </w:r>
      <w:proofErr w:type="spellStart"/>
      <w:r w:rsidRPr="0051237A">
        <w:rPr>
          <w:sz w:val="24"/>
          <w:szCs w:val="24"/>
        </w:rPr>
        <w:t>VaV</w:t>
      </w:r>
      <w:proofErr w:type="spellEnd"/>
      <w:r>
        <w:rPr>
          <w:sz w:val="24"/>
          <w:szCs w:val="24"/>
        </w:rPr>
        <w:t>, např.</w:t>
      </w:r>
      <w:r w:rsidRPr="0051237A">
        <w:rPr>
          <w:sz w:val="24"/>
          <w:szCs w:val="24"/>
        </w:rPr>
        <w:t xml:space="preserve"> od MPO nebo </w:t>
      </w:r>
      <w:r>
        <w:rPr>
          <w:sz w:val="24"/>
          <w:szCs w:val="24"/>
        </w:rPr>
        <w:t xml:space="preserve">od </w:t>
      </w:r>
      <w:r w:rsidRPr="0051237A">
        <w:rPr>
          <w:sz w:val="24"/>
          <w:szCs w:val="24"/>
        </w:rPr>
        <w:t>TA ČR</w:t>
      </w:r>
      <w:r>
        <w:rPr>
          <w:sz w:val="24"/>
          <w:szCs w:val="24"/>
        </w:rPr>
        <w:t>.</w:t>
      </w:r>
    </w:p>
    <w:p w14:paraId="2CE1AC6A" w14:textId="77777777" w:rsidR="00C853BF" w:rsidRPr="00B17671" w:rsidRDefault="00C853BF" w:rsidP="00C853BF">
      <w:pPr>
        <w:pStyle w:val="Odstavecseseznamem"/>
        <w:numPr>
          <w:ilvl w:val="1"/>
          <w:numId w:val="20"/>
        </w:numPr>
        <w:jc w:val="both"/>
        <w:rPr>
          <w:sz w:val="24"/>
          <w:szCs w:val="24"/>
        </w:rPr>
      </w:pPr>
      <w:r w:rsidRPr="00B17671">
        <w:rPr>
          <w:sz w:val="24"/>
          <w:szCs w:val="24"/>
        </w:rPr>
        <w:t>Zvážit možnost zavedení limitu/stropu pro velké firmy pro daňové odpočty (Švédsko, Norsko, Nizozemí, Kanada).</w:t>
      </w:r>
    </w:p>
    <w:p w14:paraId="68A0265D" w14:textId="03595B45" w:rsidR="00C853BF" w:rsidRPr="00B17671" w:rsidRDefault="00CD1F0E" w:rsidP="00C853BF">
      <w:pPr>
        <w:pStyle w:val="Odstavecseseznamem"/>
        <w:numPr>
          <w:ilvl w:val="1"/>
          <w:numId w:val="20"/>
        </w:numPr>
        <w:jc w:val="both"/>
        <w:rPr>
          <w:sz w:val="24"/>
          <w:szCs w:val="24"/>
        </w:rPr>
      </w:pPr>
      <w:r>
        <w:rPr>
          <w:sz w:val="24"/>
          <w:szCs w:val="24"/>
        </w:rPr>
        <w:t>Z</w:t>
      </w:r>
      <w:r w:rsidR="00C853BF" w:rsidRPr="00B17671">
        <w:rPr>
          <w:sz w:val="24"/>
          <w:szCs w:val="24"/>
        </w:rPr>
        <w:t>výšení této nepřímé podpory pro SME, členit podporu dle velikosti příjemců.</w:t>
      </w:r>
    </w:p>
    <w:p w14:paraId="62EC9F0A" w14:textId="65D6E642" w:rsidR="00C853BF" w:rsidRDefault="00C853BF" w:rsidP="00C853BF">
      <w:pPr>
        <w:pStyle w:val="Odstavecseseznamem"/>
        <w:numPr>
          <w:ilvl w:val="1"/>
          <w:numId w:val="20"/>
        </w:numPr>
        <w:jc w:val="both"/>
        <w:rPr>
          <w:sz w:val="24"/>
          <w:szCs w:val="24"/>
        </w:rPr>
      </w:pPr>
      <w:r w:rsidRPr="00B17671">
        <w:rPr>
          <w:sz w:val="24"/>
          <w:szCs w:val="24"/>
        </w:rPr>
        <w:t xml:space="preserve">Zvážit možnost pro nově začínají firmy (start-up) a realizují </w:t>
      </w:r>
      <w:proofErr w:type="spellStart"/>
      <w:r w:rsidRPr="00B17671">
        <w:rPr>
          <w:sz w:val="24"/>
          <w:szCs w:val="24"/>
        </w:rPr>
        <w:t>VaV</w:t>
      </w:r>
      <w:proofErr w:type="spellEnd"/>
      <w:r w:rsidRPr="00B17671">
        <w:rPr>
          <w:sz w:val="24"/>
          <w:szCs w:val="24"/>
        </w:rPr>
        <w:t xml:space="preserve"> vyplacení</w:t>
      </w:r>
      <w:r w:rsidR="00CD1F0E">
        <w:rPr>
          <w:sz w:val="24"/>
          <w:szCs w:val="24"/>
        </w:rPr>
        <w:t>m</w:t>
      </w:r>
      <w:r w:rsidRPr="00B17671">
        <w:rPr>
          <w:sz w:val="24"/>
          <w:szCs w:val="24"/>
        </w:rPr>
        <w:t xml:space="preserve"> výdajů ve formě „cash </w:t>
      </w:r>
      <w:proofErr w:type="spellStart"/>
      <w:r w:rsidRPr="00B17671">
        <w:rPr>
          <w:sz w:val="24"/>
          <w:szCs w:val="24"/>
        </w:rPr>
        <w:t>back</w:t>
      </w:r>
      <w:proofErr w:type="spellEnd"/>
      <w:r w:rsidRPr="00B17671">
        <w:rPr>
          <w:sz w:val="24"/>
          <w:szCs w:val="24"/>
        </w:rPr>
        <w:t>“.</w:t>
      </w:r>
    </w:p>
    <w:p w14:paraId="2A9E39FF" w14:textId="3BE134F9" w:rsidR="00C853BF" w:rsidRPr="00C853BF" w:rsidRDefault="00C853BF" w:rsidP="00C853BF">
      <w:pPr>
        <w:pStyle w:val="Odstavecseseznamem"/>
        <w:numPr>
          <w:ilvl w:val="1"/>
          <w:numId w:val="20"/>
        </w:numPr>
        <w:jc w:val="both"/>
        <w:rPr>
          <w:rFonts w:eastAsia="Times New Roman" w:cstheme="minorHAnsi"/>
          <w:sz w:val="24"/>
          <w:szCs w:val="24"/>
        </w:rPr>
      </w:pPr>
      <w:r w:rsidRPr="00C853BF">
        <w:rPr>
          <w:rFonts w:eastAsia="Times New Roman" w:cstheme="minorHAnsi"/>
          <w:sz w:val="24"/>
          <w:szCs w:val="24"/>
        </w:rPr>
        <w:t>Daňový odpočet nelze legislat</w:t>
      </w:r>
      <w:r w:rsidR="00250510">
        <w:rPr>
          <w:rFonts w:eastAsia="Times New Roman" w:cstheme="minorHAnsi"/>
          <w:sz w:val="24"/>
          <w:szCs w:val="24"/>
        </w:rPr>
        <w:t>ivně ošetřit jiným zákonem, než </w:t>
      </w:r>
      <w:r w:rsidRPr="00C853BF">
        <w:rPr>
          <w:rFonts w:eastAsia="Times New Roman" w:cstheme="minorHAnsi"/>
          <w:sz w:val="24"/>
          <w:szCs w:val="24"/>
        </w:rPr>
        <w:t>zákonem o daních z příjmů č. 586/1992 Sb., nelze bez změny zákona o daních z příjmů č. 586/1992 Sb. udělat pouze změnu zákona č. 130/2002 Sb.</w:t>
      </w:r>
    </w:p>
    <w:p w14:paraId="1323ACAD" w14:textId="77777777" w:rsidR="00C853BF" w:rsidRPr="00C853BF" w:rsidRDefault="00C853BF" w:rsidP="00C853BF">
      <w:pPr>
        <w:pStyle w:val="Odstavecseseznamem"/>
        <w:spacing w:after="240"/>
        <w:ind w:left="2858"/>
        <w:rPr>
          <w:b/>
          <w:color w:val="002060"/>
          <w:sz w:val="24"/>
          <w:szCs w:val="24"/>
        </w:rPr>
      </w:pPr>
    </w:p>
    <w:p w14:paraId="5AA435CC" w14:textId="77777777" w:rsidR="00C853BF" w:rsidRPr="00C853BF" w:rsidRDefault="00C853BF" w:rsidP="00C853BF">
      <w:pPr>
        <w:pStyle w:val="Odstavecseseznamem"/>
        <w:numPr>
          <w:ilvl w:val="0"/>
          <w:numId w:val="20"/>
        </w:numPr>
        <w:ind w:left="1985" w:hanging="425"/>
        <w:rPr>
          <w:b/>
          <w:color w:val="002060"/>
          <w:sz w:val="24"/>
          <w:szCs w:val="24"/>
        </w:rPr>
      </w:pPr>
      <w:r w:rsidRPr="00C853BF">
        <w:rPr>
          <w:b/>
          <w:color w:val="002060"/>
          <w:sz w:val="24"/>
          <w:szCs w:val="24"/>
        </w:rPr>
        <w:t>Úprava materiálů a</w:t>
      </w:r>
      <w:r w:rsidRPr="00C853BF">
        <w:rPr>
          <w:color w:val="002060"/>
          <w:sz w:val="24"/>
          <w:szCs w:val="24"/>
        </w:rPr>
        <w:t xml:space="preserve"> </w:t>
      </w:r>
      <w:r w:rsidRPr="00C853BF">
        <w:rPr>
          <w:b/>
          <w:color w:val="002060"/>
          <w:sz w:val="24"/>
          <w:szCs w:val="24"/>
        </w:rPr>
        <w:t>postupů finanční správy</w:t>
      </w:r>
    </w:p>
    <w:p w14:paraId="68B0C1DA" w14:textId="77777777" w:rsidR="00C853BF" w:rsidRPr="00AE16EB" w:rsidRDefault="00C853BF" w:rsidP="00C853BF">
      <w:pPr>
        <w:pStyle w:val="Odstavecseseznamem"/>
        <w:ind w:left="1985"/>
        <w:jc w:val="both"/>
        <w:rPr>
          <w:b/>
          <w:sz w:val="14"/>
          <w:szCs w:val="24"/>
        </w:rPr>
      </w:pPr>
    </w:p>
    <w:p w14:paraId="6009B3DE" w14:textId="77777777" w:rsidR="00C853BF" w:rsidRDefault="00C853BF" w:rsidP="00C853BF">
      <w:pPr>
        <w:pStyle w:val="Odstavecseseznamem"/>
        <w:numPr>
          <w:ilvl w:val="1"/>
          <w:numId w:val="20"/>
        </w:numPr>
        <w:jc w:val="both"/>
        <w:rPr>
          <w:sz w:val="24"/>
          <w:szCs w:val="24"/>
        </w:rPr>
      </w:pPr>
      <w:r w:rsidRPr="009C6D4A">
        <w:rPr>
          <w:sz w:val="24"/>
          <w:szCs w:val="24"/>
        </w:rPr>
        <w:t>Vytvořit intera</w:t>
      </w:r>
      <w:r>
        <w:rPr>
          <w:sz w:val="24"/>
          <w:szCs w:val="24"/>
        </w:rPr>
        <w:t>k</w:t>
      </w:r>
      <w:r w:rsidRPr="009C6D4A">
        <w:rPr>
          <w:sz w:val="24"/>
          <w:szCs w:val="24"/>
        </w:rPr>
        <w:t>tivní formulář, který by neumožnil zadat formální chyby</w:t>
      </w:r>
      <w:r>
        <w:rPr>
          <w:sz w:val="24"/>
          <w:szCs w:val="24"/>
        </w:rPr>
        <w:t xml:space="preserve"> v náležitostech projektové dokumentace.</w:t>
      </w:r>
    </w:p>
    <w:p w14:paraId="6F462629" w14:textId="77777777" w:rsidR="00C853BF" w:rsidRDefault="00C853BF" w:rsidP="00C853BF">
      <w:pPr>
        <w:pStyle w:val="Odstavecseseznamem"/>
        <w:numPr>
          <w:ilvl w:val="1"/>
          <w:numId w:val="20"/>
        </w:numPr>
        <w:jc w:val="both"/>
        <w:rPr>
          <w:sz w:val="24"/>
          <w:szCs w:val="24"/>
        </w:rPr>
      </w:pPr>
      <w:r>
        <w:rPr>
          <w:sz w:val="24"/>
          <w:szCs w:val="24"/>
        </w:rPr>
        <w:t xml:space="preserve">Ověřit potřebu aktualizace interních procesů GFŘ pro kontrolní pracovníky finanční správy k provádění kontrol uplatněných odpočtů na </w:t>
      </w:r>
      <w:proofErr w:type="spellStart"/>
      <w:r>
        <w:rPr>
          <w:sz w:val="24"/>
          <w:szCs w:val="24"/>
        </w:rPr>
        <w:t>VaV</w:t>
      </w:r>
      <w:proofErr w:type="spellEnd"/>
      <w:r>
        <w:rPr>
          <w:sz w:val="24"/>
          <w:szCs w:val="24"/>
        </w:rPr>
        <w:t>.</w:t>
      </w:r>
    </w:p>
    <w:p w14:paraId="7132DCEA" w14:textId="77777777" w:rsidR="00C853BF" w:rsidRPr="005A0087" w:rsidRDefault="00C853BF" w:rsidP="00C853BF">
      <w:pPr>
        <w:pStyle w:val="Odstavecseseznamem"/>
        <w:numPr>
          <w:ilvl w:val="1"/>
          <w:numId w:val="20"/>
        </w:numPr>
        <w:jc w:val="both"/>
        <w:rPr>
          <w:sz w:val="24"/>
          <w:szCs w:val="24"/>
        </w:rPr>
      </w:pPr>
      <w:r>
        <w:rPr>
          <w:sz w:val="24"/>
          <w:szCs w:val="24"/>
        </w:rPr>
        <w:t>Ověřit možnost zlepšit novými opatřeními přístup k informacím finanční správy a zlepšit konzultační roli finančních úřadů</w:t>
      </w:r>
      <w:r w:rsidRPr="005A0087">
        <w:rPr>
          <w:sz w:val="24"/>
          <w:szCs w:val="24"/>
        </w:rPr>
        <w:t>.</w:t>
      </w:r>
    </w:p>
    <w:p w14:paraId="6C7CDE34" w14:textId="77777777" w:rsidR="00467179" w:rsidRPr="00C853BF" w:rsidRDefault="00467179" w:rsidP="00C853BF">
      <w:pPr>
        <w:pStyle w:val="Odstavecseseznamem"/>
        <w:spacing w:after="240"/>
        <w:ind w:left="2858"/>
        <w:rPr>
          <w:color w:val="002060"/>
          <w:sz w:val="24"/>
          <w:szCs w:val="24"/>
        </w:rPr>
      </w:pPr>
    </w:p>
    <w:p w14:paraId="01BF10D6" w14:textId="77777777" w:rsidR="00C853BF" w:rsidRPr="00C853BF" w:rsidRDefault="00C853BF" w:rsidP="00C853BF">
      <w:pPr>
        <w:pStyle w:val="Odstavecseseznamem"/>
        <w:numPr>
          <w:ilvl w:val="0"/>
          <w:numId w:val="20"/>
        </w:numPr>
        <w:spacing w:after="240"/>
        <w:ind w:left="1984" w:hanging="425"/>
        <w:rPr>
          <w:b/>
          <w:color w:val="002060"/>
          <w:sz w:val="24"/>
          <w:szCs w:val="24"/>
        </w:rPr>
      </w:pPr>
      <w:r w:rsidRPr="00C853BF">
        <w:rPr>
          <w:b/>
          <w:color w:val="002060"/>
          <w:sz w:val="24"/>
          <w:szCs w:val="24"/>
        </w:rPr>
        <w:t>Veřejné prohlášení zájmu o rozšíření této podpory</w:t>
      </w:r>
    </w:p>
    <w:p w14:paraId="19F589FB" w14:textId="77777777" w:rsidR="00C853BF" w:rsidRPr="00AE16EB" w:rsidRDefault="00C853BF" w:rsidP="00C853BF">
      <w:pPr>
        <w:pStyle w:val="Odstavecseseznamem"/>
        <w:spacing w:after="240"/>
        <w:ind w:left="1984"/>
        <w:rPr>
          <w:b/>
          <w:color w:val="2E74B5" w:themeColor="accent1" w:themeShade="BF"/>
          <w:sz w:val="14"/>
          <w:szCs w:val="24"/>
        </w:rPr>
      </w:pPr>
    </w:p>
    <w:p w14:paraId="7BBB2A6A" w14:textId="097A2CFB" w:rsidR="00C853BF" w:rsidRPr="00FF4C7C" w:rsidRDefault="00C853BF" w:rsidP="00C853BF">
      <w:pPr>
        <w:pStyle w:val="Odstavecseseznamem"/>
        <w:numPr>
          <w:ilvl w:val="1"/>
          <w:numId w:val="20"/>
        </w:numPr>
        <w:jc w:val="both"/>
        <w:rPr>
          <w:sz w:val="24"/>
          <w:szCs w:val="24"/>
        </w:rPr>
      </w:pPr>
      <w:r w:rsidRPr="00FF4C7C">
        <w:rPr>
          <w:sz w:val="24"/>
          <w:szCs w:val="24"/>
        </w:rPr>
        <w:t>Uspořádání kulatého stolu nebo konference za přítomnosti představitelů</w:t>
      </w:r>
      <w:r w:rsidR="004535E1">
        <w:rPr>
          <w:sz w:val="24"/>
          <w:szCs w:val="24"/>
        </w:rPr>
        <w:t xml:space="preserve"> dotčených</w:t>
      </w:r>
      <w:r w:rsidRPr="00FF4C7C">
        <w:rPr>
          <w:sz w:val="24"/>
          <w:szCs w:val="24"/>
        </w:rPr>
        <w:t xml:space="preserve"> </w:t>
      </w:r>
      <w:r w:rsidR="004535E1">
        <w:rPr>
          <w:sz w:val="24"/>
          <w:szCs w:val="24"/>
        </w:rPr>
        <w:t>resortů</w:t>
      </w:r>
      <w:r>
        <w:rPr>
          <w:sz w:val="24"/>
          <w:szCs w:val="24"/>
        </w:rPr>
        <w:t xml:space="preserve"> a odb</w:t>
      </w:r>
      <w:r w:rsidRPr="00FF4C7C">
        <w:rPr>
          <w:sz w:val="24"/>
          <w:szCs w:val="24"/>
        </w:rPr>
        <w:t>orné veřejnosti</w:t>
      </w:r>
      <w:r>
        <w:rPr>
          <w:sz w:val="24"/>
          <w:szCs w:val="24"/>
        </w:rPr>
        <w:t xml:space="preserve"> (firmy, daňový experti, finanční zpráva).</w:t>
      </w:r>
    </w:p>
    <w:p w14:paraId="5657193F" w14:textId="302D2F79" w:rsidR="00C853BF" w:rsidRDefault="00C853BF" w:rsidP="00C853BF">
      <w:pPr>
        <w:pStyle w:val="Odstavecseseznamem"/>
        <w:numPr>
          <w:ilvl w:val="1"/>
          <w:numId w:val="20"/>
        </w:numPr>
        <w:jc w:val="both"/>
        <w:rPr>
          <w:sz w:val="24"/>
          <w:szCs w:val="24"/>
        </w:rPr>
      </w:pPr>
      <w:r w:rsidRPr="00FF4C7C">
        <w:rPr>
          <w:sz w:val="24"/>
          <w:szCs w:val="24"/>
        </w:rPr>
        <w:t>Veřejné prohlášení ministr</w:t>
      </w:r>
      <w:r>
        <w:rPr>
          <w:sz w:val="24"/>
          <w:szCs w:val="24"/>
        </w:rPr>
        <w:t>y</w:t>
      </w:r>
      <w:r w:rsidRPr="00FF4C7C">
        <w:rPr>
          <w:sz w:val="24"/>
          <w:szCs w:val="24"/>
        </w:rPr>
        <w:t xml:space="preserve">ně </w:t>
      </w:r>
      <w:r w:rsidR="004535E1">
        <w:rPr>
          <w:sz w:val="24"/>
          <w:szCs w:val="24"/>
        </w:rPr>
        <w:t>pro vědu, výzkum a inovace</w:t>
      </w:r>
      <w:r w:rsidRPr="00FF4C7C">
        <w:rPr>
          <w:sz w:val="24"/>
          <w:szCs w:val="24"/>
        </w:rPr>
        <w:t xml:space="preserve"> a ministra f</w:t>
      </w:r>
      <w:r>
        <w:rPr>
          <w:sz w:val="24"/>
          <w:szCs w:val="24"/>
        </w:rPr>
        <w:t>inancí o vládním zájmu zajistit</w:t>
      </w:r>
      <w:r w:rsidRPr="00FF4C7C">
        <w:rPr>
          <w:sz w:val="24"/>
          <w:szCs w:val="24"/>
        </w:rPr>
        <w:t xml:space="preserve"> větší využívání nástroje daňových odpočtů </w:t>
      </w:r>
      <w:r>
        <w:rPr>
          <w:sz w:val="24"/>
          <w:szCs w:val="24"/>
        </w:rPr>
        <w:t xml:space="preserve">na </w:t>
      </w:r>
      <w:proofErr w:type="spellStart"/>
      <w:r>
        <w:rPr>
          <w:sz w:val="24"/>
          <w:szCs w:val="24"/>
        </w:rPr>
        <w:t>VaV</w:t>
      </w:r>
      <w:proofErr w:type="spellEnd"/>
      <w:r>
        <w:rPr>
          <w:sz w:val="24"/>
          <w:szCs w:val="24"/>
        </w:rPr>
        <w:t xml:space="preserve"> a o </w:t>
      </w:r>
      <w:r w:rsidRPr="00FF4C7C">
        <w:rPr>
          <w:sz w:val="24"/>
          <w:szCs w:val="24"/>
        </w:rPr>
        <w:t>zajištění větší transparentnosti tohoto systému</w:t>
      </w:r>
      <w:r>
        <w:rPr>
          <w:sz w:val="24"/>
          <w:szCs w:val="24"/>
        </w:rPr>
        <w:t>.</w:t>
      </w:r>
    </w:p>
    <w:p w14:paraId="66705FB9" w14:textId="77777777" w:rsidR="00C853BF" w:rsidRDefault="00C853BF" w:rsidP="00C853BF">
      <w:pPr>
        <w:pStyle w:val="Odstavecseseznamem"/>
        <w:numPr>
          <w:ilvl w:val="1"/>
          <w:numId w:val="20"/>
        </w:numPr>
        <w:spacing w:after="0"/>
        <w:jc w:val="both"/>
        <w:rPr>
          <w:sz w:val="24"/>
          <w:szCs w:val="24"/>
        </w:rPr>
      </w:pPr>
      <w:r>
        <w:rPr>
          <w:sz w:val="24"/>
          <w:szCs w:val="24"/>
        </w:rPr>
        <w:t xml:space="preserve">Komunikovat směrem k ministerstvu financí, že nedochází k zátěži státního rozpočtu výší uplatněného daňového odpočtu, </w:t>
      </w:r>
      <w:proofErr w:type="gramStart"/>
      <w:r>
        <w:rPr>
          <w:sz w:val="24"/>
          <w:szCs w:val="24"/>
        </w:rPr>
        <w:t>tzn. nedochází</w:t>
      </w:r>
      <w:proofErr w:type="gramEnd"/>
      <w:r>
        <w:rPr>
          <w:sz w:val="24"/>
          <w:szCs w:val="24"/>
        </w:rPr>
        <w:t xml:space="preserve"> k velkému výpadku na příjmové části státního rozpočtu.</w:t>
      </w:r>
    </w:p>
    <w:p w14:paraId="11512F4D" w14:textId="250FA9D5" w:rsidR="00AD6890" w:rsidRPr="006A7703" w:rsidRDefault="00EE15EB" w:rsidP="00853B9F">
      <w:pPr>
        <w:pStyle w:val="Nadpis1"/>
        <w:numPr>
          <w:ilvl w:val="0"/>
          <w:numId w:val="25"/>
        </w:numPr>
        <w:spacing w:before="0" w:after="240"/>
        <w:ind w:left="284" w:hanging="284"/>
        <w:rPr>
          <w:rFonts w:eastAsia="Calibri"/>
          <w:b/>
          <w:szCs w:val="40"/>
        </w:rPr>
      </w:pPr>
      <w:r w:rsidRPr="00467179">
        <w:rPr>
          <w:rFonts w:eastAsia="Calibri"/>
          <w:b/>
          <w:szCs w:val="40"/>
        </w:rPr>
        <w:lastRenderedPageBreak/>
        <w:t xml:space="preserve">Možnosti přístupu k systému daňových odpočtů na </w:t>
      </w:r>
      <w:proofErr w:type="spellStart"/>
      <w:r w:rsidRPr="00467179">
        <w:rPr>
          <w:rFonts w:eastAsia="Calibri"/>
          <w:b/>
          <w:szCs w:val="40"/>
        </w:rPr>
        <w:t>Va</w:t>
      </w:r>
      <w:r w:rsidR="00D96E4E">
        <w:rPr>
          <w:rFonts w:eastAsia="Calibri"/>
          <w:b/>
          <w:szCs w:val="40"/>
        </w:rPr>
        <w:t>V</w:t>
      </w:r>
      <w:proofErr w:type="spellEnd"/>
      <w:r w:rsidR="00D96E4E">
        <w:rPr>
          <w:rFonts w:eastAsia="Calibri"/>
          <w:b/>
          <w:szCs w:val="40"/>
        </w:rPr>
        <w:t xml:space="preserve"> </w:t>
      </w:r>
    </w:p>
    <w:p w14:paraId="60514CA5" w14:textId="656F1E9B" w:rsidR="00C853BF" w:rsidRPr="00C375BB" w:rsidRDefault="00CF228C" w:rsidP="00D957F4">
      <w:pPr>
        <w:spacing w:line="276" w:lineRule="auto"/>
        <w:jc w:val="both"/>
        <w:rPr>
          <w:rFonts w:ascii="Calibri" w:eastAsia="Calibri" w:hAnsi="Calibri" w:cs="Calibri"/>
          <w:b/>
          <w:sz w:val="24"/>
        </w:rPr>
      </w:pPr>
      <w:r>
        <w:rPr>
          <w:rFonts w:ascii="Calibri" w:eastAsia="Calibri" w:hAnsi="Calibri" w:cs="Calibri"/>
          <w:b/>
          <w:sz w:val="24"/>
        </w:rPr>
        <w:t>Z pr</w:t>
      </w:r>
      <w:r w:rsidR="00D079E8">
        <w:rPr>
          <w:rFonts w:ascii="Calibri" w:eastAsia="Calibri" w:hAnsi="Calibri" w:cs="Calibri"/>
          <w:b/>
          <w:sz w:val="24"/>
        </w:rPr>
        <w:t>o</w:t>
      </w:r>
      <w:r>
        <w:rPr>
          <w:rFonts w:ascii="Calibri" w:eastAsia="Calibri" w:hAnsi="Calibri" w:cs="Calibri"/>
          <w:b/>
          <w:sz w:val="24"/>
        </w:rPr>
        <w:t xml:space="preserve">běhlých jednání vyplývá, že pro zlepšení </w:t>
      </w:r>
      <w:r w:rsidR="00C62F38">
        <w:rPr>
          <w:rFonts w:ascii="Calibri" w:eastAsia="Calibri" w:hAnsi="Calibri" w:cs="Calibri"/>
          <w:b/>
          <w:sz w:val="24"/>
        </w:rPr>
        <w:t xml:space="preserve">současného </w:t>
      </w:r>
      <w:r>
        <w:rPr>
          <w:rFonts w:ascii="Calibri" w:eastAsia="Calibri" w:hAnsi="Calibri" w:cs="Calibri"/>
          <w:b/>
          <w:sz w:val="24"/>
        </w:rPr>
        <w:t>systému je zapotřebí „pracovat“</w:t>
      </w:r>
      <w:r w:rsidR="00C853BF" w:rsidRPr="00C375BB">
        <w:rPr>
          <w:rFonts w:ascii="Calibri" w:eastAsia="Calibri" w:hAnsi="Calibri" w:cs="Calibri"/>
          <w:b/>
          <w:sz w:val="24"/>
        </w:rPr>
        <w:t xml:space="preserve"> na</w:t>
      </w:r>
      <w:r w:rsidR="00C62F38">
        <w:rPr>
          <w:rFonts w:ascii="Calibri" w:eastAsia="Calibri" w:hAnsi="Calibri" w:cs="Calibri"/>
          <w:b/>
          <w:sz w:val="24"/>
        </w:rPr>
        <w:t> </w:t>
      </w:r>
      <w:r w:rsidR="00C853BF" w:rsidRPr="00C375BB">
        <w:rPr>
          <w:rFonts w:ascii="Calibri" w:eastAsia="Calibri" w:hAnsi="Calibri" w:cs="Calibri"/>
          <w:b/>
          <w:sz w:val="24"/>
        </w:rPr>
        <w:t>3</w:t>
      </w:r>
      <w:r w:rsidR="00C62F38">
        <w:rPr>
          <w:rFonts w:ascii="Calibri" w:eastAsia="Calibri" w:hAnsi="Calibri" w:cs="Calibri"/>
          <w:b/>
          <w:sz w:val="24"/>
        </w:rPr>
        <w:t> </w:t>
      </w:r>
      <w:r w:rsidR="00C375BB">
        <w:rPr>
          <w:rFonts w:ascii="Calibri" w:eastAsia="Calibri" w:hAnsi="Calibri" w:cs="Calibri"/>
          <w:b/>
          <w:sz w:val="24"/>
        </w:rPr>
        <w:t xml:space="preserve">základních </w:t>
      </w:r>
      <w:r w:rsidR="00C853BF" w:rsidRPr="00C375BB">
        <w:rPr>
          <w:rFonts w:ascii="Calibri" w:eastAsia="Calibri" w:hAnsi="Calibri" w:cs="Calibri"/>
          <w:b/>
          <w:sz w:val="24"/>
        </w:rPr>
        <w:t xml:space="preserve">pilířích: </w:t>
      </w:r>
    </w:p>
    <w:p w14:paraId="0D69FDDF" w14:textId="781D9363" w:rsidR="00F73D9A" w:rsidRDefault="00F73D9A" w:rsidP="00F660D2">
      <w:pPr>
        <w:pStyle w:val="Odstavecseseznamem"/>
        <w:numPr>
          <w:ilvl w:val="0"/>
          <w:numId w:val="29"/>
        </w:numPr>
        <w:spacing w:line="276" w:lineRule="auto"/>
        <w:jc w:val="both"/>
        <w:rPr>
          <w:rFonts w:ascii="Calibri" w:eastAsia="Calibri" w:hAnsi="Calibri" w:cs="Calibri"/>
          <w:b/>
          <w:sz w:val="24"/>
        </w:rPr>
      </w:pPr>
      <w:r w:rsidRPr="00F73D9A">
        <w:rPr>
          <w:rFonts w:ascii="Calibri" w:eastAsia="Calibri" w:hAnsi="Calibri" w:cs="Calibri"/>
          <w:b/>
          <w:sz w:val="24"/>
        </w:rPr>
        <w:t xml:space="preserve">politická podpora </w:t>
      </w:r>
      <w:r>
        <w:rPr>
          <w:rFonts w:ascii="Calibri" w:eastAsia="Calibri" w:hAnsi="Calibri" w:cs="Calibri"/>
          <w:b/>
          <w:sz w:val="24"/>
        </w:rPr>
        <w:t>= s</w:t>
      </w:r>
      <w:r w:rsidRPr="00F73D9A">
        <w:rPr>
          <w:rFonts w:ascii="Calibri" w:eastAsia="Calibri" w:hAnsi="Calibri" w:cs="Calibri"/>
          <w:b/>
          <w:sz w:val="24"/>
        </w:rPr>
        <w:t xml:space="preserve">polečné </w:t>
      </w:r>
      <w:r w:rsidR="00D059FD">
        <w:rPr>
          <w:rFonts w:ascii="Calibri" w:eastAsia="Calibri" w:hAnsi="Calibri" w:cs="Calibri"/>
          <w:b/>
          <w:sz w:val="24"/>
        </w:rPr>
        <w:t xml:space="preserve">mediální </w:t>
      </w:r>
      <w:r w:rsidRPr="00F73D9A">
        <w:rPr>
          <w:rFonts w:ascii="Calibri" w:eastAsia="Calibri" w:hAnsi="Calibri" w:cs="Calibri"/>
          <w:b/>
          <w:sz w:val="24"/>
        </w:rPr>
        <w:t>prohlášení mi</w:t>
      </w:r>
      <w:r w:rsidR="00BC0ED5">
        <w:rPr>
          <w:rFonts w:ascii="Calibri" w:eastAsia="Calibri" w:hAnsi="Calibri" w:cs="Calibri"/>
          <w:b/>
          <w:sz w:val="24"/>
        </w:rPr>
        <w:t>nistra financí a ministryně pro </w:t>
      </w:r>
      <w:proofErr w:type="spellStart"/>
      <w:r w:rsidRPr="00F73D9A">
        <w:rPr>
          <w:rFonts w:ascii="Calibri" w:eastAsia="Calibri" w:hAnsi="Calibri" w:cs="Calibri"/>
          <w:b/>
          <w:sz w:val="24"/>
        </w:rPr>
        <w:t>VaVaI</w:t>
      </w:r>
      <w:proofErr w:type="spellEnd"/>
      <w:r w:rsidR="00D059FD">
        <w:rPr>
          <w:rFonts w:ascii="Calibri" w:eastAsia="Calibri" w:hAnsi="Calibri" w:cs="Calibri"/>
          <w:b/>
          <w:sz w:val="24"/>
        </w:rPr>
        <w:t xml:space="preserve"> včetně zadání pro jejich úřady</w:t>
      </w:r>
    </w:p>
    <w:p w14:paraId="0E7C8A14" w14:textId="1CB902A9" w:rsidR="00F73D9A" w:rsidRPr="00D059FD" w:rsidRDefault="00F73D9A" w:rsidP="00D96E4E">
      <w:pPr>
        <w:pStyle w:val="Odstavecseseznamem"/>
        <w:numPr>
          <w:ilvl w:val="0"/>
          <w:numId w:val="30"/>
        </w:numPr>
        <w:spacing w:line="276" w:lineRule="auto"/>
        <w:ind w:left="1418" w:hanging="218"/>
        <w:rPr>
          <w:rFonts w:ascii="Calibri" w:eastAsia="Calibri" w:hAnsi="Calibri" w:cs="Calibri"/>
          <w:sz w:val="24"/>
        </w:rPr>
      </w:pPr>
      <w:r w:rsidRPr="00D059FD">
        <w:rPr>
          <w:rFonts w:ascii="Calibri" w:eastAsia="Calibri" w:hAnsi="Calibri" w:cs="Calibri"/>
          <w:sz w:val="24"/>
        </w:rPr>
        <w:t xml:space="preserve">deklarace silného postavení odpočtu na </w:t>
      </w:r>
      <w:proofErr w:type="spellStart"/>
      <w:r w:rsidRPr="00D059FD">
        <w:rPr>
          <w:rFonts w:ascii="Calibri" w:eastAsia="Calibri" w:hAnsi="Calibri" w:cs="Calibri"/>
          <w:sz w:val="24"/>
        </w:rPr>
        <w:t>VaV</w:t>
      </w:r>
      <w:proofErr w:type="spellEnd"/>
      <w:r w:rsidRPr="00D059FD">
        <w:rPr>
          <w:rFonts w:ascii="Calibri" w:eastAsia="Calibri" w:hAnsi="Calibri" w:cs="Calibri"/>
          <w:sz w:val="24"/>
        </w:rPr>
        <w:t xml:space="preserve"> v systému podpory konkurenceschopnosti firem a podpory </w:t>
      </w:r>
      <w:proofErr w:type="spellStart"/>
      <w:r w:rsidRPr="00D059FD">
        <w:rPr>
          <w:rFonts w:ascii="Calibri" w:eastAsia="Calibri" w:hAnsi="Calibri" w:cs="Calibri"/>
          <w:sz w:val="24"/>
        </w:rPr>
        <w:t>VaV</w:t>
      </w:r>
      <w:proofErr w:type="spellEnd"/>
      <w:r w:rsidRPr="00D059FD">
        <w:rPr>
          <w:rFonts w:ascii="Calibri" w:eastAsia="Calibri" w:hAnsi="Calibri" w:cs="Calibri"/>
          <w:sz w:val="24"/>
        </w:rPr>
        <w:t xml:space="preserve"> a potvrzení jeho d</w:t>
      </w:r>
      <w:r w:rsidR="00D96E4E">
        <w:rPr>
          <w:rFonts w:ascii="Calibri" w:eastAsia="Calibri" w:hAnsi="Calibri" w:cs="Calibri"/>
          <w:sz w:val="24"/>
        </w:rPr>
        <w:t>louhodobého významu do budoucna;</w:t>
      </w:r>
    </w:p>
    <w:p w14:paraId="5AC9DA23" w14:textId="109C763E" w:rsidR="00F73D9A" w:rsidRPr="00D059FD" w:rsidRDefault="00F73D9A" w:rsidP="00D96E4E">
      <w:pPr>
        <w:pStyle w:val="Odstavecseseznamem"/>
        <w:numPr>
          <w:ilvl w:val="0"/>
          <w:numId w:val="30"/>
        </w:numPr>
        <w:spacing w:line="276" w:lineRule="auto"/>
        <w:ind w:left="1418" w:hanging="218"/>
        <w:rPr>
          <w:rFonts w:ascii="Calibri" w:eastAsia="Calibri" w:hAnsi="Calibri" w:cs="Calibri"/>
          <w:sz w:val="24"/>
        </w:rPr>
      </w:pPr>
      <w:r w:rsidRPr="00D059FD">
        <w:rPr>
          <w:rFonts w:ascii="Calibri" w:eastAsia="Calibri" w:hAnsi="Calibri" w:cs="Calibri"/>
          <w:sz w:val="24"/>
        </w:rPr>
        <w:t xml:space="preserve">deklarace plánovaného počtu firem aktivních v systému </w:t>
      </w:r>
      <w:r w:rsidR="00D96E4E">
        <w:rPr>
          <w:rFonts w:ascii="Calibri" w:eastAsia="Calibri" w:hAnsi="Calibri" w:cs="Calibri"/>
          <w:sz w:val="24"/>
        </w:rPr>
        <w:t>podpory (3 až 3,5 tisíce firem);</w:t>
      </w:r>
    </w:p>
    <w:p w14:paraId="0CC24563" w14:textId="50909C7E" w:rsidR="00F73D9A" w:rsidRPr="00D059FD" w:rsidRDefault="00F73D9A" w:rsidP="00D96E4E">
      <w:pPr>
        <w:pStyle w:val="Odstavecseseznamem"/>
        <w:numPr>
          <w:ilvl w:val="0"/>
          <w:numId w:val="30"/>
        </w:numPr>
        <w:spacing w:line="276" w:lineRule="auto"/>
        <w:ind w:left="1418" w:hanging="218"/>
        <w:rPr>
          <w:rFonts w:ascii="Calibri" w:eastAsia="Calibri" w:hAnsi="Calibri" w:cs="Calibri"/>
          <w:sz w:val="24"/>
        </w:rPr>
      </w:pPr>
      <w:r w:rsidRPr="00D059FD">
        <w:rPr>
          <w:rFonts w:ascii="Calibri" w:eastAsia="Calibri" w:hAnsi="Calibri" w:cs="Calibri"/>
          <w:sz w:val="24"/>
        </w:rPr>
        <w:t>akceptace dopadu do státního rozpočtu (nevybraná daň) až 4 mld</w:t>
      </w:r>
      <w:r w:rsidR="00D059FD">
        <w:rPr>
          <w:rFonts w:ascii="Calibri" w:eastAsia="Calibri" w:hAnsi="Calibri" w:cs="Calibri"/>
          <w:sz w:val="24"/>
        </w:rPr>
        <w:t>.</w:t>
      </w:r>
      <w:r w:rsidRPr="00D059FD">
        <w:rPr>
          <w:rFonts w:ascii="Calibri" w:eastAsia="Calibri" w:hAnsi="Calibri" w:cs="Calibri"/>
          <w:sz w:val="24"/>
        </w:rPr>
        <w:t xml:space="preserve"> Kč</w:t>
      </w:r>
      <w:r w:rsidR="00D059FD">
        <w:rPr>
          <w:rFonts w:ascii="Calibri" w:eastAsia="Calibri" w:hAnsi="Calibri" w:cs="Calibri"/>
          <w:sz w:val="24"/>
        </w:rPr>
        <w:t xml:space="preserve"> v horizontu několika let (postupný náběh v řádu vyšších jednotek let)</w:t>
      </w:r>
      <w:r w:rsidRPr="00D059FD">
        <w:rPr>
          <w:rFonts w:ascii="Calibri" w:eastAsia="Calibri" w:hAnsi="Calibri" w:cs="Calibri"/>
          <w:sz w:val="24"/>
        </w:rPr>
        <w:t xml:space="preserve"> na základě vnímání pozitivního dopadu (</w:t>
      </w:r>
      <w:proofErr w:type="spellStart"/>
      <w:r w:rsidRPr="00D059FD">
        <w:rPr>
          <w:rFonts w:ascii="Calibri" w:eastAsia="Calibri" w:hAnsi="Calibri" w:cs="Calibri"/>
          <w:sz w:val="24"/>
        </w:rPr>
        <w:t>incremetality</w:t>
      </w:r>
      <w:proofErr w:type="spellEnd"/>
      <w:r w:rsidRPr="00D059FD">
        <w:rPr>
          <w:rFonts w:ascii="Calibri" w:eastAsia="Calibri" w:hAnsi="Calibri" w:cs="Calibri"/>
          <w:sz w:val="24"/>
        </w:rPr>
        <w:t xml:space="preserve"> ratio, ekonomické efekty, </w:t>
      </w:r>
      <w:proofErr w:type="spellStart"/>
      <w:r w:rsidRPr="00D059FD">
        <w:rPr>
          <w:rFonts w:ascii="Calibri" w:eastAsia="Calibri" w:hAnsi="Calibri" w:cs="Calibri"/>
          <w:sz w:val="24"/>
        </w:rPr>
        <w:t>spillovers</w:t>
      </w:r>
      <w:proofErr w:type="spellEnd"/>
      <w:r w:rsidRPr="00D059FD">
        <w:rPr>
          <w:rFonts w:ascii="Calibri" w:eastAsia="Calibri" w:hAnsi="Calibri" w:cs="Calibri"/>
          <w:sz w:val="24"/>
        </w:rPr>
        <w:t>, atraktivita ČR pro zahraniční</w:t>
      </w:r>
      <w:r w:rsidR="00D96E4E">
        <w:rPr>
          <w:rFonts w:ascii="Calibri" w:eastAsia="Calibri" w:hAnsi="Calibri" w:cs="Calibri"/>
          <w:sz w:val="24"/>
        </w:rPr>
        <w:t xml:space="preserve"> investice s přidanou hodnotou);</w:t>
      </w:r>
    </w:p>
    <w:p w14:paraId="13ECA42F" w14:textId="6219568E" w:rsidR="00F73D9A" w:rsidRDefault="00F73D9A" w:rsidP="00D96E4E">
      <w:pPr>
        <w:pStyle w:val="Odstavecseseznamem"/>
        <w:numPr>
          <w:ilvl w:val="0"/>
          <w:numId w:val="30"/>
        </w:numPr>
        <w:spacing w:line="276" w:lineRule="auto"/>
        <w:ind w:left="1418" w:hanging="218"/>
        <w:rPr>
          <w:rFonts w:ascii="Calibri" w:eastAsia="Calibri" w:hAnsi="Calibri" w:cs="Calibri"/>
          <w:sz w:val="24"/>
        </w:rPr>
      </w:pPr>
      <w:r w:rsidRPr="00D059FD">
        <w:rPr>
          <w:rFonts w:ascii="Calibri" w:eastAsia="Calibri" w:hAnsi="Calibri" w:cs="Calibri"/>
          <w:sz w:val="24"/>
        </w:rPr>
        <w:t>Jednoznačná deklarace, že</w:t>
      </w:r>
      <w:r w:rsidR="00D059FD">
        <w:rPr>
          <w:rFonts w:ascii="Calibri" w:eastAsia="Calibri" w:hAnsi="Calibri" w:cs="Calibri"/>
          <w:sz w:val="24"/>
        </w:rPr>
        <w:t xml:space="preserve"> budou podniknuty rychlé kroky </w:t>
      </w:r>
      <w:r w:rsidRPr="00D059FD">
        <w:rPr>
          <w:rFonts w:ascii="Calibri" w:eastAsia="Calibri" w:hAnsi="Calibri" w:cs="Calibri"/>
          <w:sz w:val="24"/>
        </w:rPr>
        <w:t>tak, aby se vůle skutečně projevila v běžné pra</w:t>
      </w:r>
      <w:r w:rsidR="00D96E4E">
        <w:rPr>
          <w:rFonts w:ascii="Calibri" w:eastAsia="Calibri" w:hAnsi="Calibri" w:cs="Calibri"/>
          <w:sz w:val="24"/>
        </w:rPr>
        <w:t>xi, resp. nebyla s ní v rozporu</w:t>
      </w:r>
    </w:p>
    <w:p w14:paraId="652676BB" w14:textId="4108E727" w:rsidR="00C853BF" w:rsidRPr="00F73D9A" w:rsidRDefault="00C853BF" w:rsidP="00D957F4">
      <w:pPr>
        <w:pStyle w:val="Odstavecseseznamem"/>
        <w:numPr>
          <w:ilvl w:val="0"/>
          <w:numId w:val="29"/>
        </w:numPr>
        <w:spacing w:before="240" w:line="276" w:lineRule="auto"/>
        <w:jc w:val="both"/>
        <w:rPr>
          <w:rFonts w:ascii="Calibri" w:eastAsia="Calibri" w:hAnsi="Calibri" w:cs="Calibri"/>
          <w:b/>
          <w:sz w:val="24"/>
        </w:rPr>
      </w:pPr>
      <w:r w:rsidRPr="00F73D9A">
        <w:rPr>
          <w:rFonts w:ascii="Calibri" w:eastAsia="Calibri" w:hAnsi="Calibri" w:cs="Calibri"/>
          <w:b/>
          <w:sz w:val="24"/>
        </w:rPr>
        <w:t>legislativní nastavení podpo</w:t>
      </w:r>
      <w:r w:rsidR="00F73D9A" w:rsidRPr="00F73D9A">
        <w:rPr>
          <w:rFonts w:ascii="Calibri" w:eastAsia="Calibri" w:hAnsi="Calibri" w:cs="Calibri"/>
          <w:b/>
          <w:sz w:val="24"/>
        </w:rPr>
        <w:t>r</w:t>
      </w:r>
      <w:r w:rsidR="00D059FD">
        <w:rPr>
          <w:rFonts w:ascii="Calibri" w:eastAsia="Calibri" w:hAnsi="Calibri" w:cs="Calibri"/>
          <w:b/>
          <w:sz w:val="24"/>
        </w:rPr>
        <w:t>y</w:t>
      </w:r>
      <w:r w:rsidR="00F73D9A" w:rsidRPr="00F73D9A">
        <w:rPr>
          <w:rFonts w:ascii="Calibri" w:eastAsia="Calibri" w:hAnsi="Calibri" w:cs="Calibri"/>
          <w:b/>
          <w:sz w:val="24"/>
        </w:rPr>
        <w:t xml:space="preserve"> a s tím spojená změna </w:t>
      </w:r>
      <w:r w:rsidR="00F73D9A" w:rsidRPr="00D059FD">
        <w:rPr>
          <w:rFonts w:ascii="Calibri" w:eastAsia="Calibri" w:hAnsi="Calibri" w:cs="Calibri"/>
          <w:b/>
          <w:sz w:val="24"/>
        </w:rPr>
        <w:t>zákona</w:t>
      </w:r>
      <w:r w:rsidR="00D059FD" w:rsidRPr="00D059FD">
        <w:rPr>
          <w:rFonts w:ascii="Calibri" w:eastAsia="Calibri" w:hAnsi="Calibri" w:cs="Calibri"/>
          <w:b/>
          <w:sz w:val="24"/>
        </w:rPr>
        <w:t xml:space="preserve"> č. 586/1992 Sb., o daních z příjmu § 34 s ambicí přenastavit systém s těmito hlavními identifikovanými prioritami:</w:t>
      </w:r>
    </w:p>
    <w:p w14:paraId="69A1631C" w14:textId="1486B91E" w:rsidR="00D059FD" w:rsidRPr="00D059FD" w:rsidRDefault="00D059FD" w:rsidP="00D96E4E">
      <w:pPr>
        <w:pStyle w:val="Odstavecseseznamem"/>
        <w:numPr>
          <w:ilvl w:val="0"/>
          <w:numId w:val="30"/>
        </w:numPr>
        <w:spacing w:line="276" w:lineRule="auto"/>
        <w:ind w:left="1418" w:hanging="218"/>
        <w:rPr>
          <w:rFonts w:ascii="Calibri" w:eastAsia="Calibri" w:hAnsi="Calibri" w:cs="Calibri"/>
          <w:sz w:val="24"/>
        </w:rPr>
      </w:pPr>
      <w:r w:rsidRPr="00D059FD">
        <w:rPr>
          <w:rFonts w:ascii="Calibri" w:eastAsia="Calibri" w:hAnsi="Calibri" w:cs="Calibri"/>
          <w:sz w:val="24"/>
        </w:rPr>
        <w:t xml:space="preserve">zásadní zjednodušení administrativní </w:t>
      </w:r>
      <w:r w:rsidR="00D96E4E">
        <w:rPr>
          <w:rFonts w:ascii="Calibri" w:eastAsia="Calibri" w:hAnsi="Calibri" w:cs="Calibri"/>
          <w:sz w:val="24"/>
        </w:rPr>
        <w:t>náročnosti na straně poplatníka;</w:t>
      </w:r>
    </w:p>
    <w:p w14:paraId="6F641A89" w14:textId="3131518E" w:rsidR="00D059FD" w:rsidRPr="00D059FD" w:rsidRDefault="00D059FD" w:rsidP="00D96E4E">
      <w:pPr>
        <w:pStyle w:val="Odstavecseseznamem"/>
        <w:numPr>
          <w:ilvl w:val="0"/>
          <w:numId w:val="30"/>
        </w:numPr>
        <w:spacing w:line="276" w:lineRule="auto"/>
        <w:ind w:left="1418" w:hanging="218"/>
        <w:rPr>
          <w:rFonts w:ascii="Calibri" w:eastAsia="Calibri" w:hAnsi="Calibri" w:cs="Calibri"/>
          <w:sz w:val="24"/>
        </w:rPr>
      </w:pPr>
      <w:r w:rsidRPr="00D059FD">
        <w:rPr>
          <w:rFonts w:ascii="Calibri" w:eastAsia="Calibri" w:hAnsi="Calibri" w:cs="Calibri"/>
          <w:sz w:val="24"/>
        </w:rPr>
        <w:t>zavedení prvku průběžného/ex post dokazování a doplňování informací za účelem prokázání skutečností oproti aktuálnímu formalistickém</w:t>
      </w:r>
      <w:r w:rsidR="00D96E4E">
        <w:rPr>
          <w:rFonts w:ascii="Calibri" w:eastAsia="Calibri" w:hAnsi="Calibri" w:cs="Calibri"/>
          <w:sz w:val="24"/>
        </w:rPr>
        <w:t>u přístupu bez možnosti nápravy;</w:t>
      </w:r>
    </w:p>
    <w:p w14:paraId="6E5AF327" w14:textId="14F243A0" w:rsidR="00D059FD" w:rsidRPr="00D059FD" w:rsidRDefault="00D059FD" w:rsidP="00D96E4E">
      <w:pPr>
        <w:pStyle w:val="Odstavecseseznamem"/>
        <w:numPr>
          <w:ilvl w:val="0"/>
          <w:numId w:val="30"/>
        </w:numPr>
        <w:spacing w:line="276" w:lineRule="auto"/>
        <w:ind w:left="1418" w:hanging="218"/>
        <w:rPr>
          <w:rFonts w:ascii="Calibri" w:eastAsia="Calibri" w:hAnsi="Calibri" w:cs="Calibri"/>
          <w:sz w:val="24"/>
        </w:rPr>
      </w:pPr>
      <w:r w:rsidRPr="00D059FD">
        <w:rPr>
          <w:rFonts w:ascii="Calibri" w:eastAsia="Calibri" w:hAnsi="Calibri" w:cs="Calibri"/>
          <w:sz w:val="24"/>
        </w:rPr>
        <w:t>přenesení stěžejní části odpovědnosti (propag</w:t>
      </w:r>
      <w:r w:rsidR="00250510">
        <w:rPr>
          <w:rFonts w:ascii="Calibri" w:eastAsia="Calibri" w:hAnsi="Calibri" w:cs="Calibri"/>
          <w:sz w:val="24"/>
        </w:rPr>
        <w:t>ace, administrace, kontrola) za </w:t>
      </w:r>
      <w:r w:rsidRPr="00D059FD">
        <w:rPr>
          <w:rFonts w:ascii="Calibri" w:eastAsia="Calibri" w:hAnsi="Calibri" w:cs="Calibri"/>
          <w:sz w:val="24"/>
        </w:rPr>
        <w:t xml:space="preserve">odpočet na </w:t>
      </w:r>
      <w:proofErr w:type="spellStart"/>
      <w:r w:rsidRPr="00D059FD">
        <w:rPr>
          <w:rFonts w:ascii="Calibri" w:eastAsia="Calibri" w:hAnsi="Calibri" w:cs="Calibri"/>
          <w:sz w:val="24"/>
        </w:rPr>
        <w:t>VaV</w:t>
      </w:r>
      <w:proofErr w:type="spellEnd"/>
      <w:r w:rsidRPr="00D059FD">
        <w:rPr>
          <w:rFonts w:ascii="Calibri" w:eastAsia="Calibri" w:hAnsi="Calibri" w:cs="Calibri"/>
          <w:sz w:val="24"/>
        </w:rPr>
        <w:t xml:space="preserve"> na vhodnou instituci s př</w:t>
      </w:r>
      <w:r w:rsidR="00250510">
        <w:rPr>
          <w:rFonts w:ascii="Calibri" w:eastAsia="Calibri" w:hAnsi="Calibri" w:cs="Calibri"/>
          <w:sz w:val="24"/>
        </w:rPr>
        <w:t>íslušnou odborností, motivací a </w:t>
      </w:r>
      <w:r w:rsidRPr="00D059FD">
        <w:rPr>
          <w:rFonts w:ascii="Calibri" w:eastAsia="Calibri" w:hAnsi="Calibri" w:cs="Calibri"/>
          <w:sz w:val="24"/>
        </w:rPr>
        <w:t xml:space="preserve">vědomím významu nepřímé podpory (např. MPO, TAČR, </w:t>
      </w:r>
      <w:proofErr w:type="spellStart"/>
      <w:r w:rsidRPr="00D059FD">
        <w:rPr>
          <w:rFonts w:ascii="Calibri" w:eastAsia="Calibri" w:hAnsi="Calibri" w:cs="Calibri"/>
          <w:sz w:val="24"/>
        </w:rPr>
        <w:t>Czech</w:t>
      </w:r>
      <w:r w:rsidR="00D96E4E">
        <w:rPr>
          <w:rFonts w:ascii="Calibri" w:eastAsia="Calibri" w:hAnsi="Calibri" w:cs="Calibri"/>
          <w:sz w:val="24"/>
        </w:rPr>
        <w:t>invest</w:t>
      </w:r>
      <w:proofErr w:type="spellEnd"/>
      <w:r w:rsidR="00D96E4E">
        <w:rPr>
          <w:rFonts w:ascii="Calibri" w:eastAsia="Calibri" w:hAnsi="Calibri" w:cs="Calibri"/>
          <w:sz w:val="24"/>
        </w:rPr>
        <w:t>, API, jiné);</w:t>
      </w:r>
    </w:p>
    <w:p w14:paraId="322F02E6" w14:textId="229F43A1" w:rsidR="00D059FD" w:rsidRPr="00D059FD" w:rsidRDefault="00D059FD" w:rsidP="00D96E4E">
      <w:pPr>
        <w:pStyle w:val="Odstavecseseznamem"/>
        <w:numPr>
          <w:ilvl w:val="0"/>
          <w:numId w:val="30"/>
        </w:numPr>
        <w:spacing w:line="276" w:lineRule="auto"/>
        <w:ind w:left="1418" w:hanging="218"/>
        <w:rPr>
          <w:rFonts w:ascii="Calibri" w:eastAsia="Calibri" w:hAnsi="Calibri" w:cs="Calibri"/>
          <w:sz w:val="24"/>
        </w:rPr>
      </w:pPr>
      <w:r w:rsidRPr="00D059FD">
        <w:rPr>
          <w:rFonts w:ascii="Calibri" w:eastAsia="Calibri" w:hAnsi="Calibri" w:cs="Calibri"/>
          <w:sz w:val="24"/>
        </w:rPr>
        <w:t>stanovení vhodného a jasného rozhraní odpovědnost</w:t>
      </w:r>
      <w:r w:rsidR="00D96E4E">
        <w:rPr>
          <w:rFonts w:ascii="Calibri" w:eastAsia="Calibri" w:hAnsi="Calibri" w:cs="Calibri"/>
          <w:sz w:val="24"/>
        </w:rPr>
        <w:t>i mezi určenou institucí (např. </w:t>
      </w:r>
      <w:r w:rsidRPr="00D059FD">
        <w:rPr>
          <w:rFonts w:ascii="Calibri" w:eastAsia="Calibri" w:hAnsi="Calibri" w:cs="Calibri"/>
          <w:sz w:val="24"/>
        </w:rPr>
        <w:t xml:space="preserve">autorizace </w:t>
      </w:r>
      <w:proofErr w:type="spellStart"/>
      <w:r w:rsidRPr="00D059FD">
        <w:rPr>
          <w:rFonts w:ascii="Calibri" w:eastAsia="Calibri" w:hAnsi="Calibri" w:cs="Calibri"/>
          <w:sz w:val="24"/>
        </w:rPr>
        <w:t>VaV</w:t>
      </w:r>
      <w:proofErr w:type="spellEnd"/>
      <w:r w:rsidRPr="00D059FD">
        <w:rPr>
          <w:rFonts w:ascii="Calibri" w:eastAsia="Calibri" w:hAnsi="Calibri" w:cs="Calibri"/>
          <w:sz w:val="24"/>
        </w:rPr>
        <w:t xml:space="preserve">, ověření dokumentační správnosti, kontrola realizace </w:t>
      </w:r>
      <w:proofErr w:type="spellStart"/>
      <w:r w:rsidRPr="00D059FD">
        <w:rPr>
          <w:rFonts w:ascii="Calibri" w:eastAsia="Calibri" w:hAnsi="Calibri" w:cs="Calibri"/>
          <w:sz w:val="24"/>
        </w:rPr>
        <w:t>VaV</w:t>
      </w:r>
      <w:proofErr w:type="spellEnd"/>
      <w:r w:rsidRPr="00D059FD">
        <w:rPr>
          <w:rFonts w:ascii="Calibri" w:eastAsia="Calibri" w:hAnsi="Calibri" w:cs="Calibri"/>
          <w:sz w:val="24"/>
        </w:rPr>
        <w:t xml:space="preserve"> atp.) a finanční správou (např. daňová uznateln</w:t>
      </w:r>
      <w:r w:rsidR="00250510">
        <w:rPr>
          <w:rFonts w:ascii="Calibri" w:eastAsia="Calibri" w:hAnsi="Calibri" w:cs="Calibri"/>
          <w:sz w:val="24"/>
        </w:rPr>
        <w:t>ost nákladů, výpočet odpočtu na </w:t>
      </w:r>
      <w:proofErr w:type="spellStart"/>
      <w:r w:rsidRPr="00D059FD">
        <w:rPr>
          <w:rFonts w:ascii="Calibri" w:eastAsia="Calibri" w:hAnsi="Calibri" w:cs="Calibri"/>
          <w:sz w:val="24"/>
        </w:rPr>
        <w:t>VaV</w:t>
      </w:r>
      <w:proofErr w:type="spellEnd"/>
      <w:r w:rsidRPr="00D059FD">
        <w:rPr>
          <w:rFonts w:ascii="Calibri" w:eastAsia="Calibri" w:hAnsi="Calibri" w:cs="Calibri"/>
          <w:sz w:val="24"/>
        </w:rPr>
        <w:t>, kolize s jinou veřejnou podporou, administrace úlevy atp.)</w:t>
      </w:r>
      <w:r w:rsidR="00D96E4E">
        <w:rPr>
          <w:rFonts w:ascii="Calibri" w:eastAsia="Calibri" w:hAnsi="Calibri" w:cs="Calibri"/>
          <w:sz w:val="24"/>
        </w:rPr>
        <w:t>;</w:t>
      </w:r>
    </w:p>
    <w:p w14:paraId="508F0267" w14:textId="70544EC9" w:rsidR="00D96E4E" w:rsidRDefault="00D059FD" w:rsidP="00D96E4E">
      <w:pPr>
        <w:pStyle w:val="Odstavecseseznamem"/>
        <w:numPr>
          <w:ilvl w:val="0"/>
          <w:numId w:val="30"/>
        </w:numPr>
        <w:spacing w:line="276" w:lineRule="auto"/>
        <w:ind w:left="1418" w:hanging="218"/>
        <w:rPr>
          <w:rFonts w:ascii="Calibri" w:eastAsia="Calibri" w:hAnsi="Calibri" w:cs="Calibri"/>
          <w:sz w:val="24"/>
        </w:rPr>
      </w:pPr>
      <w:r w:rsidRPr="00D059FD">
        <w:rPr>
          <w:rFonts w:ascii="Calibri" w:eastAsia="Calibri" w:hAnsi="Calibri" w:cs="Calibri"/>
          <w:sz w:val="24"/>
        </w:rPr>
        <w:t xml:space="preserve">zakotvení závazného posouzení ze strany určené instituce nejen ve smyslu autorizace </w:t>
      </w:r>
      <w:proofErr w:type="spellStart"/>
      <w:r w:rsidRPr="00D059FD">
        <w:rPr>
          <w:rFonts w:ascii="Calibri" w:eastAsia="Calibri" w:hAnsi="Calibri" w:cs="Calibri"/>
          <w:sz w:val="24"/>
        </w:rPr>
        <w:t>VaV</w:t>
      </w:r>
      <w:proofErr w:type="spellEnd"/>
      <w:r w:rsidRPr="00D059FD">
        <w:rPr>
          <w:rFonts w:ascii="Calibri" w:eastAsia="Calibri" w:hAnsi="Calibri" w:cs="Calibri"/>
          <w:sz w:val="24"/>
        </w:rPr>
        <w:t>, ale také sp</w:t>
      </w:r>
      <w:r w:rsidR="00D96E4E">
        <w:rPr>
          <w:rFonts w:ascii="Calibri" w:eastAsia="Calibri" w:hAnsi="Calibri" w:cs="Calibri"/>
          <w:sz w:val="24"/>
        </w:rPr>
        <w:t>rávnosti projektové dokumentace;</w:t>
      </w:r>
    </w:p>
    <w:p w14:paraId="74FB8618" w14:textId="41D2AEE2" w:rsidR="00D059FD" w:rsidRPr="00D96E4E" w:rsidRDefault="00D96E4E" w:rsidP="00D96E4E">
      <w:pPr>
        <w:rPr>
          <w:rFonts w:ascii="Calibri" w:eastAsia="Calibri" w:hAnsi="Calibri" w:cs="Calibri"/>
          <w:sz w:val="24"/>
        </w:rPr>
      </w:pPr>
      <w:r>
        <w:rPr>
          <w:rFonts w:ascii="Calibri" w:eastAsia="Calibri" w:hAnsi="Calibri" w:cs="Calibri"/>
          <w:sz w:val="24"/>
        </w:rPr>
        <w:br w:type="page"/>
      </w:r>
    </w:p>
    <w:p w14:paraId="458AE2D9" w14:textId="5032D890" w:rsidR="00D079E8" w:rsidRPr="00F73D9A" w:rsidRDefault="00C853BF" w:rsidP="00F73D9A">
      <w:pPr>
        <w:pStyle w:val="Odstavecseseznamem"/>
        <w:numPr>
          <w:ilvl w:val="0"/>
          <w:numId w:val="29"/>
        </w:numPr>
        <w:spacing w:line="276" w:lineRule="auto"/>
        <w:jc w:val="both"/>
        <w:rPr>
          <w:rFonts w:ascii="Calibri" w:eastAsia="Calibri" w:hAnsi="Calibri" w:cs="Calibri"/>
          <w:b/>
          <w:sz w:val="24"/>
        </w:rPr>
      </w:pPr>
      <w:r w:rsidRPr="00F73D9A">
        <w:rPr>
          <w:rFonts w:ascii="Calibri" w:eastAsia="Calibri" w:hAnsi="Calibri" w:cs="Calibri"/>
          <w:b/>
          <w:sz w:val="24"/>
        </w:rPr>
        <w:lastRenderedPageBreak/>
        <w:t xml:space="preserve">nastavení parametrů </w:t>
      </w:r>
      <w:r w:rsidR="00D96E4E">
        <w:rPr>
          <w:rFonts w:ascii="Calibri" w:eastAsia="Calibri" w:hAnsi="Calibri" w:cs="Calibri"/>
          <w:b/>
          <w:sz w:val="24"/>
        </w:rPr>
        <w:t>podpory</w:t>
      </w:r>
    </w:p>
    <w:p w14:paraId="7FB3D5A7" w14:textId="6559E429" w:rsidR="00D059FD" w:rsidRPr="00D059FD" w:rsidRDefault="00D96E4E" w:rsidP="00D059FD">
      <w:pPr>
        <w:pStyle w:val="Odstavecseseznamem"/>
        <w:numPr>
          <w:ilvl w:val="0"/>
          <w:numId w:val="30"/>
        </w:numPr>
        <w:spacing w:line="276" w:lineRule="auto"/>
        <w:ind w:left="1418" w:hanging="218"/>
        <w:jc w:val="both"/>
        <w:rPr>
          <w:rFonts w:ascii="Calibri" w:eastAsia="Calibri" w:hAnsi="Calibri" w:cs="Calibri"/>
          <w:sz w:val="24"/>
        </w:rPr>
      </w:pPr>
      <w:r>
        <w:rPr>
          <w:rFonts w:ascii="Calibri" w:eastAsia="Calibri" w:hAnsi="Calibri" w:cs="Calibri"/>
          <w:sz w:val="24"/>
        </w:rPr>
        <w:t>z</w:t>
      </w:r>
      <w:r w:rsidR="00D059FD" w:rsidRPr="00D059FD">
        <w:rPr>
          <w:rFonts w:ascii="Calibri" w:eastAsia="Calibri" w:hAnsi="Calibri" w:cs="Calibri"/>
          <w:sz w:val="24"/>
        </w:rPr>
        <w:t>výšení míry podpory pro MSP a start</w:t>
      </w:r>
      <w:r>
        <w:rPr>
          <w:rFonts w:ascii="Calibri" w:eastAsia="Calibri" w:hAnsi="Calibri" w:cs="Calibri"/>
          <w:sz w:val="24"/>
        </w:rPr>
        <w:t>-</w:t>
      </w:r>
      <w:r w:rsidR="00D059FD" w:rsidRPr="00D059FD">
        <w:rPr>
          <w:rFonts w:ascii="Calibri" w:eastAsia="Calibri" w:hAnsi="Calibri" w:cs="Calibri"/>
          <w:sz w:val="24"/>
        </w:rPr>
        <w:t xml:space="preserve">up firmy </w:t>
      </w:r>
      <w:r w:rsidR="00250510">
        <w:rPr>
          <w:rFonts w:ascii="Calibri" w:eastAsia="Calibri" w:hAnsi="Calibri" w:cs="Calibri"/>
          <w:sz w:val="24"/>
        </w:rPr>
        <w:t>a tím je motivovat ke vstupu do </w:t>
      </w:r>
      <w:r w:rsidR="00D059FD" w:rsidRPr="00D059FD">
        <w:rPr>
          <w:rFonts w:ascii="Calibri" w:eastAsia="Calibri" w:hAnsi="Calibri" w:cs="Calibri"/>
          <w:sz w:val="24"/>
        </w:rPr>
        <w:t>systému</w:t>
      </w:r>
      <w:r>
        <w:rPr>
          <w:rFonts w:ascii="Calibri" w:eastAsia="Calibri" w:hAnsi="Calibri" w:cs="Calibri"/>
          <w:sz w:val="24"/>
        </w:rPr>
        <w:t>;</w:t>
      </w:r>
    </w:p>
    <w:p w14:paraId="31185DAE" w14:textId="3B6682D9" w:rsidR="00D059FD" w:rsidRPr="00D059FD" w:rsidRDefault="00D96E4E" w:rsidP="00D059FD">
      <w:pPr>
        <w:pStyle w:val="Odstavecseseznamem"/>
        <w:numPr>
          <w:ilvl w:val="0"/>
          <w:numId w:val="30"/>
        </w:numPr>
        <w:spacing w:line="276" w:lineRule="auto"/>
        <w:ind w:left="1418" w:hanging="218"/>
        <w:jc w:val="both"/>
        <w:rPr>
          <w:rFonts w:ascii="Calibri" w:eastAsia="Calibri" w:hAnsi="Calibri" w:cs="Calibri"/>
          <w:sz w:val="24"/>
        </w:rPr>
      </w:pPr>
      <w:r>
        <w:rPr>
          <w:rFonts w:ascii="Calibri" w:eastAsia="Calibri" w:hAnsi="Calibri" w:cs="Calibri"/>
          <w:sz w:val="24"/>
        </w:rPr>
        <w:t>z</w:t>
      </w:r>
      <w:r w:rsidR="00D059FD" w:rsidRPr="00D059FD">
        <w:rPr>
          <w:rFonts w:ascii="Calibri" w:eastAsia="Calibri" w:hAnsi="Calibri" w:cs="Calibri"/>
          <w:sz w:val="24"/>
        </w:rPr>
        <w:t xml:space="preserve">avedení cash </w:t>
      </w:r>
      <w:proofErr w:type="spellStart"/>
      <w:r w:rsidR="00D059FD" w:rsidRPr="00D059FD">
        <w:rPr>
          <w:rFonts w:ascii="Calibri" w:eastAsia="Calibri" w:hAnsi="Calibri" w:cs="Calibri"/>
          <w:sz w:val="24"/>
        </w:rPr>
        <w:t>back</w:t>
      </w:r>
      <w:proofErr w:type="spellEnd"/>
      <w:r w:rsidR="00D059FD" w:rsidRPr="00D059FD">
        <w:rPr>
          <w:rFonts w:ascii="Calibri" w:eastAsia="Calibri" w:hAnsi="Calibri" w:cs="Calibri"/>
          <w:sz w:val="24"/>
        </w:rPr>
        <w:t xml:space="preserve"> parametru za účelem rychlé podpory firem, které mimořád</w:t>
      </w:r>
      <w:r w:rsidR="00250510">
        <w:rPr>
          <w:rFonts w:ascii="Calibri" w:eastAsia="Calibri" w:hAnsi="Calibri" w:cs="Calibri"/>
          <w:sz w:val="24"/>
        </w:rPr>
        <w:t>ně či </w:t>
      </w:r>
      <w:r w:rsidR="00D059FD" w:rsidRPr="00D059FD">
        <w:rPr>
          <w:rFonts w:ascii="Calibri" w:eastAsia="Calibri" w:hAnsi="Calibri" w:cs="Calibri"/>
          <w:sz w:val="24"/>
        </w:rPr>
        <w:t>dočasně negenerují daňový základ k odečtu (</w:t>
      </w:r>
      <w:r w:rsidR="00250510">
        <w:rPr>
          <w:rFonts w:ascii="Calibri" w:eastAsia="Calibri" w:hAnsi="Calibri" w:cs="Calibri"/>
          <w:sz w:val="24"/>
        </w:rPr>
        <w:t xml:space="preserve">jednoduchý kredit, cash </w:t>
      </w:r>
      <w:proofErr w:type="spellStart"/>
      <w:r w:rsidR="00250510">
        <w:rPr>
          <w:rFonts w:ascii="Calibri" w:eastAsia="Calibri" w:hAnsi="Calibri" w:cs="Calibri"/>
          <w:sz w:val="24"/>
        </w:rPr>
        <w:t>back</w:t>
      </w:r>
      <w:proofErr w:type="spellEnd"/>
      <w:r w:rsidR="00250510">
        <w:rPr>
          <w:rFonts w:ascii="Calibri" w:eastAsia="Calibri" w:hAnsi="Calibri" w:cs="Calibri"/>
          <w:sz w:val="24"/>
        </w:rPr>
        <w:t xml:space="preserve"> ze </w:t>
      </w:r>
      <w:r w:rsidR="00D059FD" w:rsidRPr="00D059FD">
        <w:rPr>
          <w:rFonts w:ascii="Calibri" w:eastAsia="Calibri" w:hAnsi="Calibri" w:cs="Calibri"/>
          <w:sz w:val="24"/>
        </w:rPr>
        <w:t>zdanění práce, možnost delšího dokladu uplatnění, analýza dalších možností)</w:t>
      </w:r>
      <w:r>
        <w:rPr>
          <w:rFonts w:ascii="Calibri" w:eastAsia="Calibri" w:hAnsi="Calibri" w:cs="Calibri"/>
          <w:sz w:val="24"/>
        </w:rPr>
        <w:t>;</w:t>
      </w:r>
    </w:p>
    <w:p w14:paraId="0ECEB95A" w14:textId="5CF1CD07" w:rsidR="00D059FD" w:rsidRPr="00D059FD" w:rsidRDefault="00D96E4E" w:rsidP="00D059FD">
      <w:pPr>
        <w:pStyle w:val="Odstavecseseznamem"/>
        <w:numPr>
          <w:ilvl w:val="0"/>
          <w:numId w:val="30"/>
        </w:numPr>
        <w:spacing w:line="276" w:lineRule="auto"/>
        <w:ind w:left="1418" w:hanging="218"/>
        <w:jc w:val="both"/>
        <w:rPr>
          <w:rFonts w:ascii="Calibri" w:eastAsia="Calibri" w:hAnsi="Calibri" w:cs="Calibri"/>
          <w:sz w:val="24"/>
        </w:rPr>
      </w:pPr>
      <w:r>
        <w:rPr>
          <w:rFonts w:ascii="Calibri" w:eastAsia="Calibri" w:hAnsi="Calibri" w:cs="Calibri"/>
          <w:sz w:val="24"/>
        </w:rPr>
        <w:t>z</w:t>
      </w:r>
      <w:r w:rsidR="00D059FD" w:rsidRPr="00D059FD">
        <w:rPr>
          <w:rFonts w:ascii="Calibri" w:eastAsia="Calibri" w:hAnsi="Calibri" w:cs="Calibri"/>
          <w:sz w:val="24"/>
        </w:rPr>
        <w:t>jednodušení evidence některých nákladů (daňové paušály, poměrové vykazování, další)</w:t>
      </w:r>
      <w:r>
        <w:rPr>
          <w:rFonts w:ascii="Calibri" w:eastAsia="Calibri" w:hAnsi="Calibri" w:cs="Calibri"/>
          <w:sz w:val="24"/>
        </w:rPr>
        <w:t>;</w:t>
      </w:r>
    </w:p>
    <w:p w14:paraId="2BA95CB5" w14:textId="2523D7D8" w:rsidR="00D059FD" w:rsidRPr="00D059FD" w:rsidRDefault="00D96E4E" w:rsidP="00D059FD">
      <w:pPr>
        <w:pStyle w:val="Odstavecseseznamem"/>
        <w:numPr>
          <w:ilvl w:val="0"/>
          <w:numId w:val="30"/>
        </w:numPr>
        <w:spacing w:line="276" w:lineRule="auto"/>
        <w:ind w:left="1418" w:hanging="218"/>
        <w:jc w:val="both"/>
        <w:rPr>
          <w:rFonts w:ascii="Calibri" w:eastAsia="Calibri" w:hAnsi="Calibri" w:cs="Calibri"/>
          <w:sz w:val="24"/>
        </w:rPr>
      </w:pPr>
      <w:r>
        <w:rPr>
          <w:rFonts w:ascii="Calibri" w:eastAsia="Calibri" w:hAnsi="Calibri" w:cs="Calibri"/>
          <w:sz w:val="24"/>
        </w:rPr>
        <w:t>a</w:t>
      </w:r>
      <w:r w:rsidR="00D059FD" w:rsidRPr="00D059FD">
        <w:rPr>
          <w:rFonts w:ascii="Calibri" w:eastAsia="Calibri" w:hAnsi="Calibri" w:cs="Calibri"/>
          <w:sz w:val="24"/>
        </w:rPr>
        <w:t xml:space="preserve">nalýza možnosti zahrnutí podpory „inovací“ za účelem </w:t>
      </w:r>
      <w:r>
        <w:rPr>
          <w:rFonts w:ascii="Calibri" w:eastAsia="Calibri" w:hAnsi="Calibri" w:cs="Calibri"/>
          <w:sz w:val="24"/>
        </w:rPr>
        <w:t>většího</w:t>
      </w:r>
      <w:r w:rsidR="00D059FD" w:rsidRPr="00D059FD">
        <w:rPr>
          <w:rFonts w:ascii="Calibri" w:eastAsia="Calibri" w:hAnsi="Calibri" w:cs="Calibri"/>
          <w:sz w:val="24"/>
        </w:rPr>
        <w:t xml:space="preserve"> </w:t>
      </w:r>
      <w:r>
        <w:rPr>
          <w:rFonts w:ascii="Calibri" w:eastAsia="Calibri" w:hAnsi="Calibri" w:cs="Calibri"/>
          <w:sz w:val="24"/>
        </w:rPr>
        <w:t>rozsahu</w:t>
      </w:r>
      <w:r w:rsidR="00D059FD" w:rsidRPr="00D059FD">
        <w:rPr>
          <w:rFonts w:ascii="Calibri" w:eastAsia="Calibri" w:hAnsi="Calibri" w:cs="Calibri"/>
          <w:sz w:val="24"/>
        </w:rPr>
        <w:t xml:space="preserve"> uznatelných aktivit a nákladů</w:t>
      </w:r>
      <w:r>
        <w:rPr>
          <w:rFonts w:ascii="Calibri" w:eastAsia="Calibri" w:hAnsi="Calibri" w:cs="Calibri"/>
          <w:sz w:val="24"/>
        </w:rPr>
        <w:t>, např.</w:t>
      </w:r>
      <w:r w:rsidR="00D059FD" w:rsidRPr="00D059FD">
        <w:rPr>
          <w:rFonts w:ascii="Calibri" w:eastAsia="Calibri" w:hAnsi="Calibri" w:cs="Calibri"/>
          <w:sz w:val="24"/>
        </w:rPr>
        <w:t xml:space="preserve"> po vzoru Francie (nepřímá podpora inovací existuje, je nižší než podpory </w:t>
      </w:r>
      <w:proofErr w:type="spellStart"/>
      <w:r w:rsidR="00D059FD" w:rsidRPr="00D059FD">
        <w:rPr>
          <w:rFonts w:ascii="Calibri" w:eastAsia="Calibri" w:hAnsi="Calibri" w:cs="Calibri"/>
          <w:sz w:val="24"/>
        </w:rPr>
        <w:t>VaV</w:t>
      </w:r>
      <w:proofErr w:type="spellEnd"/>
      <w:r w:rsidR="00D059FD" w:rsidRPr="00D059FD">
        <w:rPr>
          <w:rFonts w:ascii="Calibri" w:eastAsia="Calibri" w:hAnsi="Calibri" w:cs="Calibri"/>
          <w:sz w:val="24"/>
        </w:rPr>
        <w:t>)</w:t>
      </w:r>
      <w:r>
        <w:rPr>
          <w:rFonts w:ascii="Calibri" w:eastAsia="Calibri" w:hAnsi="Calibri" w:cs="Calibri"/>
          <w:sz w:val="24"/>
        </w:rPr>
        <w:t>;</w:t>
      </w:r>
    </w:p>
    <w:p w14:paraId="1B564946" w14:textId="4D175F15" w:rsidR="00D059FD" w:rsidRPr="00D059FD" w:rsidRDefault="00D96E4E" w:rsidP="00D059FD">
      <w:pPr>
        <w:pStyle w:val="Odstavecseseznamem"/>
        <w:numPr>
          <w:ilvl w:val="0"/>
          <w:numId w:val="30"/>
        </w:numPr>
        <w:spacing w:line="276" w:lineRule="auto"/>
        <w:ind w:left="1418" w:hanging="218"/>
        <w:jc w:val="both"/>
        <w:rPr>
          <w:rFonts w:ascii="Calibri" w:eastAsia="Calibri" w:hAnsi="Calibri" w:cs="Calibri"/>
          <w:sz w:val="24"/>
        </w:rPr>
      </w:pPr>
      <w:r>
        <w:rPr>
          <w:rFonts w:ascii="Calibri" w:eastAsia="Calibri" w:hAnsi="Calibri" w:cs="Calibri"/>
          <w:sz w:val="24"/>
        </w:rPr>
        <w:t>v</w:t>
      </w:r>
      <w:r w:rsidR="00D059FD" w:rsidRPr="00D059FD">
        <w:rPr>
          <w:rFonts w:ascii="Calibri" w:eastAsia="Calibri" w:hAnsi="Calibri" w:cs="Calibri"/>
          <w:sz w:val="24"/>
        </w:rPr>
        <w:t>yšší podpora nákladů na spolupr</w:t>
      </w:r>
      <w:r w:rsidR="00D059FD">
        <w:rPr>
          <w:rFonts w:ascii="Calibri" w:eastAsia="Calibri" w:hAnsi="Calibri" w:cs="Calibri"/>
          <w:sz w:val="24"/>
        </w:rPr>
        <w:t>á</w:t>
      </w:r>
      <w:r w:rsidR="00D059FD" w:rsidRPr="00D059FD">
        <w:rPr>
          <w:rFonts w:ascii="Calibri" w:eastAsia="Calibri" w:hAnsi="Calibri" w:cs="Calibri"/>
          <w:sz w:val="24"/>
        </w:rPr>
        <w:t>c</w:t>
      </w:r>
      <w:r w:rsidR="00D059FD">
        <w:rPr>
          <w:rFonts w:ascii="Calibri" w:eastAsia="Calibri" w:hAnsi="Calibri" w:cs="Calibri"/>
          <w:sz w:val="24"/>
        </w:rPr>
        <w:t>i</w:t>
      </w:r>
      <w:r w:rsidR="00D059FD" w:rsidRPr="00D059FD">
        <w:rPr>
          <w:rFonts w:ascii="Calibri" w:eastAsia="Calibri" w:hAnsi="Calibri" w:cs="Calibri"/>
          <w:sz w:val="24"/>
        </w:rPr>
        <w:t xml:space="preserve"> s výzkumnými organizacemi (podpora spolupráce s VO)</w:t>
      </w:r>
      <w:r>
        <w:rPr>
          <w:rFonts w:ascii="Calibri" w:eastAsia="Calibri" w:hAnsi="Calibri" w:cs="Calibri"/>
          <w:sz w:val="24"/>
        </w:rPr>
        <w:t>;</w:t>
      </w:r>
    </w:p>
    <w:p w14:paraId="4E654D67" w14:textId="19025547" w:rsidR="00F73D9A" w:rsidRDefault="00D96E4E" w:rsidP="00D059FD">
      <w:pPr>
        <w:pStyle w:val="Odstavecseseznamem"/>
        <w:numPr>
          <w:ilvl w:val="0"/>
          <w:numId w:val="30"/>
        </w:numPr>
        <w:spacing w:line="276" w:lineRule="auto"/>
        <w:ind w:left="1418" w:hanging="218"/>
        <w:jc w:val="both"/>
        <w:rPr>
          <w:rFonts w:ascii="Calibri" w:eastAsia="Calibri" w:hAnsi="Calibri" w:cs="Calibri"/>
          <w:sz w:val="24"/>
        </w:rPr>
      </w:pPr>
      <w:r>
        <w:rPr>
          <w:rFonts w:ascii="Calibri" w:eastAsia="Calibri" w:hAnsi="Calibri" w:cs="Calibri"/>
          <w:sz w:val="24"/>
        </w:rPr>
        <w:t>a</w:t>
      </w:r>
      <w:r w:rsidR="00D059FD" w:rsidRPr="00D059FD">
        <w:rPr>
          <w:rFonts w:ascii="Calibri" w:eastAsia="Calibri" w:hAnsi="Calibri" w:cs="Calibri"/>
          <w:sz w:val="24"/>
        </w:rPr>
        <w:t>nalýza dalších parametrických zlepšení pro zvýšení atraktivity a efektivity podpory</w:t>
      </w:r>
    </w:p>
    <w:p w14:paraId="0AE01D60" w14:textId="77777777" w:rsidR="00D957F4" w:rsidRDefault="00D957F4" w:rsidP="00D957F4">
      <w:pPr>
        <w:pStyle w:val="Nadpis1"/>
        <w:spacing w:line="240" w:lineRule="auto"/>
        <w:ind w:left="567" w:hanging="141"/>
        <w:jc w:val="both"/>
        <w:rPr>
          <w:rFonts w:ascii="Calibri" w:eastAsia="Calibri" w:hAnsi="Calibri" w:cs="Calibri"/>
          <w:b/>
          <w:color w:val="7030A0"/>
          <w:sz w:val="28"/>
          <w:szCs w:val="22"/>
        </w:rPr>
      </w:pPr>
    </w:p>
    <w:p w14:paraId="2FC251C3" w14:textId="2C1709CF" w:rsidR="00D957F4" w:rsidRPr="00D957F4" w:rsidRDefault="00D957F4" w:rsidP="00D957F4">
      <w:pPr>
        <w:pStyle w:val="Nadpis1"/>
        <w:spacing w:after="240" w:line="240" w:lineRule="auto"/>
        <w:ind w:left="142" w:hanging="141"/>
        <w:jc w:val="both"/>
        <w:rPr>
          <w:rFonts w:ascii="Calibri" w:eastAsia="Calibri" w:hAnsi="Calibri" w:cs="Calibri"/>
          <w:b/>
          <w:color w:val="auto"/>
          <w:sz w:val="28"/>
          <w:szCs w:val="22"/>
        </w:rPr>
      </w:pPr>
      <w:r w:rsidRPr="00D957F4">
        <w:rPr>
          <w:rFonts w:ascii="Calibri" w:eastAsia="Calibri" w:hAnsi="Calibri" w:cs="Calibri"/>
          <w:b/>
          <w:color w:val="auto"/>
          <w:sz w:val="28"/>
          <w:szCs w:val="22"/>
        </w:rPr>
        <w:t>Varianty přístupu k systému daňových odpočtů</w:t>
      </w:r>
    </w:p>
    <w:p w14:paraId="764076FA" w14:textId="7CC0883C" w:rsidR="00545694" w:rsidRDefault="00D957F4" w:rsidP="00D957F4">
      <w:pPr>
        <w:spacing w:line="276" w:lineRule="auto"/>
        <w:jc w:val="both"/>
        <w:rPr>
          <w:rFonts w:ascii="Calibri" w:eastAsia="Calibri" w:hAnsi="Calibri" w:cs="Calibri"/>
          <w:sz w:val="24"/>
        </w:rPr>
      </w:pPr>
      <w:r>
        <w:rPr>
          <w:rFonts w:ascii="Calibri" w:eastAsia="Calibri" w:hAnsi="Calibri" w:cs="Calibri"/>
          <w:sz w:val="24"/>
        </w:rPr>
        <w:t>Z proběhlých diskuzí na PSDO 2022</w:t>
      </w:r>
      <w:r w:rsidR="00545694">
        <w:rPr>
          <w:rFonts w:ascii="Calibri" w:eastAsia="Calibri" w:hAnsi="Calibri" w:cs="Calibri"/>
          <w:sz w:val="24"/>
        </w:rPr>
        <w:t> </w:t>
      </w:r>
      <w:r>
        <w:rPr>
          <w:rFonts w:ascii="Calibri" w:eastAsia="Calibri" w:hAnsi="Calibri" w:cs="Calibri"/>
          <w:sz w:val="24"/>
        </w:rPr>
        <w:t>bylo pracovní skupině představeno</w:t>
      </w:r>
      <w:r w:rsidR="00545694">
        <w:rPr>
          <w:rFonts w:ascii="Calibri" w:eastAsia="Calibri" w:hAnsi="Calibri" w:cs="Calibri"/>
          <w:sz w:val="24"/>
        </w:rPr>
        <w:t xml:space="preserve"> 6</w:t>
      </w:r>
      <w:r w:rsidR="00545694" w:rsidRPr="00C027A6">
        <w:rPr>
          <w:rFonts w:ascii="Calibri" w:eastAsia="Calibri" w:hAnsi="Calibri" w:cs="Calibri"/>
          <w:sz w:val="24"/>
        </w:rPr>
        <w:t xml:space="preserve"> variant</w:t>
      </w:r>
      <w:r w:rsidR="00545694">
        <w:rPr>
          <w:rFonts w:ascii="Calibri" w:eastAsia="Calibri" w:hAnsi="Calibri" w:cs="Calibri"/>
          <w:sz w:val="24"/>
        </w:rPr>
        <w:t xml:space="preserve"> přístupu k systému daňových odpočtů</w:t>
      </w:r>
      <w:r w:rsidR="00545694" w:rsidRPr="00C027A6">
        <w:rPr>
          <w:rFonts w:ascii="Calibri" w:eastAsia="Calibri" w:hAnsi="Calibri" w:cs="Calibri"/>
          <w:sz w:val="24"/>
        </w:rPr>
        <w:t xml:space="preserve">, </w:t>
      </w:r>
      <w:r w:rsidR="00545694">
        <w:rPr>
          <w:rFonts w:ascii="Calibri" w:eastAsia="Calibri" w:hAnsi="Calibri" w:cs="Calibri"/>
          <w:sz w:val="24"/>
        </w:rPr>
        <w:t>přičemž varianty reflektovaly jak návrhy a požadavky</w:t>
      </w:r>
      <w:r w:rsidR="00545694" w:rsidRPr="00C027A6">
        <w:rPr>
          <w:rFonts w:ascii="Calibri" w:eastAsia="Calibri" w:hAnsi="Calibri" w:cs="Calibri"/>
          <w:sz w:val="24"/>
        </w:rPr>
        <w:t xml:space="preserve"> zástupc</w:t>
      </w:r>
      <w:r w:rsidR="00545694">
        <w:rPr>
          <w:rFonts w:ascii="Calibri" w:eastAsia="Calibri" w:hAnsi="Calibri" w:cs="Calibri"/>
          <w:sz w:val="24"/>
        </w:rPr>
        <w:t>ů</w:t>
      </w:r>
      <w:r w:rsidR="00545694" w:rsidRPr="00C027A6">
        <w:rPr>
          <w:rFonts w:ascii="Calibri" w:eastAsia="Calibri" w:hAnsi="Calibri" w:cs="Calibri"/>
          <w:sz w:val="24"/>
        </w:rPr>
        <w:t xml:space="preserve"> firem</w:t>
      </w:r>
      <w:r>
        <w:rPr>
          <w:rFonts w:ascii="Calibri" w:eastAsia="Calibri" w:hAnsi="Calibri" w:cs="Calibri"/>
          <w:sz w:val="24"/>
        </w:rPr>
        <w:t>, tak i </w:t>
      </w:r>
      <w:r w:rsidR="00545694">
        <w:rPr>
          <w:rFonts w:ascii="Calibri" w:eastAsia="Calibri" w:hAnsi="Calibri" w:cs="Calibri"/>
          <w:sz w:val="24"/>
        </w:rPr>
        <w:t>zástupců veřejné správy, především Ministerstva financí a Generálního finančního ředitelství.</w:t>
      </w:r>
    </w:p>
    <w:p w14:paraId="0A8EF84D" w14:textId="77777777" w:rsidR="00D957F4" w:rsidRPr="00D957F4" w:rsidRDefault="00D957F4" w:rsidP="00D957F4">
      <w:pPr>
        <w:numPr>
          <w:ilvl w:val="0"/>
          <w:numId w:val="21"/>
        </w:numPr>
        <w:spacing w:before="100" w:beforeAutospacing="1" w:after="100" w:afterAutospacing="1" w:line="240" w:lineRule="auto"/>
        <w:jc w:val="both"/>
        <w:rPr>
          <w:rFonts w:eastAsia="Times New Roman" w:cstheme="minorHAnsi"/>
          <w:sz w:val="24"/>
          <w:szCs w:val="24"/>
        </w:rPr>
      </w:pPr>
      <w:r w:rsidRPr="00D957F4">
        <w:rPr>
          <w:rFonts w:eastAsia="Times New Roman" w:cstheme="minorHAnsi"/>
          <w:sz w:val="24"/>
          <w:szCs w:val="24"/>
        </w:rPr>
        <w:t>Varianta 1: NEPŘÍMÁ PODPORA nově řešena prostřednictvím Zákona 130 Sb.</w:t>
      </w:r>
    </w:p>
    <w:p w14:paraId="29D85035" w14:textId="77777777" w:rsidR="00D957F4" w:rsidRPr="00D957F4" w:rsidRDefault="00D957F4" w:rsidP="00D957F4">
      <w:pPr>
        <w:numPr>
          <w:ilvl w:val="0"/>
          <w:numId w:val="21"/>
        </w:numPr>
        <w:spacing w:before="100" w:beforeAutospacing="1" w:after="100" w:afterAutospacing="1" w:line="240" w:lineRule="auto"/>
        <w:jc w:val="both"/>
        <w:rPr>
          <w:rFonts w:eastAsia="Times New Roman" w:cstheme="minorHAnsi"/>
          <w:sz w:val="24"/>
          <w:szCs w:val="24"/>
        </w:rPr>
      </w:pPr>
      <w:r w:rsidRPr="00D957F4">
        <w:rPr>
          <w:rFonts w:eastAsia="Times New Roman" w:cstheme="minorHAnsi"/>
          <w:sz w:val="24"/>
          <w:szCs w:val="24"/>
        </w:rPr>
        <w:t>Varianta 2: NOVELA ZÁKONA O PŘÍJMECH 586/1992 Sb.</w:t>
      </w:r>
    </w:p>
    <w:p w14:paraId="6A89B780" w14:textId="77777777" w:rsidR="00D957F4" w:rsidRPr="00D957F4" w:rsidRDefault="00D957F4" w:rsidP="00D957F4">
      <w:pPr>
        <w:numPr>
          <w:ilvl w:val="0"/>
          <w:numId w:val="21"/>
        </w:numPr>
        <w:spacing w:before="100" w:beforeAutospacing="1" w:after="100" w:afterAutospacing="1" w:line="240" w:lineRule="auto"/>
        <w:jc w:val="both"/>
        <w:rPr>
          <w:rFonts w:eastAsia="Times New Roman" w:cstheme="minorHAnsi"/>
          <w:sz w:val="24"/>
          <w:szCs w:val="24"/>
        </w:rPr>
      </w:pPr>
      <w:r w:rsidRPr="00D957F4">
        <w:rPr>
          <w:rFonts w:eastAsia="Times New Roman" w:cstheme="minorHAnsi"/>
          <w:sz w:val="24"/>
          <w:szCs w:val="24"/>
        </w:rPr>
        <w:t xml:space="preserve">Varianta 3: ZRUŠENÍ ODPOČTŮ na </w:t>
      </w:r>
      <w:proofErr w:type="spellStart"/>
      <w:r w:rsidRPr="00D957F4">
        <w:rPr>
          <w:rFonts w:eastAsia="Times New Roman" w:cstheme="minorHAnsi"/>
          <w:sz w:val="24"/>
          <w:szCs w:val="24"/>
        </w:rPr>
        <w:t>VaV</w:t>
      </w:r>
      <w:proofErr w:type="spellEnd"/>
      <w:r w:rsidRPr="00D957F4">
        <w:rPr>
          <w:rFonts w:eastAsia="Times New Roman" w:cstheme="minorHAnsi"/>
          <w:sz w:val="24"/>
          <w:szCs w:val="24"/>
        </w:rPr>
        <w:t xml:space="preserve"> a navýšení přímé podpory na </w:t>
      </w:r>
      <w:proofErr w:type="spellStart"/>
      <w:r w:rsidRPr="00D957F4">
        <w:rPr>
          <w:rFonts w:eastAsia="Times New Roman" w:cstheme="minorHAnsi"/>
          <w:sz w:val="24"/>
          <w:szCs w:val="24"/>
        </w:rPr>
        <w:t>VaV</w:t>
      </w:r>
      <w:proofErr w:type="spellEnd"/>
    </w:p>
    <w:p w14:paraId="405196D2" w14:textId="77777777" w:rsidR="00D957F4" w:rsidRPr="00D957F4" w:rsidRDefault="00D957F4" w:rsidP="00D957F4">
      <w:pPr>
        <w:numPr>
          <w:ilvl w:val="0"/>
          <w:numId w:val="21"/>
        </w:numPr>
        <w:spacing w:before="100" w:beforeAutospacing="1" w:after="100" w:afterAutospacing="1" w:line="240" w:lineRule="auto"/>
        <w:jc w:val="both"/>
        <w:rPr>
          <w:rFonts w:eastAsia="Times New Roman" w:cstheme="minorHAnsi"/>
          <w:sz w:val="24"/>
          <w:szCs w:val="24"/>
        </w:rPr>
      </w:pPr>
      <w:r w:rsidRPr="00D957F4">
        <w:rPr>
          <w:rFonts w:eastAsia="Times New Roman" w:cstheme="minorHAnsi"/>
          <w:sz w:val="24"/>
          <w:szCs w:val="24"/>
        </w:rPr>
        <w:t xml:space="preserve">Varianta 4: ZRUŠENÍ ODPOČTŮ na </w:t>
      </w:r>
      <w:proofErr w:type="spellStart"/>
      <w:r w:rsidRPr="00D957F4">
        <w:rPr>
          <w:rFonts w:eastAsia="Times New Roman" w:cstheme="minorHAnsi"/>
          <w:sz w:val="24"/>
          <w:szCs w:val="24"/>
        </w:rPr>
        <w:t>VaV</w:t>
      </w:r>
      <w:proofErr w:type="spellEnd"/>
      <w:r w:rsidRPr="00D957F4">
        <w:rPr>
          <w:rFonts w:eastAsia="Times New Roman" w:cstheme="minorHAnsi"/>
          <w:sz w:val="24"/>
          <w:szCs w:val="24"/>
        </w:rPr>
        <w:t xml:space="preserve"> a snížení daně pro právnické osoby</w:t>
      </w:r>
    </w:p>
    <w:p w14:paraId="1513D0A8" w14:textId="77777777" w:rsidR="00D957F4" w:rsidRPr="00D957F4" w:rsidRDefault="00D957F4" w:rsidP="00D957F4">
      <w:pPr>
        <w:numPr>
          <w:ilvl w:val="0"/>
          <w:numId w:val="21"/>
        </w:numPr>
        <w:spacing w:before="100" w:beforeAutospacing="1" w:after="100" w:afterAutospacing="1" w:line="240" w:lineRule="auto"/>
        <w:jc w:val="both"/>
        <w:rPr>
          <w:rFonts w:eastAsia="Times New Roman" w:cstheme="minorHAnsi"/>
          <w:sz w:val="24"/>
          <w:szCs w:val="24"/>
        </w:rPr>
      </w:pPr>
      <w:r w:rsidRPr="00D957F4">
        <w:rPr>
          <w:rFonts w:eastAsia="Times New Roman" w:cstheme="minorHAnsi"/>
          <w:sz w:val="24"/>
          <w:szCs w:val="24"/>
        </w:rPr>
        <w:t xml:space="preserve">Varianta 5a) zavedení POSOUZENÍ </w:t>
      </w:r>
      <w:proofErr w:type="spellStart"/>
      <w:r w:rsidRPr="00D957F4">
        <w:rPr>
          <w:rFonts w:eastAsia="Times New Roman" w:cstheme="minorHAnsi"/>
          <w:sz w:val="24"/>
          <w:szCs w:val="24"/>
        </w:rPr>
        <w:t>VaV</w:t>
      </w:r>
      <w:proofErr w:type="spellEnd"/>
      <w:r w:rsidRPr="00D957F4">
        <w:rPr>
          <w:rFonts w:eastAsia="Times New Roman" w:cstheme="minorHAnsi"/>
          <w:sz w:val="24"/>
          <w:szCs w:val="24"/>
        </w:rPr>
        <w:t>, externí subjekt (např. TAČR), AKCEPTACE pro GFŘ (FS) NEBUDE povinná</w:t>
      </w:r>
    </w:p>
    <w:p w14:paraId="343872C2" w14:textId="77777777" w:rsidR="00D957F4" w:rsidRPr="00D957F4" w:rsidRDefault="00D957F4" w:rsidP="00D957F4">
      <w:pPr>
        <w:numPr>
          <w:ilvl w:val="0"/>
          <w:numId w:val="21"/>
        </w:numPr>
        <w:spacing w:before="100" w:beforeAutospacing="1" w:after="100" w:afterAutospacing="1" w:line="240" w:lineRule="auto"/>
        <w:jc w:val="both"/>
        <w:rPr>
          <w:rFonts w:eastAsia="Times New Roman" w:cstheme="minorHAnsi"/>
          <w:sz w:val="24"/>
          <w:szCs w:val="24"/>
        </w:rPr>
      </w:pPr>
      <w:r w:rsidRPr="00D957F4">
        <w:rPr>
          <w:rFonts w:eastAsia="Times New Roman" w:cstheme="minorHAnsi"/>
          <w:sz w:val="24"/>
          <w:szCs w:val="24"/>
        </w:rPr>
        <w:t xml:space="preserve">Varianta 5b) zavedení POSOUZENÍ </w:t>
      </w:r>
      <w:proofErr w:type="spellStart"/>
      <w:r w:rsidRPr="00D957F4">
        <w:rPr>
          <w:rFonts w:eastAsia="Times New Roman" w:cstheme="minorHAnsi"/>
          <w:sz w:val="24"/>
          <w:szCs w:val="24"/>
        </w:rPr>
        <w:t>VaV</w:t>
      </w:r>
      <w:proofErr w:type="spellEnd"/>
      <w:r w:rsidRPr="00D957F4">
        <w:rPr>
          <w:rFonts w:eastAsia="Times New Roman" w:cstheme="minorHAnsi"/>
          <w:sz w:val="24"/>
          <w:szCs w:val="24"/>
        </w:rPr>
        <w:t>, externí subjekt (např. TAČR), AKCEPTACE pro GFŘ (FS) BUDE povinná</w:t>
      </w:r>
    </w:p>
    <w:p w14:paraId="74973904" w14:textId="77777777" w:rsidR="00D957F4" w:rsidRPr="00D957F4" w:rsidRDefault="00D957F4" w:rsidP="00D957F4">
      <w:pPr>
        <w:jc w:val="both"/>
        <w:rPr>
          <w:sz w:val="24"/>
          <w:szCs w:val="24"/>
        </w:rPr>
      </w:pPr>
      <w:r w:rsidRPr="00D957F4">
        <w:rPr>
          <w:rFonts w:ascii="Calibri" w:eastAsia="Calibri" w:hAnsi="Calibri" w:cs="Calibri"/>
          <w:bCs/>
          <w:sz w:val="24"/>
          <w:u w:val="single"/>
        </w:rPr>
        <w:t>Pracovní skupina nenalezla shodu na výběru vhodné varianty ani diskutovaných kompromisních řešeních.</w:t>
      </w:r>
    </w:p>
    <w:p w14:paraId="4FD82971" w14:textId="77777777" w:rsidR="00C754FA" w:rsidRDefault="00C754FA">
      <w:pPr>
        <w:rPr>
          <w:rFonts w:ascii="Calibri" w:eastAsia="Calibri" w:hAnsi="Calibri" w:cs="Calibri"/>
          <w:sz w:val="24"/>
          <w:u w:val="single"/>
        </w:rPr>
      </w:pPr>
      <w:r>
        <w:rPr>
          <w:rFonts w:ascii="Calibri" w:eastAsia="Calibri" w:hAnsi="Calibri" w:cs="Calibri"/>
          <w:sz w:val="24"/>
          <w:u w:val="single"/>
        </w:rPr>
        <w:br w:type="page"/>
      </w:r>
    </w:p>
    <w:p w14:paraId="1E9A19D2" w14:textId="6BCEFCFF" w:rsidR="00DF6513" w:rsidRDefault="002D4F67" w:rsidP="002C04A0">
      <w:pPr>
        <w:pStyle w:val="Nadpis1"/>
        <w:numPr>
          <w:ilvl w:val="0"/>
          <w:numId w:val="2"/>
        </w:numPr>
        <w:ind w:left="567" w:hanging="567"/>
        <w:rPr>
          <w:rFonts w:eastAsia="Calibri"/>
          <w:b/>
          <w:sz w:val="40"/>
          <w:szCs w:val="40"/>
        </w:rPr>
      </w:pPr>
      <w:r w:rsidRPr="002D4F67">
        <w:rPr>
          <w:rFonts w:eastAsia="Calibri"/>
          <w:b/>
          <w:sz w:val="40"/>
          <w:szCs w:val="40"/>
        </w:rPr>
        <w:lastRenderedPageBreak/>
        <w:t xml:space="preserve">Další </w:t>
      </w:r>
      <w:r w:rsidR="00CA33B8">
        <w:rPr>
          <w:rFonts w:eastAsia="Calibri"/>
          <w:b/>
          <w:sz w:val="40"/>
          <w:szCs w:val="40"/>
        </w:rPr>
        <w:t>finanční nástroje</w:t>
      </w:r>
      <w:r w:rsidRPr="002D4F67">
        <w:rPr>
          <w:rFonts w:eastAsia="Calibri"/>
          <w:b/>
          <w:sz w:val="40"/>
          <w:szCs w:val="40"/>
        </w:rPr>
        <w:t xml:space="preserve"> nepřímé veřejné podpory </w:t>
      </w:r>
      <w:proofErr w:type="spellStart"/>
      <w:r w:rsidR="00CA33B8">
        <w:rPr>
          <w:rFonts w:eastAsia="Calibri"/>
          <w:b/>
          <w:sz w:val="40"/>
          <w:szCs w:val="40"/>
        </w:rPr>
        <w:t>VaV</w:t>
      </w:r>
      <w:proofErr w:type="spellEnd"/>
    </w:p>
    <w:p w14:paraId="7ECCB234" w14:textId="6CB49D29" w:rsidR="001C0A07" w:rsidRDefault="001C0A07" w:rsidP="001C0A07"/>
    <w:p w14:paraId="55131A75" w14:textId="0A7D4AF3" w:rsidR="00F32035" w:rsidRDefault="00F32035" w:rsidP="00062F7C">
      <w:pPr>
        <w:pStyle w:val="Odstavecseseznamem"/>
        <w:numPr>
          <w:ilvl w:val="0"/>
          <w:numId w:val="10"/>
        </w:numPr>
        <w:spacing w:line="276" w:lineRule="auto"/>
        <w:rPr>
          <w:rFonts w:ascii="Calibri" w:eastAsia="Calibri" w:hAnsi="Calibri" w:cs="Calibri"/>
          <w:b/>
          <w:bCs/>
          <w:color w:val="002060"/>
          <w:sz w:val="28"/>
        </w:rPr>
      </w:pPr>
      <w:r w:rsidRPr="00F32035">
        <w:rPr>
          <w:rFonts w:ascii="Calibri" w:eastAsia="Calibri" w:hAnsi="Calibri" w:cs="Calibri"/>
          <w:b/>
          <w:bCs/>
          <w:color w:val="002060"/>
          <w:sz w:val="28"/>
        </w:rPr>
        <w:t xml:space="preserve">Závěry předložené Radě </w:t>
      </w:r>
      <w:r w:rsidR="003239E3">
        <w:rPr>
          <w:rFonts w:ascii="Calibri" w:eastAsia="Calibri" w:hAnsi="Calibri" w:cs="Calibri"/>
          <w:b/>
          <w:bCs/>
          <w:color w:val="002060"/>
          <w:sz w:val="28"/>
        </w:rPr>
        <w:t>uvedené</w:t>
      </w:r>
      <w:r w:rsidR="003239E3" w:rsidRPr="003239E3">
        <w:rPr>
          <w:rFonts w:ascii="Calibri" w:eastAsia="Calibri" w:hAnsi="Calibri" w:cs="Calibri"/>
          <w:b/>
          <w:bCs/>
          <w:color w:val="002060"/>
          <w:sz w:val="28"/>
        </w:rPr>
        <w:t xml:space="preserve"> v části I</w:t>
      </w:r>
      <w:r w:rsidR="00062F7C">
        <w:rPr>
          <w:rFonts w:ascii="Calibri" w:eastAsia="Calibri" w:hAnsi="Calibri" w:cs="Calibri"/>
          <w:b/>
          <w:bCs/>
          <w:color w:val="002060"/>
          <w:sz w:val="28"/>
        </w:rPr>
        <w:t>V. předloženého materiálu na </w:t>
      </w:r>
      <w:r w:rsidR="003239E3">
        <w:rPr>
          <w:rFonts w:ascii="Calibri" w:eastAsia="Calibri" w:hAnsi="Calibri" w:cs="Calibri"/>
          <w:b/>
          <w:bCs/>
          <w:color w:val="002060"/>
          <w:sz w:val="28"/>
        </w:rPr>
        <w:t>382. </w:t>
      </w:r>
      <w:r w:rsidR="003239E3" w:rsidRPr="003239E3">
        <w:rPr>
          <w:rFonts w:ascii="Calibri" w:eastAsia="Calibri" w:hAnsi="Calibri" w:cs="Calibri"/>
          <w:b/>
          <w:bCs/>
          <w:color w:val="002060"/>
          <w:sz w:val="28"/>
        </w:rPr>
        <w:t>zasedání Rady</w:t>
      </w:r>
      <w:r w:rsidR="003239E3">
        <w:rPr>
          <w:rFonts w:ascii="Calibri" w:eastAsia="Calibri" w:hAnsi="Calibri" w:cs="Calibri"/>
          <w:b/>
          <w:bCs/>
          <w:color w:val="002060"/>
          <w:sz w:val="28"/>
        </w:rPr>
        <w:t xml:space="preserve"> </w:t>
      </w:r>
      <w:r w:rsidR="00062F7C">
        <w:rPr>
          <w:rFonts w:ascii="Calibri" w:eastAsia="Calibri" w:hAnsi="Calibri" w:cs="Calibri"/>
          <w:b/>
          <w:bCs/>
          <w:color w:val="002060"/>
          <w:sz w:val="28"/>
        </w:rPr>
        <w:t>dne 30. září 2022</w:t>
      </w:r>
    </w:p>
    <w:p w14:paraId="49425430" w14:textId="77777777" w:rsidR="003239E3" w:rsidRPr="00F32035" w:rsidRDefault="003239E3" w:rsidP="00A138A4">
      <w:pPr>
        <w:pStyle w:val="Odstavecseseznamem"/>
        <w:spacing w:line="276" w:lineRule="auto"/>
        <w:ind w:left="360"/>
        <w:jc w:val="both"/>
        <w:rPr>
          <w:rFonts w:ascii="Calibri" w:eastAsia="Calibri" w:hAnsi="Calibri" w:cs="Calibri"/>
          <w:b/>
          <w:bCs/>
          <w:color w:val="002060"/>
          <w:sz w:val="28"/>
        </w:rPr>
      </w:pPr>
    </w:p>
    <w:p w14:paraId="538B3360" w14:textId="26586678" w:rsidR="00F32035" w:rsidRDefault="00F32035" w:rsidP="00A138A4">
      <w:pPr>
        <w:pStyle w:val="Odstavecseseznamem"/>
        <w:numPr>
          <w:ilvl w:val="0"/>
          <w:numId w:val="9"/>
        </w:numPr>
        <w:spacing w:line="276" w:lineRule="auto"/>
        <w:jc w:val="both"/>
        <w:rPr>
          <w:rFonts w:ascii="Calibri" w:eastAsia="Calibri" w:hAnsi="Calibri" w:cs="Calibri"/>
          <w:sz w:val="24"/>
        </w:rPr>
      </w:pPr>
      <w:r w:rsidRPr="00F32035">
        <w:rPr>
          <w:rFonts w:ascii="Calibri" w:eastAsia="Calibri" w:hAnsi="Calibri" w:cs="Calibri"/>
          <w:sz w:val="24"/>
        </w:rPr>
        <w:t xml:space="preserve">Pro plnohodnotné využití a umožnění finančních nástrojů v oblasti </w:t>
      </w:r>
      <w:proofErr w:type="spellStart"/>
      <w:r w:rsidRPr="00F32035">
        <w:rPr>
          <w:rFonts w:ascii="Calibri" w:eastAsia="Calibri" w:hAnsi="Calibri" w:cs="Calibri"/>
          <w:sz w:val="24"/>
        </w:rPr>
        <w:t>VaVaI</w:t>
      </w:r>
      <w:proofErr w:type="spellEnd"/>
      <w:r w:rsidRPr="00F32035">
        <w:rPr>
          <w:rFonts w:ascii="Calibri" w:eastAsia="Calibri" w:hAnsi="Calibri" w:cs="Calibri"/>
          <w:sz w:val="24"/>
        </w:rPr>
        <w:t xml:space="preserve"> je zapotřebí připravit legislativní změny – především v kontextu přípravy nového zákona č. 130/2002 Sb., viz Hlavní závěry PSDO </w:t>
      </w:r>
      <w:r w:rsidR="00F656B4">
        <w:rPr>
          <w:rFonts w:ascii="Calibri" w:eastAsia="Calibri" w:hAnsi="Calibri" w:cs="Calibri"/>
          <w:sz w:val="24"/>
        </w:rPr>
        <w:t>2022</w:t>
      </w:r>
      <w:r w:rsidRPr="00F32035">
        <w:rPr>
          <w:rFonts w:ascii="Calibri" w:eastAsia="Calibri" w:hAnsi="Calibri" w:cs="Calibri"/>
          <w:sz w:val="24"/>
        </w:rPr>
        <w:t xml:space="preserve"> k problematice finančních nástrojů v kapitole III, bod A/.</w:t>
      </w:r>
    </w:p>
    <w:p w14:paraId="23C643BB" w14:textId="77777777" w:rsidR="00F32035" w:rsidRDefault="00F32035" w:rsidP="00A138A4">
      <w:pPr>
        <w:pStyle w:val="Odstavecseseznamem"/>
        <w:spacing w:line="276" w:lineRule="auto"/>
        <w:jc w:val="both"/>
        <w:rPr>
          <w:rFonts w:ascii="Calibri" w:eastAsia="Calibri" w:hAnsi="Calibri" w:cs="Calibri"/>
          <w:sz w:val="24"/>
        </w:rPr>
      </w:pPr>
    </w:p>
    <w:p w14:paraId="556A11C3" w14:textId="2E241388" w:rsidR="00F32035" w:rsidRDefault="00F32035" w:rsidP="00A138A4">
      <w:pPr>
        <w:pStyle w:val="Odstavecseseznamem"/>
        <w:numPr>
          <w:ilvl w:val="0"/>
          <w:numId w:val="9"/>
        </w:numPr>
        <w:spacing w:line="276" w:lineRule="auto"/>
        <w:jc w:val="both"/>
        <w:rPr>
          <w:rFonts w:ascii="Calibri" w:eastAsia="Calibri" w:hAnsi="Calibri" w:cs="Calibri"/>
          <w:sz w:val="24"/>
        </w:rPr>
      </w:pPr>
      <w:r w:rsidRPr="00F32035">
        <w:rPr>
          <w:rFonts w:ascii="Calibri" w:eastAsia="Calibri" w:hAnsi="Calibri" w:cs="Calibri"/>
          <w:sz w:val="24"/>
        </w:rPr>
        <w:t>Je žádoucí identifikovat vhodnou oblast a zdroj finančních prostředků pro vytvoření tzv. pilotního finančního nástroje.</w:t>
      </w:r>
    </w:p>
    <w:p w14:paraId="23FB347A" w14:textId="5AA32F94" w:rsidR="00395EDA" w:rsidRDefault="00395EDA" w:rsidP="00A138A4">
      <w:pPr>
        <w:pStyle w:val="Odstavecseseznamem"/>
        <w:spacing w:line="276" w:lineRule="auto"/>
        <w:rPr>
          <w:rFonts w:ascii="Calibri" w:eastAsia="Calibri" w:hAnsi="Calibri" w:cs="Calibri"/>
          <w:sz w:val="24"/>
        </w:rPr>
      </w:pPr>
    </w:p>
    <w:p w14:paraId="41651E5A" w14:textId="77777777" w:rsidR="00750D3A" w:rsidRDefault="00750D3A" w:rsidP="00A138A4">
      <w:pPr>
        <w:pStyle w:val="Odstavecseseznamem"/>
        <w:spacing w:line="276" w:lineRule="auto"/>
        <w:rPr>
          <w:rFonts w:ascii="Calibri" w:eastAsia="Calibri" w:hAnsi="Calibri" w:cs="Calibri"/>
          <w:sz w:val="24"/>
        </w:rPr>
      </w:pPr>
    </w:p>
    <w:p w14:paraId="41936174" w14:textId="18673EDD" w:rsidR="00F660D2" w:rsidRPr="00E92808" w:rsidRDefault="00E92808" w:rsidP="00E92808">
      <w:pPr>
        <w:pStyle w:val="Odstavecseseznamem"/>
        <w:numPr>
          <w:ilvl w:val="0"/>
          <w:numId w:val="10"/>
        </w:numPr>
        <w:spacing w:line="276" w:lineRule="auto"/>
        <w:rPr>
          <w:rFonts w:ascii="Calibri" w:eastAsia="Calibri" w:hAnsi="Calibri" w:cs="Calibri"/>
          <w:b/>
          <w:bCs/>
          <w:color w:val="002060"/>
          <w:sz w:val="28"/>
        </w:rPr>
      </w:pPr>
      <w:r w:rsidRPr="00E92808">
        <w:rPr>
          <w:rFonts w:ascii="Calibri" w:eastAsia="Calibri" w:hAnsi="Calibri" w:cs="Calibri"/>
          <w:b/>
          <w:bCs/>
          <w:color w:val="002060"/>
          <w:sz w:val="28"/>
        </w:rPr>
        <w:t>Základní popis problematiky finančních nást</w:t>
      </w:r>
      <w:r w:rsidR="00EA16A6">
        <w:rPr>
          <w:rFonts w:ascii="Calibri" w:eastAsia="Calibri" w:hAnsi="Calibri" w:cs="Calibri"/>
          <w:b/>
          <w:bCs/>
          <w:color w:val="002060"/>
          <w:sz w:val="28"/>
        </w:rPr>
        <w:t>rojů a přehled vybraných zemí a </w:t>
      </w:r>
      <w:r w:rsidRPr="00E92808">
        <w:rPr>
          <w:rFonts w:ascii="Calibri" w:eastAsia="Calibri" w:hAnsi="Calibri" w:cs="Calibri"/>
          <w:b/>
          <w:bCs/>
          <w:color w:val="002060"/>
          <w:sz w:val="28"/>
        </w:rPr>
        <w:t>jejich nástrojů</w:t>
      </w:r>
    </w:p>
    <w:p w14:paraId="7C464DA1" w14:textId="7FC9C236" w:rsidR="00E92808" w:rsidRDefault="00E92808" w:rsidP="00A138A4">
      <w:pPr>
        <w:pStyle w:val="Odstavecseseznamem"/>
        <w:spacing w:line="276" w:lineRule="auto"/>
        <w:rPr>
          <w:rFonts w:ascii="Calibri" w:eastAsia="Calibri" w:hAnsi="Calibri" w:cs="Calibri"/>
          <w:sz w:val="24"/>
        </w:rPr>
      </w:pPr>
    </w:p>
    <w:p w14:paraId="256603F6" w14:textId="77777777" w:rsidR="00E92808" w:rsidRPr="00E92808" w:rsidRDefault="00E92808" w:rsidP="00D957F4">
      <w:pPr>
        <w:spacing w:line="276" w:lineRule="auto"/>
        <w:jc w:val="both"/>
        <w:rPr>
          <w:rFonts w:ascii="Calibri" w:eastAsia="Calibri" w:hAnsi="Calibri" w:cs="Calibri"/>
          <w:sz w:val="24"/>
        </w:rPr>
      </w:pPr>
      <w:r w:rsidRPr="00E92808">
        <w:rPr>
          <w:rFonts w:ascii="Calibri" w:eastAsia="Calibri" w:hAnsi="Calibri" w:cs="Calibri"/>
          <w:sz w:val="24"/>
        </w:rPr>
        <w:t>Finanční nástroje v obecné rovině zahrnují široké spektrum různých nástrojů. Při nejširším pojetí jsou to nástroje od formy dotací až po kapitálové vstupy do komerčních společností. Primárním účelem finančních nástrojů je pomoc komerční společnosti (zpravidla omezené na malé a střední podmínky anebo start-</w:t>
      </w:r>
      <w:proofErr w:type="spellStart"/>
      <w:r w:rsidRPr="00E92808">
        <w:rPr>
          <w:rFonts w:ascii="Calibri" w:eastAsia="Calibri" w:hAnsi="Calibri" w:cs="Calibri"/>
          <w:sz w:val="24"/>
        </w:rPr>
        <w:t>upy</w:t>
      </w:r>
      <w:proofErr w:type="spellEnd"/>
      <w:r w:rsidRPr="00E92808">
        <w:rPr>
          <w:rFonts w:ascii="Calibri" w:eastAsia="Calibri" w:hAnsi="Calibri" w:cs="Calibri"/>
          <w:sz w:val="24"/>
        </w:rPr>
        <w:t xml:space="preserve">). S ohledem na zaměření PSDO 2022 došlo k zaměření se primárně na finanční nástroje vhodné pro podporu výzkumu, vývoje a inovací. </w:t>
      </w:r>
    </w:p>
    <w:p w14:paraId="55B2AD3D" w14:textId="65751E3B" w:rsidR="00E92808" w:rsidRPr="00E92808" w:rsidRDefault="00E92808" w:rsidP="00D957F4">
      <w:pPr>
        <w:spacing w:line="276" w:lineRule="auto"/>
        <w:jc w:val="both"/>
        <w:rPr>
          <w:rFonts w:ascii="Calibri" w:eastAsia="Calibri" w:hAnsi="Calibri" w:cs="Calibri"/>
          <w:sz w:val="24"/>
        </w:rPr>
      </w:pPr>
      <w:r w:rsidRPr="00E92808">
        <w:rPr>
          <w:rFonts w:ascii="Calibri" w:eastAsia="Calibri" w:hAnsi="Calibri" w:cs="Calibri"/>
          <w:sz w:val="24"/>
        </w:rPr>
        <w:t xml:space="preserve">V návaznosti na zveřejnění nového Rámce pro státní podporu výzkumu, vývoje a inovací (Rámec </w:t>
      </w:r>
      <w:proofErr w:type="spellStart"/>
      <w:r w:rsidRPr="00E92808">
        <w:rPr>
          <w:rFonts w:ascii="Calibri" w:eastAsia="Calibri" w:hAnsi="Calibri" w:cs="Calibri"/>
          <w:sz w:val="24"/>
        </w:rPr>
        <w:t>VaVaI</w:t>
      </w:r>
      <w:proofErr w:type="spellEnd"/>
      <w:r w:rsidRPr="00E92808">
        <w:rPr>
          <w:rFonts w:ascii="Calibri" w:eastAsia="Calibri" w:hAnsi="Calibri" w:cs="Calibri"/>
          <w:sz w:val="24"/>
        </w:rPr>
        <w:t>) je zapotřebí reflektovat jeho znění jak při přípravě nov</w:t>
      </w:r>
      <w:r w:rsidR="00750D3A">
        <w:rPr>
          <w:rFonts w:ascii="Calibri" w:eastAsia="Calibri" w:hAnsi="Calibri" w:cs="Calibri"/>
          <w:sz w:val="24"/>
        </w:rPr>
        <w:t>ého zákona „130“, tak i forem a </w:t>
      </w:r>
      <w:r w:rsidRPr="00E92808">
        <w:rPr>
          <w:rFonts w:ascii="Calibri" w:eastAsia="Calibri" w:hAnsi="Calibri" w:cs="Calibri"/>
          <w:sz w:val="24"/>
        </w:rPr>
        <w:t>parametrů jednotlivých finančních nástrojů.</w:t>
      </w:r>
    </w:p>
    <w:p w14:paraId="7A2C8694" w14:textId="24E70A07" w:rsidR="00750D3A" w:rsidRDefault="00E92808" w:rsidP="00D957F4">
      <w:pPr>
        <w:spacing w:line="276" w:lineRule="auto"/>
        <w:jc w:val="both"/>
        <w:rPr>
          <w:rFonts w:ascii="Calibri" w:eastAsia="Calibri" w:hAnsi="Calibri" w:cs="Calibri"/>
          <w:sz w:val="24"/>
        </w:rPr>
      </w:pPr>
      <w:r w:rsidRPr="00E92808">
        <w:rPr>
          <w:rFonts w:ascii="Calibri" w:eastAsia="Calibri" w:hAnsi="Calibri" w:cs="Calibri"/>
          <w:sz w:val="24"/>
        </w:rPr>
        <w:t>Znění nového zákona „130“ má být koncipováno tak, aby umožňoval všechny formy finančních nástrojů, nikoli v zákoně vyjmenovávat všechny finanční nástroje kazuisticky.</w:t>
      </w:r>
      <w:r w:rsidR="000E576C">
        <w:rPr>
          <w:rFonts w:ascii="Calibri" w:eastAsia="Calibri" w:hAnsi="Calibri" w:cs="Calibri"/>
          <w:sz w:val="24"/>
        </w:rPr>
        <w:t xml:space="preserve"> Zároveň je potřeba reflektovat případnou potřebu úpravu související legislativy.</w:t>
      </w:r>
    </w:p>
    <w:p w14:paraId="65501E80" w14:textId="77777777" w:rsidR="00750D3A" w:rsidRDefault="00750D3A">
      <w:pPr>
        <w:rPr>
          <w:rFonts w:ascii="Calibri" w:eastAsia="Calibri" w:hAnsi="Calibri" w:cs="Calibri"/>
          <w:sz w:val="24"/>
        </w:rPr>
      </w:pPr>
      <w:r>
        <w:rPr>
          <w:rFonts w:ascii="Calibri" w:eastAsia="Calibri" w:hAnsi="Calibri" w:cs="Calibri"/>
          <w:sz w:val="24"/>
        </w:rPr>
        <w:br w:type="page"/>
      </w:r>
    </w:p>
    <w:p w14:paraId="23F50AAE" w14:textId="25C9B88F" w:rsidR="00E92808" w:rsidRDefault="00E92808" w:rsidP="00D957F4">
      <w:pPr>
        <w:spacing w:line="276" w:lineRule="auto"/>
        <w:jc w:val="both"/>
        <w:rPr>
          <w:rFonts w:ascii="Calibri" w:eastAsia="Calibri" w:hAnsi="Calibri" w:cs="Calibri"/>
          <w:sz w:val="24"/>
        </w:rPr>
      </w:pPr>
      <w:r>
        <w:rPr>
          <w:rFonts w:ascii="Calibri" w:eastAsia="Calibri" w:hAnsi="Calibri" w:cs="Calibri"/>
          <w:sz w:val="24"/>
        </w:rPr>
        <w:lastRenderedPageBreak/>
        <w:t xml:space="preserve">V rámci činnosti PSDO 2022 proběhlo mapování nástrojů </w:t>
      </w:r>
      <w:r w:rsidR="00750D3A">
        <w:rPr>
          <w:rFonts w:ascii="Calibri" w:eastAsia="Calibri" w:hAnsi="Calibri" w:cs="Calibri"/>
          <w:sz w:val="24"/>
        </w:rPr>
        <w:t>podpory ve vybraných zemích, které budou sloužit jako podklad pro další identifikaci nástrojů vhodných pro uplatnění v ČR.</w:t>
      </w:r>
      <w:r w:rsidR="000E576C">
        <w:rPr>
          <w:rFonts w:ascii="Calibri" w:eastAsia="Calibri" w:hAnsi="Calibri" w:cs="Calibri"/>
          <w:sz w:val="24"/>
        </w:rPr>
        <w:t xml:space="preserve"> Při inspiraci ze zahraničních zemí je zapotřebí reflektovat odlišnosti české legislativy.</w:t>
      </w:r>
    </w:p>
    <w:p w14:paraId="1BA068DD" w14:textId="56B26219" w:rsidR="00E92808" w:rsidRPr="00E92808" w:rsidRDefault="00E92808" w:rsidP="00E92808">
      <w:pPr>
        <w:spacing w:line="276" w:lineRule="auto"/>
        <w:rPr>
          <w:rFonts w:ascii="Calibri" w:eastAsia="Calibri" w:hAnsi="Calibri" w:cs="Calibri"/>
          <w:b/>
          <w:sz w:val="24"/>
        </w:rPr>
      </w:pPr>
      <w:r w:rsidRPr="00E92808">
        <w:rPr>
          <w:rFonts w:ascii="Calibri" w:eastAsia="Calibri" w:hAnsi="Calibri" w:cs="Calibri"/>
          <w:b/>
          <w:sz w:val="24"/>
        </w:rPr>
        <w:t>Tabulka: Přehled využívaných nástrojů podpor</w:t>
      </w:r>
      <w:r w:rsidR="00750D3A">
        <w:rPr>
          <w:rFonts w:ascii="Calibri" w:eastAsia="Calibri" w:hAnsi="Calibri" w:cs="Calibri"/>
          <w:b/>
          <w:sz w:val="24"/>
        </w:rPr>
        <w:t>y</w:t>
      </w:r>
      <w:r w:rsidRPr="00E92808">
        <w:rPr>
          <w:rFonts w:ascii="Calibri" w:eastAsia="Calibri" w:hAnsi="Calibri" w:cs="Calibri"/>
          <w:b/>
          <w:sz w:val="24"/>
        </w:rPr>
        <w:t xml:space="preserve"> ve vybraných zemích</w:t>
      </w:r>
    </w:p>
    <w:tbl>
      <w:tblPr>
        <w:tblStyle w:val="Mkatabulky"/>
        <w:tblW w:w="0" w:type="auto"/>
        <w:tblLook w:val="04A0" w:firstRow="1" w:lastRow="0" w:firstColumn="1" w:lastColumn="0" w:noHBand="0" w:noVBand="1"/>
      </w:tblPr>
      <w:tblGrid>
        <w:gridCol w:w="1142"/>
        <w:gridCol w:w="1843"/>
        <w:gridCol w:w="6365"/>
      </w:tblGrid>
      <w:tr w:rsidR="00E92808" w14:paraId="3DDEEA64" w14:textId="77777777" w:rsidTr="00EA373E">
        <w:trPr>
          <w:trHeight w:val="416"/>
        </w:trPr>
        <w:tc>
          <w:tcPr>
            <w:tcW w:w="1142" w:type="dxa"/>
          </w:tcPr>
          <w:p w14:paraId="7456C4D7" w14:textId="77777777" w:rsidR="00E92808" w:rsidRPr="0012028C" w:rsidRDefault="00E92808" w:rsidP="00EA373E">
            <w:pPr>
              <w:rPr>
                <w:b/>
                <w:bCs/>
              </w:rPr>
            </w:pPr>
            <w:r w:rsidRPr="0012028C">
              <w:rPr>
                <w:b/>
                <w:bCs/>
              </w:rPr>
              <w:t xml:space="preserve">Země </w:t>
            </w:r>
          </w:p>
        </w:tc>
        <w:tc>
          <w:tcPr>
            <w:tcW w:w="1843" w:type="dxa"/>
          </w:tcPr>
          <w:p w14:paraId="3FCA60EB" w14:textId="77777777" w:rsidR="00E92808" w:rsidRPr="0012028C" w:rsidRDefault="00E92808" w:rsidP="00EA373E">
            <w:pPr>
              <w:rPr>
                <w:b/>
                <w:bCs/>
              </w:rPr>
            </w:pPr>
            <w:r w:rsidRPr="0012028C">
              <w:rPr>
                <w:b/>
                <w:bCs/>
              </w:rPr>
              <w:t xml:space="preserve">Název nástroje </w:t>
            </w:r>
          </w:p>
        </w:tc>
        <w:tc>
          <w:tcPr>
            <w:tcW w:w="6365" w:type="dxa"/>
          </w:tcPr>
          <w:p w14:paraId="51F4F81A" w14:textId="77777777" w:rsidR="00E92808" w:rsidRPr="0012028C" w:rsidRDefault="00E92808" w:rsidP="00EA373E">
            <w:pPr>
              <w:rPr>
                <w:b/>
                <w:bCs/>
              </w:rPr>
            </w:pPr>
            <w:r w:rsidRPr="0012028C">
              <w:rPr>
                <w:b/>
                <w:bCs/>
              </w:rPr>
              <w:t xml:space="preserve">Popis </w:t>
            </w:r>
          </w:p>
        </w:tc>
      </w:tr>
      <w:tr w:rsidR="00EA16A6" w14:paraId="4BB6F764" w14:textId="77777777" w:rsidTr="00EA373E">
        <w:tc>
          <w:tcPr>
            <w:tcW w:w="1142" w:type="dxa"/>
            <w:vMerge w:val="restart"/>
          </w:tcPr>
          <w:p w14:paraId="2BD2DC37" w14:textId="77777777" w:rsidR="00EA16A6" w:rsidRPr="00353E7B" w:rsidRDefault="00EA16A6" w:rsidP="00EA373E">
            <w:pPr>
              <w:rPr>
                <w:b/>
                <w:bCs/>
              </w:rPr>
            </w:pPr>
            <w:r w:rsidRPr="00353E7B">
              <w:rPr>
                <w:b/>
                <w:bCs/>
              </w:rPr>
              <w:t xml:space="preserve">Německo </w:t>
            </w:r>
          </w:p>
        </w:tc>
        <w:tc>
          <w:tcPr>
            <w:tcW w:w="1843" w:type="dxa"/>
          </w:tcPr>
          <w:p w14:paraId="5356F44F" w14:textId="77777777" w:rsidR="00EA16A6" w:rsidRDefault="00EA16A6" w:rsidP="00EA373E">
            <w:r>
              <w:t>ERP Speciální fond (Federální ministerstvo hospodářství)</w:t>
            </w:r>
          </w:p>
        </w:tc>
        <w:tc>
          <w:tcPr>
            <w:tcW w:w="6365" w:type="dxa"/>
          </w:tcPr>
          <w:p w14:paraId="49E75BBB" w14:textId="77777777" w:rsidR="00EA16A6" w:rsidRDefault="00EA16A6" w:rsidP="00EA373E">
            <w:pPr>
              <w:jc w:val="both"/>
            </w:pPr>
            <w:r w:rsidRPr="008554BF">
              <w:rPr>
                <w:b/>
                <w:bCs/>
              </w:rPr>
              <w:t xml:space="preserve">ERP </w:t>
            </w:r>
            <w:r>
              <w:rPr>
                <w:b/>
                <w:bCs/>
              </w:rPr>
              <w:t>S</w:t>
            </w:r>
            <w:r w:rsidRPr="008554BF">
              <w:rPr>
                <w:b/>
                <w:bCs/>
              </w:rPr>
              <w:t xml:space="preserve">tart-up </w:t>
            </w:r>
            <w:proofErr w:type="spellStart"/>
            <w:r>
              <w:rPr>
                <w:b/>
                <w:bCs/>
              </w:rPr>
              <w:t>money</w:t>
            </w:r>
            <w:proofErr w:type="spellEnd"/>
            <w:r>
              <w:rPr>
                <w:b/>
                <w:bCs/>
              </w:rPr>
              <w:t xml:space="preserve"> </w:t>
            </w:r>
            <w:r w:rsidRPr="008554BF">
              <w:rPr>
                <w:b/>
                <w:bCs/>
              </w:rPr>
              <w:t>program</w:t>
            </w:r>
            <w:r>
              <w:t xml:space="preserve"> - nízko úročené půjčky ve výši 100.000 EUR pro začínající společnosti s 3-5 letou historií. </w:t>
            </w:r>
            <w:r w:rsidRPr="00F705D2">
              <w:rPr>
                <w:b/>
                <w:bCs/>
              </w:rPr>
              <w:t>ERP Start-up program Universal</w:t>
            </w:r>
            <w:r>
              <w:t xml:space="preserve"> nabízí půjčky ve výši až 25 mil. EUR pro velké start-</w:t>
            </w:r>
            <w:proofErr w:type="spellStart"/>
            <w:r>
              <w:t>upy</w:t>
            </w:r>
            <w:proofErr w:type="spellEnd"/>
            <w:r>
              <w:t xml:space="preserve">. </w:t>
            </w:r>
            <w:r w:rsidRPr="00C63387">
              <w:rPr>
                <w:b/>
                <w:bCs/>
              </w:rPr>
              <w:t>ERP kapitálového programu</w:t>
            </w:r>
            <w:r>
              <w:rPr>
                <w:b/>
                <w:bCs/>
              </w:rPr>
              <w:t xml:space="preserve"> </w:t>
            </w:r>
            <w:r w:rsidRPr="0012028C">
              <w:t>nabízí</w:t>
            </w:r>
            <w:r>
              <w:t xml:space="preserve"> půjčky ve formě úročeného kapitálu.</w:t>
            </w:r>
          </w:p>
        </w:tc>
      </w:tr>
      <w:tr w:rsidR="00EA16A6" w14:paraId="50BFA7C8" w14:textId="77777777" w:rsidTr="00EA373E">
        <w:tc>
          <w:tcPr>
            <w:tcW w:w="1142" w:type="dxa"/>
            <w:vMerge/>
          </w:tcPr>
          <w:p w14:paraId="453D84BB" w14:textId="77777777" w:rsidR="00EA16A6" w:rsidRDefault="00EA16A6" w:rsidP="00EA373E"/>
        </w:tc>
        <w:tc>
          <w:tcPr>
            <w:tcW w:w="1843" w:type="dxa"/>
          </w:tcPr>
          <w:p w14:paraId="6419C5C2" w14:textId="77777777" w:rsidR="00EA16A6" w:rsidRDefault="00EA16A6" w:rsidP="00EA373E">
            <w:r>
              <w:t xml:space="preserve">Program Kapitál (Německá rozvojová banka - </w:t>
            </w:r>
            <w:proofErr w:type="spellStart"/>
            <w:r>
              <w:t>KfW</w:t>
            </w:r>
            <w:proofErr w:type="spellEnd"/>
            <w:r>
              <w:t xml:space="preserve">) </w:t>
            </w:r>
          </w:p>
        </w:tc>
        <w:tc>
          <w:tcPr>
            <w:tcW w:w="6365" w:type="dxa"/>
          </w:tcPr>
          <w:p w14:paraId="4BC49CC9" w14:textId="77777777" w:rsidR="00EA16A6" w:rsidRDefault="00EA16A6" w:rsidP="00EA373E">
            <w:pPr>
              <w:jc w:val="both"/>
            </w:pPr>
            <w:r>
              <w:t>Program zaměřený na podporu začínajících, inovativních start-</w:t>
            </w:r>
            <w:proofErr w:type="spellStart"/>
            <w:r>
              <w:t>upů</w:t>
            </w:r>
            <w:proofErr w:type="spellEnd"/>
            <w:r>
              <w:t xml:space="preserve">, které tak </w:t>
            </w:r>
            <w:proofErr w:type="gramStart"/>
            <w:r>
              <w:t>mají přistup</w:t>
            </w:r>
            <w:proofErr w:type="gramEnd"/>
            <w:r>
              <w:t xml:space="preserve"> k rizikovému kapitálu prostřednictvím fondu s vysokou kapitalizací. </w:t>
            </w:r>
            <w:r w:rsidRPr="00353E7B">
              <w:rPr>
                <w:b/>
                <w:bCs/>
              </w:rPr>
              <w:t>Do start-</w:t>
            </w:r>
            <w:proofErr w:type="spellStart"/>
            <w:r w:rsidRPr="00353E7B">
              <w:rPr>
                <w:b/>
                <w:bCs/>
              </w:rPr>
              <w:t>upů</w:t>
            </w:r>
            <w:proofErr w:type="spellEnd"/>
            <w:r w:rsidRPr="00353E7B">
              <w:rPr>
                <w:b/>
                <w:bCs/>
              </w:rPr>
              <w:t xml:space="preserve"> se neinvestuje přímo, ale prostřednictvím soukromých fondů rizikového kapitálu.</w:t>
            </w:r>
            <w:r>
              <w:t xml:space="preserve"> </w:t>
            </w:r>
          </w:p>
        </w:tc>
      </w:tr>
      <w:tr w:rsidR="00EA16A6" w14:paraId="541F39B2" w14:textId="77777777" w:rsidTr="00EA373E">
        <w:tc>
          <w:tcPr>
            <w:tcW w:w="1142" w:type="dxa"/>
            <w:vMerge/>
          </w:tcPr>
          <w:p w14:paraId="6394788C" w14:textId="77777777" w:rsidR="00EA16A6" w:rsidRDefault="00EA16A6" w:rsidP="00EA373E"/>
        </w:tc>
        <w:tc>
          <w:tcPr>
            <w:tcW w:w="1843" w:type="dxa"/>
          </w:tcPr>
          <w:p w14:paraId="51E18B58" w14:textId="77777777" w:rsidR="00EA16A6" w:rsidRDefault="00EA16A6" w:rsidP="00EA373E">
            <w:r>
              <w:t xml:space="preserve">Invest – Dotační program pro rizikový kapitál  </w:t>
            </w:r>
          </w:p>
        </w:tc>
        <w:tc>
          <w:tcPr>
            <w:tcW w:w="6365" w:type="dxa"/>
          </w:tcPr>
          <w:p w14:paraId="54AB8BCE" w14:textId="77777777" w:rsidR="00EA16A6" w:rsidRDefault="00EA16A6" w:rsidP="00EA373E">
            <w:r w:rsidRPr="00312246">
              <w:t xml:space="preserve">Andělští investoři </w:t>
            </w:r>
            <w:r>
              <w:t xml:space="preserve">(Business </w:t>
            </w:r>
            <w:proofErr w:type="spellStart"/>
            <w:r>
              <w:t>angels</w:t>
            </w:r>
            <w:proofErr w:type="spellEnd"/>
            <w:r>
              <w:t>) obdrží 20 % investice zpět daňovou vratkou, pokud investují alespoň 10.000 EUR.</w:t>
            </w:r>
          </w:p>
        </w:tc>
      </w:tr>
      <w:tr w:rsidR="00EA16A6" w14:paraId="12877A83" w14:textId="77777777" w:rsidTr="00EA373E">
        <w:tc>
          <w:tcPr>
            <w:tcW w:w="1142" w:type="dxa"/>
            <w:vMerge/>
          </w:tcPr>
          <w:p w14:paraId="4CF55607" w14:textId="77777777" w:rsidR="00EA16A6" w:rsidRDefault="00EA16A6" w:rsidP="00EA373E"/>
        </w:tc>
        <w:tc>
          <w:tcPr>
            <w:tcW w:w="1843" w:type="dxa"/>
          </w:tcPr>
          <w:p w14:paraId="7AF227C0" w14:textId="77777777" w:rsidR="00EA16A6" w:rsidRDefault="00EA16A6" w:rsidP="00EA373E">
            <w:r>
              <w:t xml:space="preserve">Program Záruka </w:t>
            </w:r>
          </w:p>
        </w:tc>
        <w:tc>
          <w:tcPr>
            <w:tcW w:w="6365" w:type="dxa"/>
          </w:tcPr>
          <w:p w14:paraId="36EBEF74" w14:textId="77777777" w:rsidR="00EA16A6" w:rsidRDefault="00EA16A6" w:rsidP="00EA373E">
            <w:pPr>
              <w:jc w:val="both"/>
            </w:pPr>
            <w:r>
              <w:t xml:space="preserve">Jedná se o program záruk federální vlády, vlád spolkových zemí, popř. záručních bank podpořených federální vládou za úvěry poskytnuté začínajícím podnikům. </w:t>
            </w:r>
          </w:p>
          <w:p w14:paraId="144E14FA" w14:textId="77777777" w:rsidR="00EA16A6" w:rsidRDefault="00EA16A6" w:rsidP="00EA373E"/>
        </w:tc>
      </w:tr>
      <w:tr w:rsidR="00EA16A6" w14:paraId="062F0FE5" w14:textId="77777777" w:rsidTr="00EA373E">
        <w:tc>
          <w:tcPr>
            <w:tcW w:w="1142" w:type="dxa"/>
            <w:vMerge w:val="restart"/>
          </w:tcPr>
          <w:p w14:paraId="7273B633" w14:textId="77777777" w:rsidR="00EA16A6" w:rsidRPr="003A7F3A" w:rsidRDefault="00EA16A6" w:rsidP="00EA373E">
            <w:pPr>
              <w:rPr>
                <w:b/>
                <w:bCs/>
              </w:rPr>
            </w:pPr>
            <w:r w:rsidRPr="003A7F3A">
              <w:rPr>
                <w:b/>
                <w:bCs/>
              </w:rPr>
              <w:t xml:space="preserve">Velká Británie </w:t>
            </w:r>
          </w:p>
        </w:tc>
        <w:tc>
          <w:tcPr>
            <w:tcW w:w="1843" w:type="dxa"/>
          </w:tcPr>
          <w:p w14:paraId="5C21AEB9" w14:textId="77777777" w:rsidR="00EA16A6" w:rsidRDefault="00EA16A6" w:rsidP="00EA373E">
            <w:r>
              <w:t xml:space="preserve">Program Start-up půjčka (Britská obchodní banka) </w:t>
            </w:r>
          </w:p>
        </w:tc>
        <w:tc>
          <w:tcPr>
            <w:tcW w:w="6365" w:type="dxa"/>
          </w:tcPr>
          <w:p w14:paraId="1338D423" w14:textId="77777777" w:rsidR="00EA16A6" w:rsidRDefault="00EA16A6" w:rsidP="00EA373E">
            <w:pPr>
              <w:jc w:val="both"/>
            </w:pPr>
            <w:r>
              <w:t>Je zaměřený na společnosti s kratší než 2letou historií. Jsou poskytovány půjčky do výše 25.000 liber, se splatností až 5 let a s 6% úrokovou sazbou.</w:t>
            </w:r>
          </w:p>
        </w:tc>
      </w:tr>
      <w:tr w:rsidR="00EA16A6" w14:paraId="5AF38147" w14:textId="77777777" w:rsidTr="00EA373E">
        <w:tc>
          <w:tcPr>
            <w:tcW w:w="1142" w:type="dxa"/>
            <w:vMerge/>
          </w:tcPr>
          <w:p w14:paraId="56817B1D" w14:textId="77777777" w:rsidR="00EA16A6" w:rsidRDefault="00EA16A6" w:rsidP="00EA373E"/>
        </w:tc>
        <w:tc>
          <w:tcPr>
            <w:tcW w:w="1843" w:type="dxa"/>
          </w:tcPr>
          <w:p w14:paraId="405CE6D8" w14:textId="77777777" w:rsidR="00EA16A6" w:rsidRDefault="00EA16A6" w:rsidP="00EA373E">
            <w:proofErr w:type="spellStart"/>
            <w:r>
              <w:t>Future</w:t>
            </w:r>
            <w:proofErr w:type="spellEnd"/>
            <w:r>
              <w:t xml:space="preserve"> </w:t>
            </w:r>
            <w:proofErr w:type="spellStart"/>
            <w:r>
              <w:t>fund</w:t>
            </w:r>
            <w:proofErr w:type="spellEnd"/>
            <w:r>
              <w:t xml:space="preserve"> (Britská obchodní banka)</w:t>
            </w:r>
          </w:p>
        </w:tc>
        <w:tc>
          <w:tcPr>
            <w:tcW w:w="6365" w:type="dxa"/>
          </w:tcPr>
          <w:p w14:paraId="4710C81B" w14:textId="77777777" w:rsidR="00EA16A6" w:rsidRDefault="00EA16A6" w:rsidP="00EA373E">
            <w:pPr>
              <w:jc w:val="both"/>
            </w:pPr>
            <w:r>
              <w:t>Původně nástrojem na pomoc podnikům postižených ekonomickými těžkostmi způsobenými epidemií nemoci COVID-19. Následně rozšířen jako nástroj pro financování start-</w:t>
            </w:r>
            <w:proofErr w:type="spellStart"/>
            <w:r>
              <w:t>upů</w:t>
            </w:r>
            <w:proofErr w:type="spellEnd"/>
            <w:r>
              <w:t xml:space="preserve">. </w:t>
            </w:r>
            <w:r w:rsidRPr="005E2BCD">
              <w:rPr>
                <w:b/>
                <w:bCs/>
              </w:rPr>
              <w:t>Poskytuje konvertibilní půjčky v rozsahu 125.000 – 5 mil. liber</w:t>
            </w:r>
            <w:r>
              <w:t xml:space="preserve">, které musí být doprovozeny alespoň stejně velkou částkou soukromých investorů. </w:t>
            </w:r>
          </w:p>
          <w:p w14:paraId="69D99344" w14:textId="77777777" w:rsidR="00EA16A6" w:rsidRDefault="00EA16A6" w:rsidP="00EA373E"/>
        </w:tc>
      </w:tr>
      <w:tr w:rsidR="00EA16A6" w14:paraId="337B090B" w14:textId="77777777" w:rsidTr="00EA373E">
        <w:tc>
          <w:tcPr>
            <w:tcW w:w="1142" w:type="dxa"/>
            <w:vMerge/>
          </w:tcPr>
          <w:p w14:paraId="4AB35802" w14:textId="77777777" w:rsidR="00EA16A6" w:rsidRDefault="00EA16A6" w:rsidP="00EA373E"/>
        </w:tc>
        <w:tc>
          <w:tcPr>
            <w:tcW w:w="1843" w:type="dxa"/>
          </w:tcPr>
          <w:p w14:paraId="5D442F0C" w14:textId="77777777" w:rsidR="00EA16A6" w:rsidRDefault="00EA16A6" w:rsidP="00EA373E">
            <w:r>
              <w:t xml:space="preserve">Angel </w:t>
            </w:r>
            <w:proofErr w:type="spellStart"/>
            <w:r>
              <w:t>CoFund</w:t>
            </w:r>
            <w:proofErr w:type="spellEnd"/>
            <w:r>
              <w:t xml:space="preserve"> (Britská obchodní banka)</w:t>
            </w:r>
          </w:p>
        </w:tc>
        <w:tc>
          <w:tcPr>
            <w:tcW w:w="6365" w:type="dxa"/>
          </w:tcPr>
          <w:p w14:paraId="1BCDD5E6" w14:textId="77777777" w:rsidR="00EA16A6" w:rsidRDefault="00EA16A6" w:rsidP="00EA373E">
            <w:pPr>
              <w:jc w:val="both"/>
            </w:pPr>
            <w:r>
              <w:t xml:space="preserve">Realizuje kapitálové investice ve výši 100.000 – 1 mil. liber do malých podniků. Angel </w:t>
            </w:r>
            <w:proofErr w:type="spellStart"/>
            <w:r>
              <w:t>CoFund</w:t>
            </w:r>
            <w:proofErr w:type="spellEnd"/>
            <w:r>
              <w:t xml:space="preserve"> doplňuje svou činností investice andělských investorů, přičemž maximální výše investice je 49 %. </w:t>
            </w:r>
          </w:p>
          <w:p w14:paraId="429399AB" w14:textId="77777777" w:rsidR="00EA16A6" w:rsidRDefault="00EA16A6" w:rsidP="00EA373E"/>
        </w:tc>
      </w:tr>
      <w:tr w:rsidR="00EA16A6" w14:paraId="2EEAD124" w14:textId="77777777" w:rsidTr="00EA373E">
        <w:tc>
          <w:tcPr>
            <w:tcW w:w="1142" w:type="dxa"/>
            <w:vMerge/>
          </w:tcPr>
          <w:p w14:paraId="1216AF42" w14:textId="77777777" w:rsidR="00EA16A6" w:rsidRDefault="00EA16A6" w:rsidP="00EA373E"/>
        </w:tc>
        <w:tc>
          <w:tcPr>
            <w:tcW w:w="1843" w:type="dxa"/>
          </w:tcPr>
          <w:p w14:paraId="0B4E3CAA" w14:textId="77777777" w:rsidR="00EA16A6" w:rsidRDefault="00EA16A6" w:rsidP="00EA373E">
            <w:r>
              <w:t>ENABLE program (Britská obchodní banka)</w:t>
            </w:r>
          </w:p>
        </w:tc>
        <w:tc>
          <w:tcPr>
            <w:tcW w:w="6365" w:type="dxa"/>
          </w:tcPr>
          <w:p w14:paraId="5379F663" w14:textId="77777777" w:rsidR="00EA16A6" w:rsidRPr="001D5A6E" w:rsidRDefault="00EA16A6" w:rsidP="00EA373E">
            <w:pPr>
              <w:jc w:val="both"/>
            </w:pPr>
            <w:r>
              <w:t xml:space="preserve">program podporuje </w:t>
            </w:r>
            <w:r w:rsidRPr="005E2BCD">
              <w:rPr>
                <w:b/>
                <w:bCs/>
              </w:rPr>
              <w:t>dodatečné půjčky malým podnikům</w:t>
            </w:r>
            <w:r>
              <w:t xml:space="preserve">. Spolupracující instituce jsou motivovány vládou podporovanou portfoliovou zárukou, aby pokryly úvěrová rizika související s půjčkami do začínajících společností. </w:t>
            </w:r>
          </w:p>
          <w:p w14:paraId="08EE0963" w14:textId="77777777" w:rsidR="00EA16A6" w:rsidRDefault="00EA16A6" w:rsidP="00EA373E"/>
        </w:tc>
      </w:tr>
      <w:tr w:rsidR="00E92808" w14:paraId="6E3F4476" w14:textId="77777777" w:rsidTr="00EA373E">
        <w:tc>
          <w:tcPr>
            <w:tcW w:w="1142" w:type="dxa"/>
          </w:tcPr>
          <w:p w14:paraId="01661212" w14:textId="77777777" w:rsidR="00E92808" w:rsidRPr="005E2BCD" w:rsidRDefault="00E92808" w:rsidP="00EA373E">
            <w:pPr>
              <w:rPr>
                <w:b/>
                <w:bCs/>
              </w:rPr>
            </w:pPr>
            <w:r w:rsidRPr="005E2BCD">
              <w:rPr>
                <w:b/>
                <w:bCs/>
              </w:rPr>
              <w:t xml:space="preserve">Irsko </w:t>
            </w:r>
          </w:p>
        </w:tc>
        <w:tc>
          <w:tcPr>
            <w:tcW w:w="1843" w:type="dxa"/>
          </w:tcPr>
          <w:p w14:paraId="43CFF4A9" w14:textId="77777777" w:rsidR="00E92808" w:rsidRDefault="00E92808" w:rsidP="00EA373E">
            <w:proofErr w:type="spellStart"/>
            <w:r>
              <w:t>Irish</w:t>
            </w:r>
            <w:proofErr w:type="spellEnd"/>
            <w:r>
              <w:t xml:space="preserve"> </w:t>
            </w:r>
            <w:proofErr w:type="spellStart"/>
            <w:r>
              <w:t>Innovation</w:t>
            </w:r>
            <w:proofErr w:type="spellEnd"/>
            <w:r>
              <w:t xml:space="preserve"> </w:t>
            </w:r>
            <w:proofErr w:type="spellStart"/>
            <w:r>
              <w:t>seed</w:t>
            </w:r>
            <w:proofErr w:type="spellEnd"/>
            <w:r>
              <w:t xml:space="preserve"> </w:t>
            </w:r>
            <w:proofErr w:type="spellStart"/>
            <w:r>
              <w:t>fund</w:t>
            </w:r>
            <w:proofErr w:type="spellEnd"/>
            <w:r>
              <w:t xml:space="preserve"> (</w:t>
            </w:r>
            <w:proofErr w:type="spellStart"/>
            <w:r>
              <w:t>Enterprise</w:t>
            </w:r>
            <w:proofErr w:type="spellEnd"/>
            <w:r>
              <w:t xml:space="preserve"> </w:t>
            </w:r>
            <w:proofErr w:type="spellStart"/>
            <w:r>
              <w:t>Ireland</w:t>
            </w:r>
            <w:proofErr w:type="spellEnd"/>
            <w:r>
              <w:t>)</w:t>
            </w:r>
          </w:p>
        </w:tc>
        <w:tc>
          <w:tcPr>
            <w:tcW w:w="6365" w:type="dxa"/>
          </w:tcPr>
          <w:p w14:paraId="1BE9D31C" w14:textId="4ADC88DD" w:rsidR="00E92808" w:rsidRDefault="00E92808" w:rsidP="00EA373E">
            <w:pPr>
              <w:jc w:val="both"/>
            </w:pPr>
            <w:r>
              <w:t xml:space="preserve">Evropský investiční fond a státní agentura </w:t>
            </w:r>
            <w:proofErr w:type="spellStart"/>
            <w:r>
              <w:t>Enterprise</w:t>
            </w:r>
            <w:proofErr w:type="spellEnd"/>
            <w:r>
              <w:t xml:space="preserve"> </w:t>
            </w:r>
            <w:proofErr w:type="spellStart"/>
            <w:r>
              <w:t>Ireland</w:t>
            </w:r>
            <w:proofErr w:type="spellEnd"/>
            <w:r>
              <w:t xml:space="preserve"> vytvořili 11. 2. 2022 společný fond ve výši 60 mil. EUR za účelem podpory začínajících podniků s vysokým potenciálem růstu. Program spravuje Irský fond strategických investic (IFSI), který spolupracuje s komerčními fondy rizikového kapitálu zaměřené na </w:t>
            </w:r>
            <w:proofErr w:type="spellStart"/>
            <w:r>
              <w:t>pre-seed</w:t>
            </w:r>
            <w:proofErr w:type="spellEnd"/>
            <w:r>
              <w:t xml:space="preserve"> a </w:t>
            </w:r>
            <w:proofErr w:type="spellStart"/>
            <w:r>
              <w:t>seed</w:t>
            </w:r>
            <w:proofErr w:type="spellEnd"/>
            <w:r>
              <w:t xml:space="preserve"> investici do začínajících podniků. Výše investice IFSI je většinou nižší než 50 %.</w:t>
            </w:r>
          </w:p>
          <w:p w14:paraId="097B7329" w14:textId="77777777" w:rsidR="00C00277" w:rsidRDefault="00C00277" w:rsidP="00EA373E">
            <w:pPr>
              <w:jc w:val="both"/>
            </w:pPr>
          </w:p>
          <w:p w14:paraId="7454A4B2" w14:textId="77777777" w:rsidR="00E92808" w:rsidRDefault="00E92808" w:rsidP="00EA373E"/>
        </w:tc>
      </w:tr>
      <w:tr w:rsidR="00E92808" w14:paraId="1F8CB1C0" w14:textId="77777777" w:rsidTr="00EA373E">
        <w:tc>
          <w:tcPr>
            <w:tcW w:w="1142" w:type="dxa"/>
          </w:tcPr>
          <w:p w14:paraId="0C325031" w14:textId="77777777" w:rsidR="00E92808" w:rsidRPr="005E2BCD" w:rsidRDefault="00E92808" w:rsidP="00EA373E">
            <w:pPr>
              <w:rPr>
                <w:b/>
                <w:bCs/>
              </w:rPr>
            </w:pPr>
            <w:proofErr w:type="spellStart"/>
            <w:r>
              <w:rPr>
                <w:b/>
                <w:bCs/>
              </w:rPr>
              <w:lastRenderedPageBreak/>
              <w:t>Israel</w:t>
            </w:r>
            <w:proofErr w:type="spellEnd"/>
            <w:r>
              <w:rPr>
                <w:b/>
                <w:bCs/>
              </w:rPr>
              <w:t xml:space="preserve"> </w:t>
            </w:r>
          </w:p>
        </w:tc>
        <w:tc>
          <w:tcPr>
            <w:tcW w:w="1843" w:type="dxa"/>
          </w:tcPr>
          <w:p w14:paraId="013B1BE1" w14:textId="77777777" w:rsidR="00E92808" w:rsidRDefault="00E92808" w:rsidP="00EA373E">
            <w:r>
              <w:t xml:space="preserve">Early </w:t>
            </w:r>
            <w:proofErr w:type="spellStart"/>
            <w:r>
              <w:t>Stage</w:t>
            </w:r>
            <w:proofErr w:type="spellEnd"/>
            <w:r>
              <w:t xml:space="preserve"> </w:t>
            </w:r>
            <w:proofErr w:type="spellStart"/>
            <w:r>
              <w:t>Incentive</w:t>
            </w:r>
            <w:proofErr w:type="spellEnd"/>
            <w:r>
              <w:t xml:space="preserve"> Program (</w:t>
            </w:r>
            <w:proofErr w:type="spellStart"/>
            <w:r>
              <w:t>Israel</w:t>
            </w:r>
            <w:proofErr w:type="spellEnd"/>
            <w:r>
              <w:t xml:space="preserve"> </w:t>
            </w:r>
            <w:proofErr w:type="spellStart"/>
            <w:r>
              <w:t>Innovation</w:t>
            </w:r>
            <w:proofErr w:type="spellEnd"/>
            <w:r>
              <w:t xml:space="preserve"> </w:t>
            </w:r>
            <w:proofErr w:type="spellStart"/>
            <w:r>
              <w:t>Authority</w:t>
            </w:r>
            <w:proofErr w:type="spellEnd"/>
            <w:r>
              <w:t>)</w:t>
            </w:r>
          </w:p>
        </w:tc>
        <w:tc>
          <w:tcPr>
            <w:tcW w:w="6365" w:type="dxa"/>
          </w:tcPr>
          <w:p w14:paraId="53A9436E" w14:textId="77777777" w:rsidR="00E92808" w:rsidRDefault="00E92808" w:rsidP="00EA373E">
            <w:pPr>
              <w:jc w:val="both"/>
            </w:pPr>
            <w:r>
              <w:t xml:space="preserve">Program je zaměřeny na podporu soukromých investic do podniků v rané fázi vývoje. </w:t>
            </w:r>
            <w:r w:rsidRPr="00EE0157">
              <w:rPr>
                <w:b/>
                <w:bCs/>
              </w:rPr>
              <w:t xml:space="preserve">Dotace ve výši 30 – 50 % schváleného rozpočtu do max. výše 10 NIS (New </w:t>
            </w:r>
            <w:proofErr w:type="spellStart"/>
            <w:r w:rsidRPr="00EE0157">
              <w:rPr>
                <w:b/>
                <w:bCs/>
              </w:rPr>
              <w:t>Israeli</w:t>
            </w:r>
            <w:proofErr w:type="spellEnd"/>
            <w:r w:rsidRPr="00EE0157">
              <w:rPr>
                <w:b/>
                <w:bCs/>
              </w:rPr>
              <w:t xml:space="preserve"> </w:t>
            </w:r>
            <w:proofErr w:type="spellStart"/>
            <w:r w:rsidRPr="00EE0157">
              <w:rPr>
                <w:b/>
                <w:bCs/>
              </w:rPr>
              <w:t>Shekel</w:t>
            </w:r>
            <w:proofErr w:type="spellEnd"/>
            <w:r w:rsidRPr="00EE0157">
              <w:rPr>
                <w:b/>
                <w:bCs/>
              </w:rPr>
              <w:t>) ročně</w:t>
            </w:r>
            <w:r>
              <w:t xml:space="preserve">. Dotace se vrací formou licenčních poplatku v momentě, kdy je výrobek, nebo služba uvedena na trh. Poskytovateli tak nevzniká tak majetkový podíl v podniku. </w:t>
            </w:r>
          </w:p>
        </w:tc>
      </w:tr>
      <w:tr w:rsidR="00EA16A6" w14:paraId="61E75270" w14:textId="77777777" w:rsidTr="00EA373E">
        <w:tc>
          <w:tcPr>
            <w:tcW w:w="1142" w:type="dxa"/>
            <w:vMerge w:val="restart"/>
          </w:tcPr>
          <w:p w14:paraId="738BC912" w14:textId="77777777" w:rsidR="00EA16A6" w:rsidRDefault="00EA16A6" w:rsidP="00EA373E">
            <w:r w:rsidRPr="00D55AB4">
              <w:rPr>
                <w:b/>
                <w:bCs/>
              </w:rPr>
              <w:t>Nizozemí</w:t>
            </w:r>
          </w:p>
        </w:tc>
        <w:tc>
          <w:tcPr>
            <w:tcW w:w="1843" w:type="dxa"/>
          </w:tcPr>
          <w:p w14:paraId="54ADABD4" w14:textId="77777777" w:rsidR="00EA16A6" w:rsidRDefault="00EA16A6" w:rsidP="00EA373E">
            <w:proofErr w:type="spellStart"/>
            <w:r>
              <w:t>Seed</w:t>
            </w:r>
            <w:proofErr w:type="spellEnd"/>
            <w:r>
              <w:t xml:space="preserve"> </w:t>
            </w:r>
            <w:proofErr w:type="spellStart"/>
            <w:r>
              <w:t>Capital</w:t>
            </w:r>
            <w:proofErr w:type="spellEnd"/>
            <w:r>
              <w:t xml:space="preserve"> </w:t>
            </w:r>
            <w:proofErr w:type="spellStart"/>
            <w:r>
              <w:t>Scheme</w:t>
            </w:r>
            <w:proofErr w:type="spellEnd"/>
            <w:r>
              <w:t xml:space="preserve"> </w:t>
            </w:r>
          </w:p>
        </w:tc>
        <w:tc>
          <w:tcPr>
            <w:tcW w:w="6365" w:type="dxa"/>
          </w:tcPr>
          <w:p w14:paraId="25A5BA43" w14:textId="77777777" w:rsidR="00EA16A6" w:rsidRDefault="00EA16A6" w:rsidP="00EA373E">
            <w:pPr>
              <w:jc w:val="both"/>
            </w:pPr>
            <w:r>
              <w:t>Prostřednictvím schématu vláda poskytuje bezúročné půjčky investičním fondům a to po dobu maximálně 12 let. Prostředky jsou určeny k investicím do technických start-</w:t>
            </w:r>
            <w:proofErr w:type="spellStart"/>
            <w:r>
              <w:t>upů</w:t>
            </w:r>
            <w:proofErr w:type="spellEnd"/>
            <w:r>
              <w:t xml:space="preserve">, které nesmí existovat déle než 7 let. </w:t>
            </w:r>
            <w:r w:rsidRPr="00D55AB4">
              <w:rPr>
                <w:b/>
                <w:bCs/>
              </w:rPr>
              <w:t>Rozsah investice je od 100.000 do 3,5 mil. EUR.</w:t>
            </w:r>
          </w:p>
        </w:tc>
      </w:tr>
      <w:tr w:rsidR="00EA16A6" w14:paraId="01E71840" w14:textId="77777777" w:rsidTr="00EA373E">
        <w:tc>
          <w:tcPr>
            <w:tcW w:w="1142" w:type="dxa"/>
            <w:vMerge/>
          </w:tcPr>
          <w:p w14:paraId="02527213" w14:textId="77777777" w:rsidR="00EA16A6" w:rsidRDefault="00EA16A6" w:rsidP="00EA373E"/>
        </w:tc>
        <w:tc>
          <w:tcPr>
            <w:tcW w:w="1843" w:type="dxa"/>
          </w:tcPr>
          <w:p w14:paraId="2FEEFF25" w14:textId="77777777" w:rsidR="00EA16A6" w:rsidRDefault="00EA16A6" w:rsidP="00EA373E">
            <w:proofErr w:type="spellStart"/>
            <w:r>
              <w:t>Seed</w:t>
            </w:r>
            <w:proofErr w:type="spellEnd"/>
            <w:r>
              <w:t xml:space="preserve"> Business Angel </w:t>
            </w:r>
            <w:proofErr w:type="spellStart"/>
            <w:r>
              <w:t>scheme</w:t>
            </w:r>
            <w:proofErr w:type="spellEnd"/>
          </w:p>
        </w:tc>
        <w:tc>
          <w:tcPr>
            <w:tcW w:w="6365" w:type="dxa"/>
          </w:tcPr>
          <w:p w14:paraId="7EBF09C7" w14:textId="77777777" w:rsidR="00EA16A6" w:rsidRDefault="00EA16A6" w:rsidP="00EA373E">
            <w:pPr>
              <w:jc w:val="both"/>
            </w:pPr>
            <w:r>
              <w:t>Jedná se financování prostřednictvím investice do vlastního kapitálu a návratné půjčky. Fond může investovat 50.000 až 500.000 EUR na start-up.</w:t>
            </w:r>
          </w:p>
        </w:tc>
      </w:tr>
      <w:tr w:rsidR="00EA16A6" w14:paraId="08D9C893" w14:textId="77777777" w:rsidTr="00EA373E">
        <w:tc>
          <w:tcPr>
            <w:tcW w:w="1142" w:type="dxa"/>
            <w:vMerge w:val="restart"/>
          </w:tcPr>
          <w:p w14:paraId="1999F398" w14:textId="77777777" w:rsidR="00EA16A6" w:rsidRPr="007716E7" w:rsidRDefault="00EA16A6" w:rsidP="00EA373E">
            <w:r w:rsidRPr="00130C70">
              <w:rPr>
                <w:b/>
                <w:bCs/>
              </w:rPr>
              <w:t xml:space="preserve">Belgie </w:t>
            </w:r>
            <w:r>
              <w:t>(pouze za region Brusel hl. město)</w:t>
            </w:r>
          </w:p>
        </w:tc>
        <w:tc>
          <w:tcPr>
            <w:tcW w:w="1843" w:type="dxa"/>
          </w:tcPr>
          <w:p w14:paraId="4222C55E" w14:textId="77777777" w:rsidR="00EA16A6" w:rsidRPr="00130C70" w:rsidRDefault="00EA16A6" w:rsidP="00EA373E">
            <w:proofErr w:type="spellStart"/>
            <w:r w:rsidRPr="00130C70">
              <w:t>Finance.Brussels</w:t>
            </w:r>
            <w:proofErr w:type="spellEnd"/>
            <w:r w:rsidRPr="00130C70">
              <w:t xml:space="preserve"> (SRIB)</w:t>
            </w:r>
          </w:p>
        </w:tc>
        <w:tc>
          <w:tcPr>
            <w:tcW w:w="6365" w:type="dxa"/>
          </w:tcPr>
          <w:p w14:paraId="4AFA8C00" w14:textId="77777777" w:rsidR="00EA16A6" w:rsidRDefault="00EA16A6" w:rsidP="00EA373E">
            <w:pPr>
              <w:jc w:val="both"/>
            </w:pPr>
            <w:r>
              <w:t>Podporuje vznik, reorganizaci, expanzi i rozvoj soukromých podniků. Podporu podniků provádí prostřednictvím nákupu podílu, navýšením majetkového podílu, upsáním emise povinného úvěru, nebo vydáním podřízeného úvěru. Výše poskytnutých úvěrů se pohybuje v rozsahu 125.000 – 3 mil. EUR, průměrná výše investice je 500.000 EUR, doba majetkové účasti je 5 – 10 let.</w:t>
            </w:r>
          </w:p>
        </w:tc>
      </w:tr>
      <w:tr w:rsidR="00EA16A6" w14:paraId="39AD967A" w14:textId="77777777" w:rsidTr="00EA373E">
        <w:tc>
          <w:tcPr>
            <w:tcW w:w="1142" w:type="dxa"/>
            <w:vMerge/>
          </w:tcPr>
          <w:p w14:paraId="25F06A73" w14:textId="77777777" w:rsidR="00EA16A6" w:rsidRPr="007716E7" w:rsidRDefault="00EA16A6" w:rsidP="00EA373E"/>
        </w:tc>
        <w:tc>
          <w:tcPr>
            <w:tcW w:w="1843" w:type="dxa"/>
          </w:tcPr>
          <w:p w14:paraId="1330765A" w14:textId="77777777" w:rsidR="00EA16A6" w:rsidRPr="007716E7" w:rsidRDefault="00EA16A6" w:rsidP="00EA373E">
            <w:proofErr w:type="spellStart"/>
            <w:r w:rsidRPr="007716E7">
              <w:t>St´Art</w:t>
            </w:r>
            <w:proofErr w:type="spellEnd"/>
            <w:r w:rsidRPr="007716E7">
              <w:t xml:space="preserve"> </w:t>
            </w:r>
            <w:proofErr w:type="spellStart"/>
            <w:r w:rsidRPr="007716E7">
              <w:t>investment</w:t>
            </w:r>
            <w:proofErr w:type="spellEnd"/>
            <w:r w:rsidRPr="007716E7">
              <w:t xml:space="preserve"> </w:t>
            </w:r>
            <w:proofErr w:type="spellStart"/>
            <w:r w:rsidRPr="007716E7">
              <w:t>fund</w:t>
            </w:r>
            <w:proofErr w:type="spellEnd"/>
          </w:p>
        </w:tc>
        <w:tc>
          <w:tcPr>
            <w:tcW w:w="6365" w:type="dxa"/>
          </w:tcPr>
          <w:p w14:paraId="4539137E" w14:textId="77777777" w:rsidR="00EA16A6" w:rsidRDefault="00EA16A6" w:rsidP="00EA373E">
            <w:r>
              <w:t xml:space="preserve">Zřízený pro investice do společností aktivních v oblasti kultury a kreativního průmyslu, konkrétně módy, digitálního umění, video her, hudby, televize, designu atd. </w:t>
            </w:r>
            <w:r w:rsidRPr="007716E7">
              <w:rPr>
                <w:b/>
                <w:bCs/>
              </w:rPr>
              <w:t>Celková kapitalizace fondu je 16 mil. EUR, poskytuje půjčky, nakupuje majetkové podíly v podnicích.</w:t>
            </w:r>
          </w:p>
        </w:tc>
      </w:tr>
      <w:tr w:rsidR="00EA16A6" w14:paraId="3BDAF23F" w14:textId="77777777" w:rsidTr="00EA373E">
        <w:tc>
          <w:tcPr>
            <w:tcW w:w="1142" w:type="dxa"/>
            <w:vMerge/>
          </w:tcPr>
          <w:p w14:paraId="537287A8" w14:textId="77777777" w:rsidR="00EA16A6" w:rsidRDefault="00EA16A6" w:rsidP="00EA373E"/>
        </w:tc>
        <w:tc>
          <w:tcPr>
            <w:tcW w:w="1843" w:type="dxa"/>
          </w:tcPr>
          <w:p w14:paraId="6BCB20DB" w14:textId="77777777" w:rsidR="00EA16A6" w:rsidRDefault="00EA16A6" w:rsidP="00EA373E">
            <w:proofErr w:type="spellStart"/>
            <w:r>
              <w:t>Brustart</w:t>
            </w:r>
            <w:proofErr w:type="spellEnd"/>
            <w:r>
              <w:t xml:space="preserve"> </w:t>
            </w:r>
          </w:p>
        </w:tc>
        <w:tc>
          <w:tcPr>
            <w:tcW w:w="6365" w:type="dxa"/>
          </w:tcPr>
          <w:p w14:paraId="6AB84FD1" w14:textId="77777777" w:rsidR="00EA16A6" w:rsidRDefault="00EA16A6" w:rsidP="00EA373E">
            <w:r>
              <w:t>Investuje v rozmezí 12.500 – 250.000 EUR, délka majetkové účasti je max. 5 let, v programu mohou žádat spol. mladší 5 let.</w:t>
            </w:r>
          </w:p>
        </w:tc>
      </w:tr>
      <w:tr w:rsidR="00E92808" w14:paraId="637FC4A7" w14:textId="77777777" w:rsidTr="00EA373E">
        <w:tc>
          <w:tcPr>
            <w:tcW w:w="1142" w:type="dxa"/>
          </w:tcPr>
          <w:p w14:paraId="598C3540" w14:textId="77777777" w:rsidR="00E92808" w:rsidRPr="008C272B" w:rsidRDefault="00E92808" w:rsidP="00EA373E">
            <w:pPr>
              <w:rPr>
                <w:b/>
                <w:bCs/>
              </w:rPr>
            </w:pPr>
            <w:r w:rsidRPr="008C272B">
              <w:rPr>
                <w:b/>
                <w:bCs/>
              </w:rPr>
              <w:t>Švédsko</w:t>
            </w:r>
          </w:p>
        </w:tc>
        <w:tc>
          <w:tcPr>
            <w:tcW w:w="1843" w:type="dxa"/>
          </w:tcPr>
          <w:p w14:paraId="72E3B456" w14:textId="77777777" w:rsidR="00E92808" w:rsidRDefault="00E92808" w:rsidP="00EA373E">
            <w:proofErr w:type="spellStart"/>
            <w:r>
              <w:t>Almi</w:t>
            </w:r>
            <w:proofErr w:type="spellEnd"/>
            <w:r>
              <w:t xml:space="preserve"> </w:t>
            </w:r>
            <w:proofErr w:type="spellStart"/>
            <w:r>
              <w:t>invest</w:t>
            </w:r>
            <w:proofErr w:type="spellEnd"/>
          </w:p>
        </w:tc>
        <w:tc>
          <w:tcPr>
            <w:tcW w:w="6365" w:type="dxa"/>
          </w:tcPr>
          <w:p w14:paraId="248A2A26" w14:textId="77777777" w:rsidR="00E92808" w:rsidRDefault="00E92808" w:rsidP="00EA373E">
            <w:pPr>
              <w:jc w:val="both"/>
            </w:pPr>
            <w:r>
              <w:t xml:space="preserve">Jedná se o </w:t>
            </w:r>
            <w:proofErr w:type="gramStart"/>
            <w:r>
              <w:t>státem</w:t>
            </w:r>
            <w:proofErr w:type="gramEnd"/>
            <w:r>
              <w:t xml:space="preserve"> a regiony vlastněný fond rizikového kapitálu, zaměřený na podporu start-</w:t>
            </w:r>
            <w:proofErr w:type="spellStart"/>
            <w:r>
              <w:t>upů</w:t>
            </w:r>
            <w:proofErr w:type="spellEnd"/>
            <w:r>
              <w:t xml:space="preserve"> i etablovaných společností. Fond má celkový kapitál ve výši 3,5 miliard SEK, investuje vždy spolu se soukromými fondy rizikového kapitálu. Fond investuje do inovativních společností s vysokým potenciálem růstu, které nejsou starší 7 let.</w:t>
            </w:r>
          </w:p>
        </w:tc>
      </w:tr>
      <w:tr w:rsidR="00E92808" w14:paraId="2B23A121" w14:textId="77777777" w:rsidTr="00EA373E">
        <w:tc>
          <w:tcPr>
            <w:tcW w:w="1142" w:type="dxa"/>
          </w:tcPr>
          <w:p w14:paraId="37A81422" w14:textId="77777777" w:rsidR="00E92808" w:rsidRPr="00493197" w:rsidRDefault="00E92808" w:rsidP="00EA373E">
            <w:pPr>
              <w:rPr>
                <w:b/>
                <w:bCs/>
              </w:rPr>
            </w:pPr>
            <w:r w:rsidRPr="00493197">
              <w:rPr>
                <w:b/>
                <w:bCs/>
              </w:rPr>
              <w:t xml:space="preserve">Finsko </w:t>
            </w:r>
          </w:p>
        </w:tc>
        <w:tc>
          <w:tcPr>
            <w:tcW w:w="1843" w:type="dxa"/>
          </w:tcPr>
          <w:p w14:paraId="4619318C" w14:textId="77777777" w:rsidR="00E92808" w:rsidRDefault="00E92808" w:rsidP="00EA373E">
            <w:r>
              <w:t xml:space="preserve">Business </w:t>
            </w:r>
            <w:proofErr w:type="spellStart"/>
            <w:r>
              <w:t>Finland</w:t>
            </w:r>
            <w:proofErr w:type="spellEnd"/>
            <w:r>
              <w:t xml:space="preserve"> </w:t>
            </w:r>
          </w:p>
        </w:tc>
        <w:tc>
          <w:tcPr>
            <w:tcW w:w="6365" w:type="dxa"/>
          </w:tcPr>
          <w:p w14:paraId="4F8E8F7D" w14:textId="77777777" w:rsidR="00E92808" w:rsidRDefault="00E92808" w:rsidP="00EA373E">
            <w:pPr>
              <w:jc w:val="both"/>
            </w:pPr>
            <w:r>
              <w:t xml:space="preserve">Agentura Business </w:t>
            </w:r>
            <w:proofErr w:type="spellStart"/>
            <w:r>
              <w:t>Finland</w:t>
            </w:r>
            <w:proofErr w:type="spellEnd"/>
            <w:r>
              <w:t xml:space="preserve"> je odpovědná za podporu začínajících společností ve Finsku. Nabízí řadu programů finanční podpory (inovační vouchery, účast na zahraničních veletrzích, průzkum trhu </w:t>
            </w:r>
            <w:proofErr w:type="spellStart"/>
            <w:r>
              <w:t>atp</w:t>
            </w:r>
            <w:proofErr w:type="spellEnd"/>
            <w:r>
              <w:t xml:space="preserve">). Příkladem je Tempo </w:t>
            </w:r>
            <w:proofErr w:type="spellStart"/>
            <w:r>
              <w:t>funding</w:t>
            </w:r>
            <w:proofErr w:type="spellEnd"/>
            <w:r>
              <w:t xml:space="preserve">, který je zaměřený na start up usilující o expanzi do zahraničí. Maximální výše </w:t>
            </w:r>
            <w:r w:rsidRPr="00493197">
              <w:rPr>
                <w:b/>
                <w:bCs/>
              </w:rPr>
              <w:t>nevratné podpory je 50.000 EUR, přičemž financování může dosáhnout max. 75 % výdajů.</w:t>
            </w:r>
          </w:p>
        </w:tc>
      </w:tr>
      <w:tr w:rsidR="00E92808" w14:paraId="64BF9974" w14:textId="77777777" w:rsidTr="00EA373E">
        <w:tc>
          <w:tcPr>
            <w:tcW w:w="1142" w:type="dxa"/>
          </w:tcPr>
          <w:p w14:paraId="10E925FD" w14:textId="77777777" w:rsidR="00E92808" w:rsidRPr="005E7259" w:rsidRDefault="00E92808" w:rsidP="00EA373E">
            <w:pPr>
              <w:rPr>
                <w:b/>
                <w:bCs/>
              </w:rPr>
            </w:pPr>
            <w:r w:rsidRPr="005E7259">
              <w:rPr>
                <w:b/>
                <w:bCs/>
              </w:rPr>
              <w:t xml:space="preserve">Španělsko </w:t>
            </w:r>
          </w:p>
        </w:tc>
        <w:tc>
          <w:tcPr>
            <w:tcW w:w="1843" w:type="dxa"/>
          </w:tcPr>
          <w:p w14:paraId="5B631AD3" w14:textId="77777777" w:rsidR="00E92808" w:rsidRDefault="00E92808" w:rsidP="00EA373E">
            <w:proofErr w:type="spellStart"/>
            <w:r>
              <w:t>Next</w:t>
            </w:r>
            <w:proofErr w:type="spellEnd"/>
            <w:r>
              <w:t xml:space="preserve"> </w:t>
            </w:r>
            <w:proofErr w:type="spellStart"/>
            <w:r>
              <w:t>Tech</w:t>
            </w:r>
            <w:proofErr w:type="spellEnd"/>
            <w:r>
              <w:t xml:space="preserve"> </w:t>
            </w:r>
            <w:proofErr w:type="spellStart"/>
            <w:r>
              <w:t>Fund</w:t>
            </w:r>
            <w:proofErr w:type="spellEnd"/>
            <w:r>
              <w:t xml:space="preserve"> (Ministerstvo hospodářských věcí a digitální transformace)</w:t>
            </w:r>
          </w:p>
        </w:tc>
        <w:tc>
          <w:tcPr>
            <w:tcW w:w="6365" w:type="dxa"/>
          </w:tcPr>
          <w:p w14:paraId="0408E82C" w14:textId="77777777" w:rsidR="00E92808" w:rsidRDefault="00E92808" w:rsidP="00EA373E">
            <w:pPr>
              <w:jc w:val="both"/>
            </w:pPr>
            <w:r>
              <w:t xml:space="preserve">Je zaměřený na investice do digitálních projektů s vysokým potenciálem a </w:t>
            </w:r>
            <w:proofErr w:type="spellStart"/>
            <w:r>
              <w:t>scale-upy</w:t>
            </w:r>
            <w:proofErr w:type="spellEnd"/>
            <w:r>
              <w:t xml:space="preserve"> v oblasti umělé inteligence, internetu věcí, zelené algoritmy a </w:t>
            </w:r>
            <w:proofErr w:type="spellStart"/>
            <w:r>
              <w:t>cloudová</w:t>
            </w:r>
            <w:proofErr w:type="spellEnd"/>
            <w:r>
              <w:t xml:space="preserve"> řešení. Fond podporuje spolupráci veřejného a soukromého rizikového kapitálu, veřejný kapitál může mít vždy nanejvýš 49% podíl. </w:t>
            </w:r>
            <w:proofErr w:type="spellStart"/>
            <w:r>
              <w:t>Next</w:t>
            </w:r>
            <w:proofErr w:type="spellEnd"/>
            <w:r>
              <w:t xml:space="preserve"> </w:t>
            </w:r>
            <w:proofErr w:type="spellStart"/>
            <w:r>
              <w:t>tech</w:t>
            </w:r>
            <w:proofErr w:type="spellEnd"/>
            <w:r>
              <w:t xml:space="preserve"> </w:t>
            </w:r>
            <w:proofErr w:type="spellStart"/>
            <w:r>
              <w:t>Fund</w:t>
            </w:r>
            <w:proofErr w:type="spellEnd"/>
            <w:r>
              <w:t xml:space="preserve"> jako </w:t>
            </w:r>
            <w:r w:rsidRPr="0056113A">
              <w:rPr>
                <w:b/>
                <w:bCs/>
              </w:rPr>
              <w:t>fond rizikového kapitálu bude investovat do společností buď přímo, prostřednictvím soukromých fondů, nebo dalších investičních nástrojů.</w:t>
            </w:r>
          </w:p>
        </w:tc>
      </w:tr>
    </w:tbl>
    <w:p w14:paraId="7F6B5DFE" w14:textId="36365872" w:rsidR="00E92808" w:rsidRPr="005C2A63" w:rsidRDefault="005C2A63" w:rsidP="005C2A63">
      <w:pPr>
        <w:spacing w:line="276" w:lineRule="auto"/>
        <w:jc w:val="both"/>
        <w:rPr>
          <w:rFonts w:ascii="Calibri" w:eastAsia="Calibri" w:hAnsi="Calibri" w:cs="Calibri"/>
          <w:i/>
        </w:rPr>
      </w:pPr>
      <w:r w:rsidRPr="005C2A63">
        <w:rPr>
          <w:rFonts w:ascii="Calibri" w:eastAsia="Calibri" w:hAnsi="Calibri" w:cs="Calibri"/>
          <w:i/>
        </w:rPr>
        <w:t xml:space="preserve">Zdroj: </w:t>
      </w:r>
      <w:proofErr w:type="spellStart"/>
      <w:r w:rsidRPr="005C2A63">
        <w:rPr>
          <w:rFonts w:ascii="Calibri" w:eastAsia="Calibri" w:hAnsi="Calibri" w:cs="Calibri"/>
          <w:i/>
        </w:rPr>
        <w:t>Deloitte</w:t>
      </w:r>
      <w:proofErr w:type="spellEnd"/>
    </w:p>
    <w:p w14:paraId="575FDFC3" w14:textId="214BFBA0" w:rsidR="00750D3A" w:rsidRDefault="00750D3A">
      <w:pPr>
        <w:rPr>
          <w:rFonts w:ascii="Calibri" w:eastAsia="Calibri" w:hAnsi="Calibri" w:cs="Calibri"/>
          <w:sz w:val="24"/>
        </w:rPr>
      </w:pPr>
      <w:r>
        <w:rPr>
          <w:rFonts w:ascii="Calibri" w:eastAsia="Calibri" w:hAnsi="Calibri" w:cs="Calibri"/>
          <w:sz w:val="24"/>
        </w:rPr>
        <w:br w:type="page"/>
      </w:r>
    </w:p>
    <w:p w14:paraId="390E0C11" w14:textId="233ED637" w:rsidR="00395EDA" w:rsidRPr="00395EDA" w:rsidRDefault="00CD2B75" w:rsidP="00A138A4">
      <w:pPr>
        <w:pStyle w:val="Odstavecseseznamem"/>
        <w:numPr>
          <w:ilvl w:val="0"/>
          <w:numId w:val="10"/>
        </w:numPr>
        <w:spacing w:line="276" w:lineRule="auto"/>
        <w:jc w:val="both"/>
        <w:rPr>
          <w:rFonts w:ascii="Calibri" w:eastAsia="Calibri" w:hAnsi="Calibri" w:cs="Calibri"/>
          <w:b/>
          <w:bCs/>
          <w:color w:val="002060"/>
          <w:sz w:val="28"/>
        </w:rPr>
      </w:pPr>
      <w:r>
        <w:rPr>
          <w:rFonts w:ascii="Calibri" w:eastAsia="Calibri" w:hAnsi="Calibri" w:cs="Calibri"/>
          <w:b/>
          <w:bCs/>
          <w:color w:val="002060"/>
          <w:sz w:val="28"/>
        </w:rPr>
        <w:lastRenderedPageBreak/>
        <w:t>P</w:t>
      </w:r>
      <w:r w:rsidR="00395EDA" w:rsidRPr="00395EDA">
        <w:rPr>
          <w:rFonts w:ascii="Calibri" w:eastAsia="Calibri" w:hAnsi="Calibri" w:cs="Calibri"/>
          <w:b/>
          <w:bCs/>
          <w:color w:val="002060"/>
          <w:sz w:val="28"/>
        </w:rPr>
        <w:t xml:space="preserve">opis uvažovaných finančních nástrojů v oblasti </w:t>
      </w:r>
      <w:proofErr w:type="spellStart"/>
      <w:r w:rsidR="00395EDA" w:rsidRPr="00395EDA">
        <w:rPr>
          <w:rFonts w:ascii="Calibri" w:eastAsia="Calibri" w:hAnsi="Calibri" w:cs="Calibri"/>
          <w:b/>
          <w:bCs/>
          <w:color w:val="002060"/>
          <w:sz w:val="28"/>
        </w:rPr>
        <w:t>VaVaI</w:t>
      </w:r>
      <w:proofErr w:type="spellEnd"/>
    </w:p>
    <w:p w14:paraId="163634F3" w14:textId="194DFBBF" w:rsidR="00921E40" w:rsidRPr="00921E40" w:rsidRDefault="00062F7C" w:rsidP="00A138A4">
      <w:pPr>
        <w:spacing w:line="276" w:lineRule="auto"/>
        <w:jc w:val="both"/>
        <w:rPr>
          <w:rFonts w:ascii="Calibri" w:eastAsia="Calibri" w:hAnsi="Calibri" w:cs="Calibri"/>
          <w:sz w:val="24"/>
        </w:rPr>
      </w:pPr>
      <w:r>
        <w:rPr>
          <w:rFonts w:ascii="Calibri" w:eastAsia="Calibri" w:hAnsi="Calibri" w:cs="Calibri"/>
          <w:sz w:val="24"/>
        </w:rPr>
        <w:t xml:space="preserve">Z proběhlých jednání PSDO 2022 byly k dalšímu rozpracování </w:t>
      </w:r>
      <w:r w:rsidR="00695E6C">
        <w:rPr>
          <w:rFonts w:ascii="Calibri" w:eastAsia="Calibri" w:hAnsi="Calibri" w:cs="Calibri"/>
          <w:sz w:val="24"/>
        </w:rPr>
        <w:t>vybrány:</w:t>
      </w:r>
    </w:p>
    <w:p w14:paraId="568CC2FC" w14:textId="71EC2CDC" w:rsidR="00395EDA" w:rsidRPr="00677122" w:rsidRDefault="00395EDA" w:rsidP="00A138A4">
      <w:pPr>
        <w:pStyle w:val="Odstavecseseznamem"/>
        <w:numPr>
          <w:ilvl w:val="0"/>
          <w:numId w:val="12"/>
        </w:numPr>
        <w:spacing w:line="276" w:lineRule="auto"/>
        <w:jc w:val="both"/>
        <w:rPr>
          <w:rFonts w:ascii="Calibri" w:eastAsia="Calibri" w:hAnsi="Calibri" w:cs="Calibri"/>
          <w:b/>
          <w:sz w:val="24"/>
        </w:rPr>
      </w:pPr>
      <w:r w:rsidRPr="00677122">
        <w:rPr>
          <w:rFonts w:ascii="Calibri" w:eastAsia="Calibri" w:hAnsi="Calibri" w:cs="Calibri"/>
          <w:b/>
          <w:sz w:val="24"/>
        </w:rPr>
        <w:t>vratná záloha (návratná finanční výpomoc)</w:t>
      </w:r>
    </w:p>
    <w:p w14:paraId="1C4ED0DD" w14:textId="0D25FB6E" w:rsidR="00395EDA" w:rsidRPr="00395EDA" w:rsidRDefault="00395EDA" w:rsidP="00A138A4">
      <w:pPr>
        <w:spacing w:line="276" w:lineRule="auto"/>
        <w:jc w:val="both"/>
        <w:rPr>
          <w:rFonts w:ascii="Calibri" w:eastAsia="Calibri" w:hAnsi="Calibri" w:cs="Calibri"/>
          <w:sz w:val="24"/>
        </w:rPr>
      </w:pPr>
      <w:r w:rsidRPr="00395EDA">
        <w:rPr>
          <w:rFonts w:ascii="Calibri" w:eastAsia="Calibri" w:hAnsi="Calibri" w:cs="Calibri"/>
          <w:sz w:val="24"/>
        </w:rPr>
        <w:t>Jedná se o finanční prostředky poskytnuté na daný účel a splatné</w:t>
      </w:r>
      <w:r w:rsidR="0007117D">
        <w:rPr>
          <w:rFonts w:ascii="Calibri" w:eastAsia="Calibri" w:hAnsi="Calibri" w:cs="Calibri"/>
          <w:sz w:val="24"/>
        </w:rPr>
        <w:t xml:space="preserve"> za podmínek, které závisejí na </w:t>
      </w:r>
      <w:r w:rsidRPr="00395EDA">
        <w:rPr>
          <w:rFonts w:ascii="Calibri" w:eastAsia="Calibri" w:hAnsi="Calibri" w:cs="Calibri"/>
          <w:sz w:val="24"/>
        </w:rPr>
        <w:t>výsledku projektu. Tyto prostředky musí být navráceny i za plného neúspěchu projektu, byť jen zčásti.</w:t>
      </w:r>
    </w:p>
    <w:p w14:paraId="5984B0EE" w14:textId="7C1C9B1C" w:rsidR="00395EDA" w:rsidRPr="00395EDA" w:rsidRDefault="00395EDA" w:rsidP="00A138A4">
      <w:pPr>
        <w:spacing w:line="276" w:lineRule="auto"/>
        <w:jc w:val="both"/>
        <w:rPr>
          <w:rFonts w:ascii="Calibri" w:eastAsia="Calibri" w:hAnsi="Calibri" w:cs="Calibri"/>
          <w:sz w:val="24"/>
        </w:rPr>
      </w:pPr>
      <w:r w:rsidRPr="00395EDA">
        <w:rPr>
          <w:rFonts w:ascii="Calibri" w:eastAsia="Calibri" w:hAnsi="Calibri" w:cs="Calibri"/>
          <w:sz w:val="24"/>
        </w:rPr>
        <w:t xml:space="preserve">Legislativně je vratná záloha explicitně uvedena v Nařízení EK 651/2014 (dále GBER, “bloková výjimka) a v Rámci </w:t>
      </w:r>
      <w:proofErr w:type="spellStart"/>
      <w:r w:rsidR="00091A6A">
        <w:rPr>
          <w:rFonts w:ascii="Calibri" w:eastAsia="Calibri" w:hAnsi="Calibri" w:cs="Calibri"/>
          <w:sz w:val="24"/>
        </w:rPr>
        <w:t>VaVaI</w:t>
      </w:r>
      <w:proofErr w:type="spellEnd"/>
      <w:r w:rsidRPr="00395EDA">
        <w:rPr>
          <w:rFonts w:ascii="Calibri" w:eastAsia="Calibri" w:hAnsi="Calibri" w:cs="Calibri"/>
          <w:sz w:val="24"/>
        </w:rPr>
        <w:t xml:space="preserve">. V české legislativě není podobný </w:t>
      </w:r>
      <w:r w:rsidR="00091A6A">
        <w:rPr>
          <w:rFonts w:ascii="Calibri" w:eastAsia="Calibri" w:hAnsi="Calibri" w:cs="Calibri"/>
          <w:sz w:val="24"/>
        </w:rPr>
        <w:t>nástroj uveden explicitně v zákoně</w:t>
      </w:r>
      <w:r w:rsidRPr="00395EDA">
        <w:rPr>
          <w:rFonts w:ascii="Calibri" w:eastAsia="Calibri" w:hAnsi="Calibri" w:cs="Calibri"/>
          <w:sz w:val="24"/>
        </w:rPr>
        <w:t xml:space="preserve"> č.</w:t>
      </w:r>
      <w:r w:rsidR="00091A6A">
        <w:rPr>
          <w:rFonts w:ascii="Calibri" w:eastAsia="Calibri" w:hAnsi="Calibri" w:cs="Calibri"/>
          <w:sz w:val="24"/>
        </w:rPr>
        <w:t> </w:t>
      </w:r>
      <w:r w:rsidRPr="00395EDA">
        <w:rPr>
          <w:rFonts w:ascii="Calibri" w:eastAsia="Calibri" w:hAnsi="Calibri" w:cs="Calibri"/>
          <w:sz w:val="24"/>
        </w:rPr>
        <w:t>130/2002 Sb.</w:t>
      </w:r>
      <w:r w:rsidR="009C2B8A">
        <w:rPr>
          <w:rFonts w:ascii="Calibri" w:eastAsia="Calibri" w:hAnsi="Calibri" w:cs="Calibri"/>
          <w:sz w:val="24"/>
        </w:rPr>
        <w:t>, jen v zákoně č. </w:t>
      </w:r>
      <w:r w:rsidRPr="00395EDA">
        <w:rPr>
          <w:rFonts w:ascii="Calibri" w:eastAsia="Calibri" w:hAnsi="Calibri" w:cs="Calibri"/>
          <w:sz w:val="24"/>
        </w:rPr>
        <w:t>218/2000 Sb. (rozpočtová pravidla) je uvedena tzv. návratná finanční výpomoc (§3, písm. b)), která však podmínkami zce</w:t>
      </w:r>
      <w:r w:rsidR="00091A6A">
        <w:rPr>
          <w:rFonts w:ascii="Calibri" w:eastAsia="Calibri" w:hAnsi="Calibri" w:cs="Calibri"/>
          <w:sz w:val="24"/>
        </w:rPr>
        <w:t>la neodpovídá definici evropské, a proto je p</w:t>
      </w:r>
      <w:r w:rsidRPr="00395EDA">
        <w:rPr>
          <w:rFonts w:ascii="Calibri" w:eastAsia="Calibri" w:hAnsi="Calibri" w:cs="Calibri"/>
          <w:sz w:val="24"/>
        </w:rPr>
        <w:t xml:space="preserve">ro plné využití </w:t>
      </w:r>
      <w:r w:rsidR="00091A6A">
        <w:rPr>
          <w:rFonts w:ascii="Calibri" w:eastAsia="Calibri" w:hAnsi="Calibri" w:cs="Calibri"/>
          <w:sz w:val="24"/>
        </w:rPr>
        <w:t>zapotřebí</w:t>
      </w:r>
      <w:r w:rsidRPr="00395EDA">
        <w:rPr>
          <w:rFonts w:ascii="Calibri" w:eastAsia="Calibri" w:hAnsi="Calibri" w:cs="Calibri"/>
          <w:sz w:val="24"/>
        </w:rPr>
        <w:t xml:space="preserve"> legislativní změna.</w:t>
      </w:r>
    </w:p>
    <w:p w14:paraId="52848FF3" w14:textId="345C8D22" w:rsidR="00395EDA" w:rsidRPr="00395EDA" w:rsidRDefault="00395EDA" w:rsidP="00A138A4">
      <w:pPr>
        <w:spacing w:line="276" w:lineRule="auto"/>
        <w:jc w:val="both"/>
        <w:rPr>
          <w:rFonts w:ascii="Calibri" w:eastAsia="Calibri" w:hAnsi="Calibri" w:cs="Calibri"/>
          <w:sz w:val="24"/>
        </w:rPr>
      </w:pPr>
      <w:r w:rsidRPr="00395EDA">
        <w:rPr>
          <w:rFonts w:ascii="Calibri" w:eastAsia="Calibri" w:hAnsi="Calibri" w:cs="Calibri"/>
          <w:sz w:val="24"/>
        </w:rPr>
        <w:t xml:space="preserve">Prakticky by mohl tento nástroj použít poskytovatel podpory dle </w:t>
      </w:r>
      <w:r w:rsidR="009C2B8A">
        <w:rPr>
          <w:rFonts w:ascii="Calibri" w:eastAsia="Calibri" w:hAnsi="Calibri" w:cs="Calibri"/>
          <w:sz w:val="24"/>
        </w:rPr>
        <w:t xml:space="preserve">zákona </w:t>
      </w:r>
      <w:r w:rsidR="00091A6A">
        <w:rPr>
          <w:rFonts w:ascii="Calibri" w:eastAsia="Calibri" w:hAnsi="Calibri" w:cs="Calibri"/>
          <w:sz w:val="24"/>
        </w:rPr>
        <w:t>„</w:t>
      </w:r>
      <w:r w:rsidR="009C2B8A">
        <w:rPr>
          <w:rFonts w:ascii="Calibri" w:eastAsia="Calibri" w:hAnsi="Calibri" w:cs="Calibri"/>
          <w:sz w:val="24"/>
        </w:rPr>
        <w:t>130</w:t>
      </w:r>
      <w:r w:rsidR="00091A6A">
        <w:rPr>
          <w:rFonts w:ascii="Calibri" w:eastAsia="Calibri" w:hAnsi="Calibri" w:cs="Calibri"/>
          <w:sz w:val="24"/>
        </w:rPr>
        <w:t>“</w:t>
      </w:r>
      <w:r w:rsidRPr="00395EDA">
        <w:rPr>
          <w:rFonts w:ascii="Calibri" w:eastAsia="Calibri" w:hAnsi="Calibri" w:cs="Calibri"/>
          <w:sz w:val="24"/>
        </w:rPr>
        <w:t xml:space="preserve"> v kombinaci s Národní rozvojovou bankou anebo jinou bankovní institucí.</w:t>
      </w:r>
    </w:p>
    <w:p w14:paraId="23A257FD" w14:textId="64D7447E" w:rsidR="00395EDA" w:rsidRPr="00677122" w:rsidRDefault="00395EDA" w:rsidP="00A138A4">
      <w:pPr>
        <w:pStyle w:val="Odstavecseseznamem"/>
        <w:numPr>
          <w:ilvl w:val="0"/>
          <w:numId w:val="12"/>
        </w:numPr>
        <w:spacing w:line="276" w:lineRule="auto"/>
        <w:jc w:val="both"/>
        <w:rPr>
          <w:rFonts w:ascii="Calibri" w:eastAsia="Calibri" w:hAnsi="Calibri" w:cs="Calibri"/>
          <w:b/>
          <w:sz w:val="24"/>
        </w:rPr>
      </w:pPr>
      <w:r w:rsidRPr="00677122">
        <w:rPr>
          <w:rFonts w:ascii="Calibri" w:eastAsia="Calibri" w:hAnsi="Calibri" w:cs="Calibri"/>
          <w:b/>
          <w:sz w:val="24"/>
        </w:rPr>
        <w:t>konvertibilní půjčka</w:t>
      </w:r>
    </w:p>
    <w:p w14:paraId="3F38ABB9" w14:textId="551F254D" w:rsidR="00395EDA" w:rsidRPr="00395EDA" w:rsidRDefault="00395EDA" w:rsidP="00A138A4">
      <w:pPr>
        <w:spacing w:line="276" w:lineRule="auto"/>
        <w:jc w:val="both"/>
        <w:rPr>
          <w:rFonts w:ascii="Calibri" w:eastAsia="Calibri" w:hAnsi="Calibri" w:cs="Calibri"/>
          <w:sz w:val="24"/>
        </w:rPr>
      </w:pPr>
      <w:r w:rsidRPr="00395EDA">
        <w:rPr>
          <w:rFonts w:ascii="Calibri" w:eastAsia="Calibri" w:hAnsi="Calibri" w:cs="Calibri"/>
          <w:sz w:val="24"/>
        </w:rPr>
        <w:t xml:space="preserve">Jedná se o poskytnutou půjčku na vysoce rizikové aktivity popsané formou projektu </w:t>
      </w:r>
      <w:proofErr w:type="spellStart"/>
      <w:r w:rsidRPr="00395EDA">
        <w:rPr>
          <w:rFonts w:ascii="Calibri" w:eastAsia="Calibri" w:hAnsi="Calibri" w:cs="Calibri"/>
          <w:sz w:val="24"/>
        </w:rPr>
        <w:t>VaVaI</w:t>
      </w:r>
      <w:proofErr w:type="spellEnd"/>
      <w:r w:rsidRPr="00395EDA">
        <w:rPr>
          <w:rFonts w:ascii="Calibri" w:eastAsia="Calibri" w:hAnsi="Calibri" w:cs="Calibri"/>
          <w:sz w:val="24"/>
        </w:rPr>
        <w:t xml:space="preserve">, který je současně vyhodnocen a </w:t>
      </w:r>
      <w:proofErr w:type="spellStart"/>
      <w:r w:rsidRPr="00395EDA">
        <w:rPr>
          <w:rFonts w:ascii="Calibri" w:eastAsia="Calibri" w:hAnsi="Calibri" w:cs="Calibri"/>
          <w:sz w:val="24"/>
        </w:rPr>
        <w:t>předschválen</w:t>
      </w:r>
      <w:proofErr w:type="spellEnd"/>
      <w:r w:rsidRPr="00395EDA">
        <w:rPr>
          <w:rFonts w:ascii="Calibri" w:eastAsia="Calibri" w:hAnsi="Calibri" w:cs="Calibri"/>
          <w:sz w:val="24"/>
        </w:rPr>
        <w:t xml:space="preserve"> pro poskytnutí dotace. V případě, že je projekt úspěšný</w:t>
      </w:r>
      <w:r w:rsidR="009C2B8A">
        <w:rPr>
          <w:rFonts w:ascii="Calibri" w:eastAsia="Calibri" w:hAnsi="Calibri" w:cs="Calibri"/>
          <w:sz w:val="24"/>
        </w:rPr>
        <w:t>,</w:t>
      </w:r>
      <w:r w:rsidRPr="00395EDA">
        <w:rPr>
          <w:rFonts w:ascii="Calibri" w:eastAsia="Calibri" w:hAnsi="Calibri" w:cs="Calibri"/>
          <w:sz w:val="24"/>
        </w:rPr>
        <w:t xml:space="preserve"> dochází k postupnému splácení půjčky za daných podmínek. V případ</w:t>
      </w:r>
      <w:r w:rsidR="0007117D">
        <w:rPr>
          <w:rFonts w:ascii="Calibri" w:eastAsia="Calibri" w:hAnsi="Calibri" w:cs="Calibri"/>
          <w:sz w:val="24"/>
        </w:rPr>
        <w:t>ě, že projekt není úspěšný, lze </w:t>
      </w:r>
      <w:r w:rsidRPr="00395EDA">
        <w:rPr>
          <w:rFonts w:ascii="Calibri" w:eastAsia="Calibri" w:hAnsi="Calibri" w:cs="Calibri"/>
          <w:sz w:val="24"/>
        </w:rPr>
        <w:t>za předem daných podmínek konvertovat půjčku na dotaci. Tento nástroj vyžaduje velmi úzkou spolupráci poskytovatele dotace s bankou či jiným poskytovat</w:t>
      </w:r>
      <w:r w:rsidR="009C2B8A">
        <w:rPr>
          <w:rFonts w:ascii="Calibri" w:eastAsia="Calibri" w:hAnsi="Calibri" w:cs="Calibri"/>
          <w:sz w:val="24"/>
        </w:rPr>
        <w:t>elem půjček (pokud se nejedná o </w:t>
      </w:r>
      <w:r w:rsidRPr="00395EDA">
        <w:rPr>
          <w:rFonts w:ascii="Calibri" w:eastAsia="Calibri" w:hAnsi="Calibri" w:cs="Calibri"/>
          <w:sz w:val="24"/>
        </w:rPr>
        <w:t>stejnou právnickou osobu).</w:t>
      </w:r>
    </w:p>
    <w:p w14:paraId="0A2AECC3" w14:textId="475C273E" w:rsidR="00395EDA" w:rsidRPr="00395EDA" w:rsidRDefault="00395EDA" w:rsidP="00A138A4">
      <w:pPr>
        <w:spacing w:line="276" w:lineRule="auto"/>
        <w:jc w:val="both"/>
        <w:rPr>
          <w:rFonts w:ascii="Calibri" w:eastAsia="Calibri" w:hAnsi="Calibri" w:cs="Calibri"/>
          <w:sz w:val="24"/>
        </w:rPr>
      </w:pPr>
      <w:r w:rsidRPr="00395EDA">
        <w:rPr>
          <w:rFonts w:ascii="Calibri" w:eastAsia="Calibri" w:hAnsi="Calibri" w:cs="Calibri"/>
          <w:sz w:val="24"/>
        </w:rPr>
        <w:t>Legislativně</w:t>
      </w:r>
      <w:r w:rsidR="00091A6A">
        <w:rPr>
          <w:rFonts w:ascii="Calibri" w:eastAsia="Calibri" w:hAnsi="Calibri" w:cs="Calibri"/>
          <w:sz w:val="24"/>
        </w:rPr>
        <w:t xml:space="preserve"> není konvertibilní půjčka v současné době</w:t>
      </w:r>
      <w:r w:rsidRPr="00395EDA">
        <w:rPr>
          <w:rFonts w:ascii="Calibri" w:eastAsia="Calibri" w:hAnsi="Calibri" w:cs="Calibri"/>
          <w:sz w:val="24"/>
        </w:rPr>
        <w:t xml:space="preserve"> upraven</w:t>
      </w:r>
      <w:r w:rsidR="00091A6A">
        <w:rPr>
          <w:rFonts w:ascii="Calibri" w:eastAsia="Calibri" w:hAnsi="Calibri" w:cs="Calibri"/>
          <w:sz w:val="24"/>
        </w:rPr>
        <w:t>a.</w:t>
      </w:r>
      <w:r w:rsidRPr="00395EDA">
        <w:rPr>
          <w:rFonts w:ascii="Calibri" w:eastAsia="Calibri" w:hAnsi="Calibri" w:cs="Calibri"/>
          <w:sz w:val="24"/>
        </w:rPr>
        <w:t xml:space="preserve">, </w:t>
      </w:r>
      <w:r w:rsidR="00091A6A">
        <w:rPr>
          <w:rFonts w:ascii="Calibri" w:eastAsia="Calibri" w:hAnsi="Calibri" w:cs="Calibri"/>
          <w:sz w:val="24"/>
        </w:rPr>
        <w:t>přičemž by její realizace</w:t>
      </w:r>
      <w:r w:rsidR="00250510">
        <w:rPr>
          <w:rFonts w:ascii="Calibri" w:eastAsia="Calibri" w:hAnsi="Calibri" w:cs="Calibri"/>
          <w:sz w:val="24"/>
        </w:rPr>
        <w:t xml:space="preserve"> za </w:t>
      </w:r>
      <w:r w:rsidRPr="00395EDA">
        <w:rPr>
          <w:rFonts w:ascii="Calibri" w:eastAsia="Calibri" w:hAnsi="Calibri" w:cs="Calibri"/>
          <w:sz w:val="24"/>
        </w:rPr>
        <w:t>stávajícího právního stavu</w:t>
      </w:r>
      <w:r w:rsidR="00091A6A">
        <w:rPr>
          <w:rFonts w:ascii="Calibri" w:eastAsia="Calibri" w:hAnsi="Calibri" w:cs="Calibri"/>
          <w:sz w:val="24"/>
        </w:rPr>
        <w:t xml:space="preserve"> musela být právně analyzována</w:t>
      </w:r>
      <w:r w:rsidRPr="00395EDA">
        <w:rPr>
          <w:rFonts w:ascii="Calibri" w:eastAsia="Calibri" w:hAnsi="Calibri" w:cs="Calibri"/>
          <w:sz w:val="24"/>
        </w:rPr>
        <w:t>.</w:t>
      </w:r>
    </w:p>
    <w:p w14:paraId="2BC9BB80" w14:textId="773C9DBC" w:rsidR="00395EDA" w:rsidRPr="00395EDA" w:rsidRDefault="00395EDA" w:rsidP="00A138A4">
      <w:pPr>
        <w:spacing w:line="276" w:lineRule="auto"/>
        <w:jc w:val="both"/>
        <w:rPr>
          <w:rFonts w:ascii="Calibri" w:eastAsia="Calibri" w:hAnsi="Calibri" w:cs="Calibri"/>
          <w:sz w:val="24"/>
        </w:rPr>
      </w:pPr>
      <w:r w:rsidRPr="00395EDA">
        <w:rPr>
          <w:rFonts w:ascii="Calibri" w:eastAsia="Calibri" w:hAnsi="Calibri" w:cs="Calibri"/>
          <w:sz w:val="24"/>
        </w:rPr>
        <w:t xml:space="preserve">Prakticky by mohl tento nástroj použít poskytovatel podpory dle </w:t>
      </w:r>
      <w:r w:rsidR="009C2B8A">
        <w:rPr>
          <w:rFonts w:ascii="Calibri" w:eastAsia="Calibri" w:hAnsi="Calibri" w:cs="Calibri"/>
          <w:sz w:val="24"/>
        </w:rPr>
        <w:t xml:space="preserve">zákona </w:t>
      </w:r>
      <w:r w:rsidR="00091A6A">
        <w:rPr>
          <w:rFonts w:ascii="Calibri" w:eastAsia="Calibri" w:hAnsi="Calibri" w:cs="Calibri"/>
          <w:sz w:val="24"/>
        </w:rPr>
        <w:t>„</w:t>
      </w:r>
      <w:r w:rsidR="009C2B8A">
        <w:rPr>
          <w:rFonts w:ascii="Calibri" w:eastAsia="Calibri" w:hAnsi="Calibri" w:cs="Calibri"/>
          <w:sz w:val="24"/>
        </w:rPr>
        <w:t>130</w:t>
      </w:r>
      <w:r w:rsidR="00091A6A">
        <w:rPr>
          <w:rFonts w:ascii="Calibri" w:eastAsia="Calibri" w:hAnsi="Calibri" w:cs="Calibri"/>
          <w:sz w:val="24"/>
        </w:rPr>
        <w:t>“</w:t>
      </w:r>
      <w:r w:rsidRPr="00395EDA">
        <w:rPr>
          <w:rFonts w:ascii="Calibri" w:eastAsia="Calibri" w:hAnsi="Calibri" w:cs="Calibri"/>
          <w:sz w:val="24"/>
        </w:rPr>
        <w:t xml:space="preserve"> v kombinaci s Národní rozvojovou bankou (dále NRB) anebo jinou bankovní institucí.</w:t>
      </w:r>
    </w:p>
    <w:p w14:paraId="0846657C" w14:textId="05584E8A" w:rsidR="00395EDA" w:rsidRPr="00677122" w:rsidRDefault="00395EDA" w:rsidP="00A138A4">
      <w:pPr>
        <w:pStyle w:val="Odstavecseseznamem"/>
        <w:numPr>
          <w:ilvl w:val="0"/>
          <w:numId w:val="12"/>
        </w:numPr>
        <w:spacing w:line="276" w:lineRule="auto"/>
        <w:jc w:val="both"/>
        <w:rPr>
          <w:rFonts w:ascii="Calibri" w:eastAsia="Calibri" w:hAnsi="Calibri" w:cs="Calibri"/>
          <w:b/>
          <w:sz w:val="24"/>
        </w:rPr>
      </w:pPr>
      <w:r w:rsidRPr="00677122">
        <w:rPr>
          <w:rFonts w:ascii="Calibri" w:eastAsia="Calibri" w:hAnsi="Calibri" w:cs="Calibri"/>
          <w:b/>
          <w:sz w:val="24"/>
        </w:rPr>
        <w:t>půjčky a záruky</w:t>
      </w:r>
    </w:p>
    <w:p w14:paraId="6E298E28" w14:textId="07FF019B" w:rsidR="00395EDA" w:rsidRPr="00395EDA" w:rsidRDefault="00395EDA" w:rsidP="00A138A4">
      <w:pPr>
        <w:spacing w:line="276" w:lineRule="auto"/>
        <w:jc w:val="both"/>
        <w:rPr>
          <w:rFonts w:ascii="Calibri" w:eastAsia="Calibri" w:hAnsi="Calibri" w:cs="Calibri"/>
          <w:sz w:val="24"/>
        </w:rPr>
      </w:pPr>
      <w:r w:rsidRPr="00395EDA">
        <w:rPr>
          <w:rFonts w:ascii="Calibri" w:eastAsia="Calibri" w:hAnsi="Calibri" w:cs="Calibri"/>
          <w:sz w:val="24"/>
        </w:rPr>
        <w:t xml:space="preserve">Jedná se o standardní formy úvěru či záruky, ale poskytnuté za výhodnějších podmínek na aktivity obsahující ve vysoké míře výzkum, vývoj a inovace. Zejména se může jednat o technologické, průlomové inovace. </w:t>
      </w:r>
      <w:r w:rsidR="00091A6A">
        <w:rPr>
          <w:rFonts w:ascii="Calibri" w:eastAsia="Calibri" w:hAnsi="Calibri" w:cs="Calibri"/>
          <w:sz w:val="24"/>
        </w:rPr>
        <w:t>J</w:t>
      </w:r>
      <w:r w:rsidRPr="00395EDA">
        <w:rPr>
          <w:rFonts w:ascii="Calibri" w:eastAsia="Calibri" w:hAnsi="Calibri" w:cs="Calibri"/>
          <w:sz w:val="24"/>
        </w:rPr>
        <w:t>edna</w:t>
      </w:r>
      <w:r w:rsidR="00091A6A">
        <w:rPr>
          <w:rFonts w:ascii="Calibri" w:eastAsia="Calibri" w:hAnsi="Calibri" w:cs="Calibri"/>
          <w:sz w:val="24"/>
        </w:rPr>
        <w:t>lo by se</w:t>
      </w:r>
      <w:r w:rsidRPr="00395EDA">
        <w:rPr>
          <w:rFonts w:ascii="Calibri" w:eastAsia="Calibri" w:hAnsi="Calibri" w:cs="Calibri"/>
          <w:sz w:val="24"/>
        </w:rPr>
        <w:t xml:space="preserve"> o bezúročný úvěr s prodlouženou splatností anebo převzetí záruky za úvěr. </w:t>
      </w:r>
    </w:p>
    <w:p w14:paraId="6167BFF9" w14:textId="264CBB10" w:rsidR="00395EDA" w:rsidRPr="00395EDA" w:rsidRDefault="00395EDA" w:rsidP="00A138A4">
      <w:pPr>
        <w:spacing w:line="276" w:lineRule="auto"/>
        <w:jc w:val="both"/>
        <w:rPr>
          <w:rFonts w:ascii="Calibri" w:eastAsia="Calibri" w:hAnsi="Calibri" w:cs="Calibri"/>
          <w:sz w:val="24"/>
        </w:rPr>
      </w:pPr>
      <w:r w:rsidRPr="00395EDA">
        <w:rPr>
          <w:rFonts w:ascii="Calibri" w:eastAsia="Calibri" w:hAnsi="Calibri" w:cs="Calibri"/>
          <w:sz w:val="24"/>
        </w:rPr>
        <w:t>Legislativně ne</w:t>
      </w:r>
      <w:r w:rsidR="00091A6A">
        <w:rPr>
          <w:rFonts w:ascii="Calibri" w:eastAsia="Calibri" w:hAnsi="Calibri" w:cs="Calibri"/>
          <w:sz w:val="24"/>
        </w:rPr>
        <w:t>jsou dané nástroje</w:t>
      </w:r>
      <w:r w:rsidRPr="00395EDA">
        <w:rPr>
          <w:rFonts w:ascii="Calibri" w:eastAsia="Calibri" w:hAnsi="Calibri" w:cs="Calibri"/>
          <w:sz w:val="24"/>
        </w:rPr>
        <w:t xml:space="preserve"> explicitně upraven</w:t>
      </w:r>
      <w:r w:rsidR="00091A6A">
        <w:rPr>
          <w:rFonts w:ascii="Calibri" w:eastAsia="Calibri" w:hAnsi="Calibri" w:cs="Calibri"/>
          <w:sz w:val="24"/>
        </w:rPr>
        <w:t>y</w:t>
      </w:r>
      <w:r w:rsidRPr="00395EDA">
        <w:rPr>
          <w:rFonts w:ascii="Calibri" w:eastAsia="Calibri" w:hAnsi="Calibri" w:cs="Calibri"/>
          <w:sz w:val="24"/>
        </w:rPr>
        <w:t xml:space="preserve"> pro podporu </w:t>
      </w:r>
      <w:proofErr w:type="spellStart"/>
      <w:r w:rsidRPr="00395EDA">
        <w:rPr>
          <w:rFonts w:ascii="Calibri" w:eastAsia="Calibri" w:hAnsi="Calibri" w:cs="Calibri"/>
          <w:sz w:val="24"/>
        </w:rPr>
        <w:t>VaVaI</w:t>
      </w:r>
      <w:proofErr w:type="spellEnd"/>
      <w:r w:rsidRPr="00395EDA">
        <w:rPr>
          <w:rFonts w:ascii="Calibri" w:eastAsia="Calibri" w:hAnsi="Calibri" w:cs="Calibri"/>
          <w:sz w:val="24"/>
        </w:rPr>
        <w:t xml:space="preserve">, nicméně je možné využít existující instituce jako např. NRB </w:t>
      </w:r>
      <w:r w:rsidR="00091A6A">
        <w:rPr>
          <w:rFonts w:ascii="Calibri" w:eastAsia="Calibri" w:hAnsi="Calibri" w:cs="Calibri"/>
          <w:sz w:val="24"/>
        </w:rPr>
        <w:t>a další</w:t>
      </w:r>
      <w:r w:rsidRPr="00395EDA">
        <w:rPr>
          <w:rFonts w:ascii="Calibri" w:eastAsia="Calibri" w:hAnsi="Calibri" w:cs="Calibri"/>
          <w:sz w:val="24"/>
        </w:rPr>
        <w:t>.</w:t>
      </w:r>
    </w:p>
    <w:p w14:paraId="643C9E9A" w14:textId="22D2AEB3" w:rsidR="00C00277" w:rsidRDefault="00395EDA" w:rsidP="00A138A4">
      <w:pPr>
        <w:spacing w:line="276" w:lineRule="auto"/>
        <w:jc w:val="both"/>
        <w:rPr>
          <w:rFonts w:ascii="Calibri" w:eastAsia="Calibri" w:hAnsi="Calibri" w:cs="Calibri"/>
          <w:sz w:val="24"/>
        </w:rPr>
      </w:pPr>
      <w:r w:rsidRPr="00395EDA">
        <w:rPr>
          <w:rFonts w:ascii="Calibri" w:eastAsia="Calibri" w:hAnsi="Calibri" w:cs="Calibri"/>
          <w:sz w:val="24"/>
        </w:rPr>
        <w:t xml:space="preserve">Prakticky by mohl tento nástroj použít poskytovatel podpory dle </w:t>
      </w:r>
      <w:r w:rsidR="009C2B8A">
        <w:rPr>
          <w:rFonts w:ascii="Calibri" w:eastAsia="Calibri" w:hAnsi="Calibri" w:cs="Calibri"/>
          <w:sz w:val="24"/>
        </w:rPr>
        <w:t>zákona 130</w:t>
      </w:r>
      <w:r w:rsidRPr="00395EDA">
        <w:rPr>
          <w:rFonts w:ascii="Calibri" w:eastAsia="Calibri" w:hAnsi="Calibri" w:cs="Calibri"/>
          <w:sz w:val="24"/>
        </w:rPr>
        <w:t xml:space="preserve"> v kombinaci s NRB, anebo jinou institucí</w:t>
      </w:r>
      <w:r w:rsidR="00091A6A">
        <w:rPr>
          <w:rFonts w:ascii="Calibri" w:eastAsia="Calibri" w:hAnsi="Calibri" w:cs="Calibri"/>
          <w:sz w:val="24"/>
        </w:rPr>
        <w:t xml:space="preserve"> obdobného charakteru</w:t>
      </w:r>
      <w:r w:rsidRPr="00395EDA">
        <w:rPr>
          <w:rFonts w:ascii="Calibri" w:eastAsia="Calibri" w:hAnsi="Calibri" w:cs="Calibri"/>
          <w:sz w:val="24"/>
        </w:rPr>
        <w:t>.</w:t>
      </w:r>
    </w:p>
    <w:p w14:paraId="0784C19A" w14:textId="77777777" w:rsidR="00C00277" w:rsidRDefault="00C00277">
      <w:pPr>
        <w:rPr>
          <w:rFonts w:ascii="Calibri" w:eastAsia="Calibri" w:hAnsi="Calibri" w:cs="Calibri"/>
          <w:sz w:val="24"/>
        </w:rPr>
      </w:pPr>
      <w:r>
        <w:rPr>
          <w:rFonts w:ascii="Calibri" w:eastAsia="Calibri" w:hAnsi="Calibri" w:cs="Calibri"/>
          <w:sz w:val="24"/>
        </w:rPr>
        <w:br w:type="page"/>
      </w:r>
    </w:p>
    <w:p w14:paraId="6DEB910A" w14:textId="0598F76D" w:rsidR="00F32035" w:rsidRPr="00F32035" w:rsidRDefault="00F32035" w:rsidP="00A138A4">
      <w:pPr>
        <w:pStyle w:val="Odstavecseseznamem"/>
        <w:numPr>
          <w:ilvl w:val="0"/>
          <w:numId w:val="10"/>
        </w:numPr>
        <w:spacing w:line="276" w:lineRule="auto"/>
        <w:jc w:val="both"/>
      </w:pPr>
      <w:r>
        <w:rPr>
          <w:rFonts w:ascii="Calibri" w:eastAsia="Calibri" w:hAnsi="Calibri" w:cs="Calibri"/>
          <w:b/>
          <w:bCs/>
          <w:color w:val="002060"/>
          <w:sz w:val="28"/>
        </w:rPr>
        <w:lastRenderedPageBreak/>
        <w:t>Výstupy</w:t>
      </w:r>
      <w:r w:rsidRPr="00F32035">
        <w:rPr>
          <w:rFonts w:ascii="Calibri" w:eastAsia="Calibri" w:hAnsi="Calibri" w:cs="Calibri"/>
          <w:b/>
          <w:bCs/>
          <w:color w:val="002060"/>
          <w:sz w:val="28"/>
        </w:rPr>
        <w:t xml:space="preserve"> </w:t>
      </w:r>
      <w:r w:rsidR="00F656B4">
        <w:rPr>
          <w:rFonts w:ascii="Calibri" w:eastAsia="Calibri" w:hAnsi="Calibri" w:cs="Calibri"/>
          <w:b/>
          <w:bCs/>
          <w:color w:val="002060"/>
          <w:sz w:val="28"/>
        </w:rPr>
        <w:t xml:space="preserve">PSDO 2022 </w:t>
      </w:r>
      <w:r w:rsidR="0050416F">
        <w:rPr>
          <w:rFonts w:ascii="Calibri" w:eastAsia="Calibri" w:hAnsi="Calibri" w:cs="Calibri"/>
          <w:b/>
          <w:bCs/>
          <w:color w:val="002060"/>
          <w:sz w:val="28"/>
        </w:rPr>
        <w:t>k dalším finančním nástrojům</w:t>
      </w:r>
    </w:p>
    <w:p w14:paraId="374DCEC0" w14:textId="77777777" w:rsidR="00F32035" w:rsidRDefault="00F32035" w:rsidP="00A138A4">
      <w:pPr>
        <w:pStyle w:val="Odstavecseseznamem"/>
        <w:spacing w:line="276" w:lineRule="auto"/>
        <w:ind w:left="360"/>
        <w:rPr>
          <w:sz w:val="24"/>
          <w:szCs w:val="24"/>
        </w:rPr>
      </w:pPr>
    </w:p>
    <w:p w14:paraId="210855AE" w14:textId="69AA50BB" w:rsidR="001C0A07" w:rsidRPr="00FB2F9D" w:rsidRDefault="001C0A07" w:rsidP="00D957F4">
      <w:pPr>
        <w:pStyle w:val="Odstavecseseznamem"/>
        <w:spacing w:line="276" w:lineRule="auto"/>
        <w:ind w:left="0"/>
        <w:jc w:val="both"/>
        <w:rPr>
          <w:sz w:val="24"/>
          <w:szCs w:val="24"/>
        </w:rPr>
      </w:pPr>
      <w:r w:rsidRPr="00FB2F9D">
        <w:rPr>
          <w:sz w:val="24"/>
          <w:szCs w:val="24"/>
        </w:rPr>
        <w:t xml:space="preserve">PSDO </w:t>
      </w:r>
      <w:r w:rsidR="00F656B4">
        <w:rPr>
          <w:sz w:val="24"/>
          <w:szCs w:val="24"/>
        </w:rPr>
        <w:t xml:space="preserve">2022 </w:t>
      </w:r>
      <w:r w:rsidRPr="00FB2F9D">
        <w:rPr>
          <w:sz w:val="24"/>
          <w:szCs w:val="24"/>
        </w:rPr>
        <w:t xml:space="preserve">doporučuje realizovat rozšíření druhů podpory v zákoně o podpoře </w:t>
      </w:r>
      <w:proofErr w:type="spellStart"/>
      <w:r w:rsidRPr="00FB2F9D">
        <w:rPr>
          <w:sz w:val="24"/>
          <w:szCs w:val="24"/>
        </w:rPr>
        <w:t>VaV</w:t>
      </w:r>
      <w:proofErr w:type="spellEnd"/>
      <w:r w:rsidRPr="00FB2F9D">
        <w:rPr>
          <w:sz w:val="24"/>
          <w:szCs w:val="24"/>
        </w:rPr>
        <w:t xml:space="preserve"> takto:</w:t>
      </w:r>
    </w:p>
    <w:p w14:paraId="5E5CE2DF" w14:textId="1B9978B8" w:rsidR="001C0A07" w:rsidRPr="00FB2F9D" w:rsidRDefault="0050416F" w:rsidP="0050416F">
      <w:pPr>
        <w:pStyle w:val="Odstavecseseznamem"/>
        <w:numPr>
          <w:ilvl w:val="0"/>
          <w:numId w:val="7"/>
        </w:numPr>
        <w:spacing w:line="276" w:lineRule="auto"/>
        <w:jc w:val="both"/>
        <w:rPr>
          <w:sz w:val="24"/>
          <w:szCs w:val="24"/>
        </w:rPr>
      </w:pPr>
      <w:r>
        <w:rPr>
          <w:sz w:val="24"/>
          <w:szCs w:val="24"/>
        </w:rPr>
        <w:t>P</w:t>
      </w:r>
      <w:r w:rsidRPr="0050416F">
        <w:rPr>
          <w:sz w:val="24"/>
          <w:szCs w:val="24"/>
        </w:rPr>
        <w:t xml:space="preserve">řipuštění nových forem podpory </w:t>
      </w:r>
      <w:proofErr w:type="spellStart"/>
      <w:r w:rsidRPr="0050416F">
        <w:rPr>
          <w:sz w:val="24"/>
          <w:szCs w:val="24"/>
        </w:rPr>
        <w:t>VaV</w:t>
      </w:r>
      <w:proofErr w:type="spellEnd"/>
      <w:r w:rsidRPr="0050416F">
        <w:rPr>
          <w:sz w:val="24"/>
          <w:szCs w:val="24"/>
        </w:rPr>
        <w:t xml:space="preserve"> za pomoci dalších finančních nástrojů (za stávající dikce zákona lze pouze „dotace“) prostřednictvím novelizace stávajícího zákona č. 130/2002 Sb., o podpoře výzkumu, experimentálního vývoje a inovací z veřejných prostředků a reflexe těchto změn následně v „novém zákoně“</w:t>
      </w:r>
    </w:p>
    <w:p w14:paraId="44F089F0" w14:textId="50E68F0B" w:rsidR="001C0A07" w:rsidRPr="00FB2F9D" w:rsidRDefault="001C0A07" w:rsidP="00A138A4">
      <w:pPr>
        <w:pStyle w:val="Odstavecseseznamem"/>
        <w:numPr>
          <w:ilvl w:val="0"/>
          <w:numId w:val="7"/>
        </w:numPr>
        <w:spacing w:line="276" w:lineRule="auto"/>
        <w:ind w:left="756"/>
        <w:jc w:val="both"/>
        <w:rPr>
          <w:sz w:val="24"/>
          <w:szCs w:val="24"/>
        </w:rPr>
      </w:pPr>
      <w:r w:rsidRPr="00FB2F9D">
        <w:rPr>
          <w:sz w:val="24"/>
          <w:szCs w:val="24"/>
        </w:rPr>
        <w:t xml:space="preserve">Rozšíření druhů podpory by mělo být v zákoně </w:t>
      </w:r>
      <w:r w:rsidR="00FB2F9D" w:rsidRPr="00FB2F9D">
        <w:rPr>
          <w:sz w:val="24"/>
          <w:szCs w:val="24"/>
        </w:rPr>
        <w:t>obecněji definováno,</w:t>
      </w:r>
      <w:r w:rsidRPr="00FB2F9D">
        <w:rPr>
          <w:sz w:val="24"/>
          <w:szCs w:val="24"/>
        </w:rPr>
        <w:t xml:space="preserve"> nedoporučuje</w:t>
      </w:r>
      <w:r w:rsidR="00FB2F9D" w:rsidRPr="00FB2F9D">
        <w:rPr>
          <w:sz w:val="24"/>
          <w:szCs w:val="24"/>
        </w:rPr>
        <w:t xml:space="preserve"> se explicitní </w:t>
      </w:r>
      <w:r w:rsidR="0050416F" w:rsidRPr="00CA20B0">
        <w:rPr>
          <w:rFonts w:ascii="Calibri" w:eastAsia="Calibri" w:hAnsi="Calibri" w:cs="Calibri"/>
          <w:bCs/>
          <w:sz w:val="24"/>
        </w:rPr>
        <w:t>zanesení forem podpory do zákona</w:t>
      </w:r>
      <w:r w:rsidR="00FB2F9D" w:rsidRPr="00FB2F9D">
        <w:rPr>
          <w:sz w:val="24"/>
          <w:szCs w:val="24"/>
        </w:rPr>
        <w:t>.</w:t>
      </w:r>
    </w:p>
    <w:p w14:paraId="266299FD" w14:textId="7E2226A3" w:rsidR="001C0A07" w:rsidRPr="00FB2F9D" w:rsidRDefault="00FB2F9D" w:rsidP="00A138A4">
      <w:pPr>
        <w:pStyle w:val="Odstavecseseznamem"/>
        <w:numPr>
          <w:ilvl w:val="0"/>
          <w:numId w:val="7"/>
        </w:numPr>
        <w:spacing w:line="276" w:lineRule="auto"/>
        <w:ind w:left="756"/>
        <w:jc w:val="both"/>
        <w:rPr>
          <w:sz w:val="24"/>
          <w:szCs w:val="24"/>
        </w:rPr>
      </w:pPr>
      <w:r w:rsidRPr="00FB2F9D">
        <w:rPr>
          <w:sz w:val="24"/>
          <w:szCs w:val="24"/>
        </w:rPr>
        <w:t>Rozpracovat právně-legislativní podklad pro tyto druhy finančních nástrojů:</w:t>
      </w:r>
    </w:p>
    <w:p w14:paraId="7B6FDE11" w14:textId="44DD78D3" w:rsidR="00FB2F9D" w:rsidRPr="00FB2F9D" w:rsidRDefault="00FB2F9D" w:rsidP="00A138A4">
      <w:pPr>
        <w:pStyle w:val="Odstavecseseznamem"/>
        <w:numPr>
          <w:ilvl w:val="0"/>
          <w:numId w:val="8"/>
        </w:numPr>
        <w:spacing w:line="276" w:lineRule="auto"/>
        <w:ind w:left="2175"/>
        <w:jc w:val="both"/>
        <w:rPr>
          <w:sz w:val="24"/>
          <w:szCs w:val="24"/>
        </w:rPr>
      </w:pPr>
      <w:r>
        <w:rPr>
          <w:sz w:val="24"/>
          <w:szCs w:val="24"/>
        </w:rPr>
        <w:t>návratná</w:t>
      </w:r>
      <w:r w:rsidRPr="00FB2F9D">
        <w:rPr>
          <w:sz w:val="24"/>
          <w:szCs w:val="24"/>
        </w:rPr>
        <w:t xml:space="preserve"> finanční výpomoc</w:t>
      </w:r>
    </w:p>
    <w:p w14:paraId="1DA73938" w14:textId="1EF703DC" w:rsidR="00FB2F9D" w:rsidRDefault="00FB2F9D" w:rsidP="00A138A4">
      <w:pPr>
        <w:pStyle w:val="Odstavecseseznamem"/>
        <w:numPr>
          <w:ilvl w:val="0"/>
          <w:numId w:val="8"/>
        </w:numPr>
        <w:spacing w:line="276" w:lineRule="auto"/>
        <w:ind w:left="2175"/>
        <w:jc w:val="both"/>
        <w:rPr>
          <w:sz w:val="24"/>
          <w:szCs w:val="24"/>
        </w:rPr>
      </w:pPr>
      <w:r w:rsidRPr="00FB2F9D">
        <w:rPr>
          <w:sz w:val="24"/>
          <w:szCs w:val="24"/>
        </w:rPr>
        <w:t>konvertibilní půjčka</w:t>
      </w:r>
    </w:p>
    <w:p w14:paraId="055BE338" w14:textId="0B1B4FE9" w:rsidR="009C2B8A" w:rsidRDefault="009C2B8A" w:rsidP="00A138A4">
      <w:pPr>
        <w:pStyle w:val="Odstavecseseznamem"/>
        <w:numPr>
          <w:ilvl w:val="0"/>
          <w:numId w:val="8"/>
        </w:numPr>
        <w:spacing w:line="276" w:lineRule="auto"/>
        <w:ind w:left="2175"/>
        <w:jc w:val="both"/>
        <w:rPr>
          <w:sz w:val="24"/>
          <w:szCs w:val="24"/>
        </w:rPr>
      </w:pPr>
      <w:r>
        <w:rPr>
          <w:sz w:val="24"/>
          <w:szCs w:val="24"/>
        </w:rPr>
        <w:t>půjčky a záruky</w:t>
      </w:r>
    </w:p>
    <w:p w14:paraId="108ED05C" w14:textId="1DF62BB5" w:rsidR="00395EDA" w:rsidRDefault="00F660D2" w:rsidP="00A138A4">
      <w:pPr>
        <w:pStyle w:val="Odstavecseseznamem"/>
        <w:numPr>
          <w:ilvl w:val="0"/>
          <w:numId w:val="8"/>
        </w:numPr>
        <w:spacing w:line="276" w:lineRule="auto"/>
        <w:ind w:left="2175"/>
        <w:jc w:val="both"/>
        <w:rPr>
          <w:sz w:val="24"/>
          <w:szCs w:val="24"/>
        </w:rPr>
      </w:pPr>
      <w:r>
        <w:rPr>
          <w:sz w:val="24"/>
          <w:szCs w:val="24"/>
        </w:rPr>
        <w:t xml:space="preserve">a </w:t>
      </w:r>
      <w:r w:rsidR="0097496F" w:rsidRPr="00F660D2">
        <w:rPr>
          <w:sz w:val="24"/>
          <w:szCs w:val="24"/>
        </w:rPr>
        <w:t>další druhy finančních nástrojů</w:t>
      </w:r>
      <w:r>
        <w:rPr>
          <w:sz w:val="24"/>
          <w:szCs w:val="24"/>
        </w:rPr>
        <w:t xml:space="preserve"> </w:t>
      </w:r>
      <w:r w:rsidR="0097496F" w:rsidRPr="00F660D2">
        <w:rPr>
          <w:sz w:val="24"/>
          <w:szCs w:val="24"/>
        </w:rPr>
        <w:t xml:space="preserve">využitelných pro podporu </w:t>
      </w:r>
      <w:proofErr w:type="spellStart"/>
      <w:r w:rsidR="0097496F" w:rsidRPr="00F660D2">
        <w:rPr>
          <w:sz w:val="24"/>
          <w:szCs w:val="24"/>
        </w:rPr>
        <w:t>VaVaI</w:t>
      </w:r>
      <w:proofErr w:type="spellEnd"/>
      <w:r w:rsidR="00127448" w:rsidRPr="00F660D2">
        <w:rPr>
          <w:sz w:val="24"/>
          <w:szCs w:val="24"/>
        </w:rPr>
        <w:t xml:space="preserve"> (především kapitálové nástroje, fondy rizikového kapitálu,…)</w:t>
      </w:r>
      <w:r w:rsidR="0097496F" w:rsidRPr="00F660D2">
        <w:rPr>
          <w:sz w:val="24"/>
          <w:szCs w:val="24"/>
        </w:rPr>
        <w:t>, u kterých bude zapotře</w:t>
      </w:r>
      <w:r w:rsidR="00127448" w:rsidRPr="00F660D2">
        <w:rPr>
          <w:sz w:val="24"/>
          <w:szCs w:val="24"/>
        </w:rPr>
        <w:t>bí úprava legislativy nad rámec zákona 130</w:t>
      </w:r>
    </w:p>
    <w:p w14:paraId="07F77561" w14:textId="129E9030" w:rsidR="0007117D" w:rsidRPr="0007117D" w:rsidRDefault="0050416F" w:rsidP="0007117D">
      <w:pPr>
        <w:spacing w:line="276" w:lineRule="auto"/>
        <w:jc w:val="both"/>
        <w:rPr>
          <w:sz w:val="24"/>
          <w:szCs w:val="24"/>
        </w:rPr>
      </w:pPr>
      <w:r w:rsidRPr="00CA20B0">
        <w:rPr>
          <w:rFonts w:ascii="Calibri" w:eastAsia="Calibri" w:hAnsi="Calibri" w:cs="Calibri"/>
          <w:bCs/>
          <w:sz w:val="24"/>
        </w:rPr>
        <w:t xml:space="preserve">Při novelizaci příslušných souvisejících právních předpisů se doporučuje spolupracovat s resorty, </w:t>
      </w:r>
      <w:r>
        <w:rPr>
          <w:rFonts w:ascii="Calibri" w:eastAsia="Calibri" w:hAnsi="Calibri" w:cs="Calibri"/>
          <w:bCs/>
          <w:sz w:val="24"/>
        </w:rPr>
        <w:t>v </w:t>
      </w:r>
      <w:r w:rsidRPr="00CA20B0">
        <w:rPr>
          <w:rFonts w:ascii="Calibri" w:eastAsia="Calibri" w:hAnsi="Calibri" w:cs="Calibri"/>
          <w:bCs/>
          <w:sz w:val="24"/>
        </w:rPr>
        <w:t>jejichž gesci je dotčená legislativa a problematika, a přizvat odborníky na problematiku kapitálového trhu a obchodních korporací k těmto jednáním.</w:t>
      </w:r>
    </w:p>
    <w:p w14:paraId="66123205" w14:textId="77777777" w:rsidR="008B5ABF" w:rsidRDefault="008B5ABF" w:rsidP="00CA20B0">
      <w:pPr>
        <w:jc w:val="both"/>
        <w:rPr>
          <w:rFonts w:ascii="Calibri" w:eastAsia="Calibri" w:hAnsi="Calibri" w:cs="Calibri"/>
          <w:sz w:val="24"/>
        </w:rPr>
      </w:pPr>
    </w:p>
    <w:p w14:paraId="27BCCEB1" w14:textId="09FD7815" w:rsidR="00CF3D82" w:rsidRPr="00474B04" w:rsidRDefault="00CF3D82" w:rsidP="00474B04">
      <w:pPr>
        <w:pStyle w:val="Nadpis1"/>
        <w:rPr>
          <w:rFonts w:eastAsia="Calibri"/>
          <w:b/>
          <w:sz w:val="40"/>
          <w:szCs w:val="40"/>
        </w:rPr>
      </w:pPr>
      <w:r w:rsidRPr="00474B04">
        <w:rPr>
          <w:rFonts w:eastAsia="Calibri"/>
          <w:b/>
          <w:sz w:val="40"/>
          <w:szCs w:val="40"/>
        </w:rPr>
        <w:t>P</w:t>
      </w:r>
      <w:r w:rsidR="00A57F7F">
        <w:rPr>
          <w:rFonts w:eastAsia="Calibri"/>
          <w:b/>
          <w:sz w:val="40"/>
          <w:szCs w:val="40"/>
        </w:rPr>
        <w:t>řílohy</w:t>
      </w:r>
      <w:r w:rsidRPr="00474B04">
        <w:rPr>
          <w:rFonts w:eastAsia="Calibri"/>
          <w:b/>
          <w:sz w:val="40"/>
          <w:szCs w:val="40"/>
        </w:rPr>
        <w:t>:</w:t>
      </w:r>
    </w:p>
    <w:p w14:paraId="42A15B9E" w14:textId="77EE71E0" w:rsidR="00CB614F" w:rsidRDefault="00CB614F" w:rsidP="00D957F4">
      <w:pPr>
        <w:numPr>
          <w:ilvl w:val="0"/>
          <w:numId w:val="22"/>
        </w:numPr>
        <w:tabs>
          <w:tab w:val="left" w:pos="-720"/>
          <w:tab w:val="left" w:pos="0"/>
          <w:tab w:val="left" w:pos="284"/>
          <w:tab w:val="left" w:pos="1440"/>
          <w:tab w:val="left" w:pos="2160"/>
          <w:tab w:val="left" w:pos="2880"/>
          <w:tab w:val="left" w:pos="3600"/>
          <w:tab w:val="left" w:pos="4320"/>
        </w:tabs>
        <w:autoSpaceDE w:val="0"/>
        <w:autoSpaceDN w:val="0"/>
        <w:adjustRightInd w:val="0"/>
        <w:spacing w:after="0" w:line="240" w:lineRule="auto"/>
        <w:ind w:left="426"/>
        <w:rPr>
          <w:rFonts w:cstheme="minorHAnsi"/>
          <w:color w:val="000000"/>
          <w:sz w:val="24"/>
          <w:szCs w:val="24"/>
        </w:rPr>
      </w:pPr>
      <w:r w:rsidRPr="003E51BF">
        <w:rPr>
          <w:rFonts w:cstheme="minorHAnsi"/>
          <w:color w:val="000000"/>
          <w:sz w:val="24"/>
          <w:szCs w:val="24"/>
        </w:rPr>
        <w:t xml:space="preserve">Efektivnost daňových pobídek pro </w:t>
      </w:r>
      <w:proofErr w:type="spellStart"/>
      <w:r w:rsidRPr="003E51BF">
        <w:rPr>
          <w:rFonts w:cstheme="minorHAnsi"/>
          <w:color w:val="000000"/>
          <w:sz w:val="24"/>
          <w:szCs w:val="24"/>
        </w:rPr>
        <w:t>VaV_OECD</w:t>
      </w:r>
      <w:proofErr w:type="spellEnd"/>
    </w:p>
    <w:p w14:paraId="4344909E" w14:textId="0A79253A" w:rsidR="00CB614F" w:rsidRPr="00737675" w:rsidRDefault="00CB614F" w:rsidP="00D957F4">
      <w:pPr>
        <w:numPr>
          <w:ilvl w:val="0"/>
          <w:numId w:val="22"/>
        </w:numPr>
        <w:tabs>
          <w:tab w:val="left" w:pos="-720"/>
          <w:tab w:val="left" w:pos="0"/>
          <w:tab w:val="left" w:pos="284"/>
          <w:tab w:val="left" w:pos="1440"/>
          <w:tab w:val="left" w:pos="2160"/>
          <w:tab w:val="left" w:pos="2880"/>
          <w:tab w:val="left" w:pos="3600"/>
          <w:tab w:val="left" w:pos="4320"/>
        </w:tabs>
        <w:autoSpaceDE w:val="0"/>
        <w:autoSpaceDN w:val="0"/>
        <w:adjustRightInd w:val="0"/>
        <w:spacing w:after="0" w:line="240" w:lineRule="auto"/>
        <w:ind w:left="426"/>
        <w:rPr>
          <w:rFonts w:cstheme="minorHAnsi"/>
          <w:color w:val="000000"/>
          <w:sz w:val="24"/>
          <w:szCs w:val="24"/>
        </w:rPr>
      </w:pPr>
      <w:r w:rsidRPr="00BD7C4E">
        <w:rPr>
          <w:rFonts w:cstheme="minorHAnsi"/>
          <w:color w:val="000000"/>
          <w:sz w:val="24"/>
          <w:szCs w:val="24"/>
        </w:rPr>
        <w:t xml:space="preserve">Daňové odpočty </w:t>
      </w:r>
      <w:proofErr w:type="spellStart"/>
      <w:r w:rsidRPr="00BD7C4E">
        <w:rPr>
          <w:rFonts w:cstheme="minorHAnsi"/>
          <w:color w:val="000000"/>
          <w:sz w:val="24"/>
          <w:szCs w:val="24"/>
        </w:rPr>
        <w:t>brožura_CERGE</w:t>
      </w:r>
      <w:proofErr w:type="spellEnd"/>
      <w:r w:rsidRPr="00BD7C4E">
        <w:rPr>
          <w:rFonts w:cstheme="minorHAnsi"/>
          <w:color w:val="000000"/>
          <w:sz w:val="24"/>
          <w:szCs w:val="24"/>
        </w:rPr>
        <w:t>-EI</w:t>
      </w:r>
    </w:p>
    <w:p w14:paraId="1767F58A" w14:textId="2D8DD5B7" w:rsidR="00750D3A" w:rsidRDefault="00750D3A" w:rsidP="00750D3A">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cstheme="minorHAnsi"/>
          <w:color w:val="000000"/>
          <w:sz w:val="24"/>
          <w:szCs w:val="24"/>
        </w:rPr>
      </w:pPr>
    </w:p>
    <w:p w14:paraId="204A0FDE" w14:textId="77777777" w:rsidR="00750D3A" w:rsidRDefault="00750D3A" w:rsidP="00750D3A">
      <w:pPr>
        <w:rPr>
          <w:rFonts w:ascii="Calibri" w:eastAsia="Calibri" w:hAnsi="Calibri" w:cs="Calibri"/>
          <w:sz w:val="24"/>
        </w:rPr>
      </w:pPr>
    </w:p>
    <w:p w14:paraId="354C8860" w14:textId="77A7046F" w:rsidR="00750D3A" w:rsidRPr="0007117D" w:rsidRDefault="00750D3A" w:rsidP="0007117D">
      <w:pPr>
        <w:rPr>
          <w:rFonts w:ascii="Calibri" w:eastAsia="Calibri" w:hAnsi="Calibri" w:cs="Calibri"/>
          <w:sz w:val="24"/>
        </w:rPr>
      </w:pPr>
    </w:p>
    <w:sectPr w:rsidR="00750D3A" w:rsidRPr="0007117D" w:rsidSect="00F1276B">
      <w:headerReference w:type="default" r:id="rId19"/>
      <w:footerReference w:type="default" r:id="rId20"/>
      <w:pgSz w:w="11906" w:h="16838"/>
      <w:pgMar w:top="1843" w:right="1133" w:bottom="1134" w:left="1134" w:header="708" w:footer="4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B59A31" w14:textId="77777777" w:rsidR="008E3B29" w:rsidRDefault="008E3B29" w:rsidP="0008526A">
      <w:pPr>
        <w:spacing w:after="0" w:line="240" w:lineRule="auto"/>
      </w:pPr>
      <w:r>
        <w:separator/>
      </w:r>
    </w:p>
  </w:endnote>
  <w:endnote w:type="continuationSeparator" w:id="0">
    <w:p w14:paraId="14941B1B" w14:textId="77777777" w:rsidR="008E3B29" w:rsidRDefault="008E3B29" w:rsidP="000852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A705A" w14:textId="5A4879CC" w:rsidR="00C62F38" w:rsidRDefault="00C62F38">
    <w:pPr>
      <w:pStyle w:val="Zpat"/>
      <w:jc w:val="right"/>
    </w:pPr>
    <w:sdt>
      <w:sdtPr>
        <w:id w:val="-751350856"/>
        <w:docPartObj>
          <w:docPartGallery w:val="Page Numbers (Bottom of Page)"/>
          <w:docPartUnique/>
        </w:docPartObj>
      </w:sdtPr>
      <w:sdtContent>
        <w:r>
          <w:fldChar w:fldCharType="begin"/>
        </w:r>
        <w:r>
          <w:instrText>PAGE   \* MERGEFORMAT</w:instrText>
        </w:r>
        <w:r>
          <w:fldChar w:fldCharType="separate"/>
        </w:r>
        <w:r w:rsidR="00A15A0A">
          <w:rPr>
            <w:noProof/>
          </w:rPr>
          <w:t>21</w:t>
        </w:r>
        <w:r>
          <w:fldChar w:fldCharType="end"/>
        </w:r>
      </w:sdtContent>
    </w:sdt>
  </w:p>
  <w:p w14:paraId="3531CE41" w14:textId="6F352CB8" w:rsidR="00C62F38" w:rsidRPr="00CC370F" w:rsidRDefault="00C62F38" w:rsidP="00EF50B7">
    <w:pPr>
      <w:pStyle w:val="Zpat"/>
      <w:rPr>
        <w:rFonts w:ascii="Arial" w:hAnsi="Arial" w:cs="Arial"/>
        <w:sz w:val="18"/>
        <w:szCs w:val="18"/>
      </w:rPr>
    </w:pPr>
    <w:r>
      <w:rPr>
        <w:rFonts w:ascii="Arial" w:hAnsi="Arial" w:cs="Arial"/>
        <w:sz w:val="18"/>
        <w:szCs w:val="18"/>
      </w:rPr>
      <w:t>Zpracovalo oddělení finanční podpory výzkumu, vývoje a inovací ÚV ČR, dne 17. 11. 2022</w:t>
    </w:r>
  </w:p>
  <w:p w14:paraId="05C2CBFD" w14:textId="129B9B7D" w:rsidR="00C62F38" w:rsidRDefault="00C62F38" w:rsidP="00EF50B7">
    <w:pPr>
      <w:pStyle w:val="Zpat"/>
      <w:ind w:firstLine="4248"/>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80506C" w14:textId="77777777" w:rsidR="008E3B29" w:rsidRDefault="008E3B29" w:rsidP="0008526A">
      <w:pPr>
        <w:spacing w:after="0" w:line="240" w:lineRule="auto"/>
      </w:pPr>
      <w:r>
        <w:separator/>
      </w:r>
    </w:p>
  </w:footnote>
  <w:footnote w:type="continuationSeparator" w:id="0">
    <w:p w14:paraId="07280F6A" w14:textId="77777777" w:rsidR="008E3B29" w:rsidRDefault="008E3B29" w:rsidP="0008526A">
      <w:pPr>
        <w:spacing w:after="0" w:line="240" w:lineRule="auto"/>
      </w:pPr>
      <w:r>
        <w:continuationSeparator/>
      </w:r>
    </w:p>
  </w:footnote>
  <w:footnote w:id="1">
    <w:p w14:paraId="7B6FFFFC" w14:textId="77777777" w:rsidR="00C62F38" w:rsidRDefault="00C62F38" w:rsidP="00B90CC0">
      <w:pPr>
        <w:pStyle w:val="Textpoznpodarou"/>
      </w:pPr>
      <w:r>
        <w:rPr>
          <w:rStyle w:val="Znakapoznpodarou"/>
        </w:rPr>
        <w:footnoteRef/>
      </w:r>
      <w:r>
        <w:t xml:space="preserve"> Starší vydání Analýz </w:t>
      </w:r>
      <w:proofErr w:type="spellStart"/>
      <w:r>
        <w:t>VaVaI</w:t>
      </w:r>
      <w:proofErr w:type="spellEnd"/>
      <w:r>
        <w:t xml:space="preserve"> jsou uveřejněna zde: </w:t>
      </w:r>
      <w:r w:rsidRPr="004A18BB">
        <w:t>https://www.vyzkum.cz/FrontClanek.aspx?idsekce=677142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C62F38" w14:paraId="2ED7D838" w14:textId="77777777" w:rsidTr="00CB614F">
      <w:trPr>
        <w:trHeight w:val="686"/>
      </w:trPr>
      <w:tc>
        <w:tcPr>
          <w:tcW w:w="8188" w:type="dxa"/>
          <w:tcBorders>
            <w:top w:val="nil"/>
            <w:left w:val="nil"/>
            <w:bottom w:val="nil"/>
            <w:right w:val="single" w:sz="6" w:space="0" w:color="auto"/>
          </w:tcBorders>
          <w:vAlign w:val="center"/>
        </w:tcPr>
        <w:p w14:paraId="177430EE" w14:textId="09BC8C85" w:rsidR="00C62F38" w:rsidRPr="009758E5" w:rsidRDefault="00C62F38" w:rsidP="00EF50B7">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298E9F1B" wp14:editId="3605F163">
                <wp:simplePos x="0" y="0"/>
                <wp:positionH relativeFrom="column">
                  <wp:posOffset>-69215</wp:posOffset>
                </wp:positionH>
                <wp:positionV relativeFrom="paragraph">
                  <wp:posOffset>-66040</wp:posOffset>
                </wp:positionV>
                <wp:extent cx="914400" cy="276860"/>
                <wp:effectExtent l="0" t="0" r="0" b="8890"/>
                <wp:wrapNone/>
                <wp:docPr id="40" name="Obráze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400" cy="27686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5DCE4"/>
          <w:vAlign w:val="center"/>
        </w:tcPr>
        <w:p w14:paraId="5F85E610" w14:textId="0EB8DE10" w:rsidR="00C62F38" w:rsidRPr="00C12F55" w:rsidRDefault="00C62F38" w:rsidP="00EF50B7">
          <w:pPr>
            <w:pStyle w:val="Zhlav"/>
            <w:jc w:val="center"/>
            <w:rPr>
              <w:rFonts w:ascii="Arial" w:hAnsi="Arial" w:cs="Arial"/>
              <w:b/>
              <w:color w:val="0070C0"/>
              <w:sz w:val="28"/>
              <w:szCs w:val="28"/>
            </w:rPr>
          </w:pPr>
          <w:r>
            <w:rPr>
              <w:rFonts w:ascii="Arial" w:hAnsi="Arial" w:cs="Arial"/>
              <w:b/>
              <w:color w:val="0070C0"/>
              <w:sz w:val="28"/>
              <w:szCs w:val="28"/>
            </w:rPr>
            <w:t>384</w:t>
          </w:r>
          <w:r w:rsidRPr="00C12F55">
            <w:rPr>
              <w:rFonts w:ascii="Arial" w:hAnsi="Arial" w:cs="Arial"/>
              <w:b/>
              <w:color w:val="0070C0"/>
              <w:sz w:val="28"/>
              <w:szCs w:val="28"/>
            </w:rPr>
            <w:t>/</w:t>
          </w:r>
          <w:r>
            <w:rPr>
              <w:rFonts w:ascii="Arial" w:hAnsi="Arial" w:cs="Arial"/>
              <w:b/>
              <w:color w:val="0070C0"/>
              <w:sz w:val="28"/>
              <w:szCs w:val="28"/>
            </w:rPr>
            <w:t>A5</w:t>
          </w:r>
        </w:p>
      </w:tc>
    </w:tr>
  </w:tbl>
  <w:p w14:paraId="72C6CB91" w14:textId="313A4A96" w:rsidR="00C62F38" w:rsidRPr="00FA333C" w:rsidRDefault="00C62F38" w:rsidP="004259D3">
    <w:pPr>
      <w:pStyle w:val="Zhlav"/>
      <w:tabs>
        <w:tab w:val="clear" w:pos="9072"/>
        <w:tab w:val="right" w:pos="9356"/>
      </w:tabs>
      <w:rPr>
        <w:rFonts w:ascii="Calibri" w:eastAsia="Calibri" w:hAnsi="Calibri" w:cs="Calibri"/>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41C8"/>
    <w:multiLevelType w:val="hybridMultilevel"/>
    <w:tmpl w:val="8B6AD24A"/>
    <w:lvl w:ilvl="0" w:tplc="FF342F6C">
      <w:start w:val="1"/>
      <w:numFmt w:val="decimal"/>
      <w:lvlText w:val="%1."/>
      <w:lvlJc w:val="left"/>
      <w:pPr>
        <w:ind w:left="644" w:hanging="360"/>
      </w:pPr>
      <w:rPr>
        <w:rFonts w:hint="default"/>
        <w:color w:val="002060"/>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 w15:restartNumberingAfterBreak="0">
    <w:nsid w:val="048C1F4C"/>
    <w:multiLevelType w:val="hybridMultilevel"/>
    <w:tmpl w:val="6F7C54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A7D048C"/>
    <w:multiLevelType w:val="hybridMultilevel"/>
    <w:tmpl w:val="42CC0B36"/>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 w15:restartNumberingAfterBreak="0">
    <w:nsid w:val="0C816E9B"/>
    <w:multiLevelType w:val="hybridMultilevel"/>
    <w:tmpl w:val="E8B28B5E"/>
    <w:lvl w:ilvl="0" w:tplc="04050013">
      <w:start w:val="1"/>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F3431C"/>
    <w:multiLevelType w:val="hybridMultilevel"/>
    <w:tmpl w:val="DAA223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6C8744B"/>
    <w:multiLevelType w:val="hybridMultilevel"/>
    <w:tmpl w:val="51408D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C211A21"/>
    <w:multiLevelType w:val="hybridMultilevel"/>
    <w:tmpl w:val="6CA80112"/>
    <w:lvl w:ilvl="0" w:tplc="613A6A5C">
      <w:start w:val="1"/>
      <w:numFmt w:val="bullet"/>
      <w:lvlText w:val=""/>
      <w:lvlJc w:val="left"/>
      <w:pPr>
        <w:ind w:left="2138" w:hanging="360"/>
      </w:pPr>
      <w:rPr>
        <w:rFonts w:ascii="Wingdings" w:hAnsi="Wingdings" w:hint="default"/>
        <w:color w:val="002060"/>
      </w:rPr>
    </w:lvl>
    <w:lvl w:ilvl="1" w:tplc="386C0A08">
      <w:start w:val="1"/>
      <w:numFmt w:val="bullet"/>
      <w:lvlText w:val=""/>
      <w:lvlJc w:val="left"/>
      <w:pPr>
        <w:ind w:left="2858" w:hanging="360"/>
      </w:pPr>
      <w:rPr>
        <w:rFonts w:ascii="Wingdings" w:hAnsi="Wingdings" w:hint="default"/>
        <w:color w:val="002060"/>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7" w15:restartNumberingAfterBreak="0">
    <w:nsid w:val="31D025FF"/>
    <w:multiLevelType w:val="hybridMultilevel"/>
    <w:tmpl w:val="9C0ACF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2C9735C"/>
    <w:multiLevelType w:val="hybridMultilevel"/>
    <w:tmpl w:val="CA20AC80"/>
    <w:lvl w:ilvl="0" w:tplc="1C5E8B32">
      <w:start w:val="1"/>
      <w:numFmt w:val="bullet"/>
      <w:lvlText w:val=""/>
      <w:lvlJc w:val="left"/>
      <w:pPr>
        <w:ind w:left="720" w:hanging="360"/>
      </w:pPr>
      <w:rPr>
        <w:rFonts w:ascii="Wingdings" w:hAnsi="Wingdings"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5826DCA"/>
    <w:multiLevelType w:val="hybridMultilevel"/>
    <w:tmpl w:val="8F6A730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36E82292"/>
    <w:multiLevelType w:val="hybridMultilevel"/>
    <w:tmpl w:val="D8A6E0CE"/>
    <w:lvl w:ilvl="0" w:tplc="04050005">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15:restartNumberingAfterBreak="0">
    <w:nsid w:val="372548CD"/>
    <w:multiLevelType w:val="hybridMultilevel"/>
    <w:tmpl w:val="A54288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7C66C5B"/>
    <w:multiLevelType w:val="hybridMultilevel"/>
    <w:tmpl w:val="626EAE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8B8333A"/>
    <w:multiLevelType w:val="hybridMultilevel"/>
    <w:tmpl w:val="FF261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8FD7AF9"/>
    <w:multiLevelType w:val="hybridMultilevel"/>
    <w:tmpl w:val="E14809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D3D1586"/>
    <w:multiLevelType w:val="hybridMultilevel"/>
    <w:tmpl w:val="962CB24C"/>
    <w:lvl w:ilvl="0" w:tplc="0405000F">
      <w:start w:val="1"/>
      <w:numFmt w:val="decimal"/>
      <w:lvlText w:val="%1."/>
      <w:lvlJc w:val="left"/>
      <w:pPr>
        <w:ind w:left="643"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741845"/>
    <w:multiLevelType w:val="hybridMultilevel"/>
    <w:tmpl w:val="968A928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FA14680"/>
    <w:multiLevelType w:val="hybridMultilevel"/>
    <w:tmpl w:val="A8E0396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1EC2DCD"/>
    <w:multiLevelType w:val="hybridMultilevel"/>
    <w:tmpl w:val="AAD2C516"/>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43780901"/>
    <w:multiLevelType w:val="hybridMultilevel"/>
    <w:tmpl w:val="56B0F226"/>
    <w:lvl w:ilvl="0" w:tplc="94900468">
      <w:start w:val="2"/>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86770A"/>
    <w:multiLevelType w:val="hybridMultilevel"/>
    <w:tmpl w:val="BD98114A"/>
    <w:lvl w:ilvl="0" w:tplc="BFCA287C">
      <w:start w:val="1"/>
      <w:numFmt w:val="bullet"/>
      <w:lvlText w:val=""/>
      <w:lvlJc w:val="left"/>
      <w:pPr>
        <w:ind w:left="720" w:hanging="360"/>
      </w:pPr>
      <w:rPr>
        <w:rFonts w:ascii="Symbol" w:hAnsi="Symbol" w:hint="default"/>
        <w:b w:val="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DB026AB"/>
    <w:multiLevelType w:val="hybridMultilevel"/>
    <w:tmpl w:val="63B8E3EC"/>
    <w:lvl w:ilvl="0" w:tplc="04050005">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2" w15:restartNumberingAfterBreak="0">
    <w:nsid w:val="52AC52EF"/>
    <w:multiLevelType w:val="hybridMultilevel"/>
    <w:tmpl w:val="BF0CB9D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3D56B49"/>
    <w:multiLevelType w:val="hybridMultilevel"/>
    <w:tmpl w:val="5C188DEA"/>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4" w15:restartNumberingAfterBreak="0">
    <w:nsid w:val="56A06EF7"/>
    <w:multiLevelType w:val="hybridMultilevel"/>
    <w:tmpl w:val="81004622"/>
    <w:lvl w:ilvl="0" w:tplc="04050001">
      <w:start w:val="1"/>
      <w:numFmt w:val="bullet"/>
      <w:lvlText w:val=""/>
      <w:lvlJc w:val="left"/>
      <w:pPr>
        <w:ind w:left="2205" w:hanging="360"/>
      </w:pPr>
      <w:rPr>
        <w:rFonts w:ascii="Symbol" w:hAnsi="Symbol" w:hint="default"/>
      </w:rPr>
    </w:lvl>
    <w:lvl w:ilvl="1" w:tplc="04050003" w:tentative="1">
      <w:start w:val="1"/>
      <w:numFmt w:val="bullet"/>
      <w:lvlText w:val="o"/>
      <w:lvlJc w:val="left"/>
      <w:pPr>
        <w:ind w:left="2925" w:hanging="360"/>
      </w:pPr>
      <w:rPr>
        <w:rFonts w:ascii="Courier New" w:hAnsi="Courier New" w:cs="Courier New" w:hint="default"/>
      </w:rPr>
    </w:lvl>
    <w:lvl w:ilvl="2" w:tplc="04050005" w:tentative="1">
      <w:start w:val="1"/>
      <w:numFmt w:val="bullet"/>
      <w:lvlText w:val=""/>
      <w:lvlJc w:val="left"/>
      <w:pPr>
        <w:ind w:left="3645" w:hanging="360"/>
      </w:pPr>
      <w:rPr>
        <w:rFonts w:ascii="Wingdings" w:hAnsi="Wingdings" w:hint="default"/>
      </w:rPr>
    </w:lvl>
    <w:lvl w:ilvl="3" w:tplc="04050001" w:tentative="1">
      <w:start w:val="1"/>
      <w:numFmt w:val="bullet"/>
      <w:lvlText w:val=""/>
      <w:lvlJc w:val="left"/>
      <w:pPr>
        <w:ind w:left="4365" w:hanging="360"/>
      </w:pPr>
      <w:rPr>
        <w:rFonts w:ascii="Symbol" w:hAnsi="Symbol" w:hint="default"/>
      </w:rPr>
    </w:lvl>
    <w:lvl w:ilvl="4" w:tplc="04050003" w:tentative="1">
      <w:start w:val="1"/>
      <w:numFmt w:val="bullet"/>
      <w:lvlText w:val="o"/>
      <w:lvlJc w:val="left"/>
      <w:pPr>
        <w:ind w:left="5085" w:hanging="360"/>
      </w:pPr>
      <w:rPr>
        <w:rFonts w:ascii="Courier New" w:hAnsi="Courier New" w:cs="Courier New" w:hint="default"/>
      </w:rPr>
    </w:lvl>
    <w:lvl w:ilvl="5" w:tplc="04050005" w:tentative="1">
      <w:start w:val="1"/>
      <w:numFmt w:val="bullet"/>
      <w:lvlText w:val=""/>
      <w:lvlJc w:val="left"/>
      <w:pPr>
        <w:ind w:left="5805" w:hanging="360"/>
      </w:pPr>
      <w:rPr>
        <w:rFonts w:ascii="Wingdings" w:hAnsi="Wingdings" w:hint="default"/>
      </w:rPr>
    </w:lvl>
    <w:lvl w:ilvl="6" w:tplc="04050001" w:tentative="1">
      <w:start w:val="1"/>
      <w:numFmt w:val="bullet"/>
      <w:lvlText w:val=""/>
      <w:lvlJc w:val="left"/>
      <w:pPr>
        <w:ind w:left="6525" w:hanging="360"/>
      </w:pPr>
      <w:rPr>
        <w:rFonts w:ascii="Symbol" w:hAnsi="Symbol" w:hint="default"/>
      </w:rPr>
    </w:lvl>
    <w:lvl w:ilvl="7" w:tplc="04050003" w:tentative="1">
      <w:start w:val="1"/>
      <w:numFmt w:val="bullet"/>
      <w:lvlText w:val="o"/>
      <w:lvlJc w:val="left"/>
      <w:pPr>
        <w:ind w:left="7245" w:hanging="360"/>
      </w:pPr>
      <w:rPr>
        <w:rFonts w:ascii="Courier New" w:hAnsi="Courier New" w:cs="Courier New" w:hint="default"/>
      </w:rPr>
    </w:lvl>
    <w:lvl w:ilvl="8" w:tplc="04050005" w:tentative="1">
      <w:start w:val="1"/>
      <w:numFmt w:val="bullet"/>
      <w:lvlText w:val=""/>
      <w:lvlJc w:val="left"/>
      <w:pPr>
        <w:ind w:left="7965" w:hanging="360"/>
      </w:pPr>
      <w:rPr>
        <w:rFonts w:ascii="Wingdings" w:hAnsi="Wingdings" w:hint="default"/>
      </w:rPr>
    </w:lvl>
  </w:abstractNum>
  <w:abstractNum w:abstractNumId="25" w15:restartNumberingAfterBreak="0">
    <w:nsid w:val="58241AFA"/>
    <w:multiLevelType w:val="hybridMultilevel"/>
    <w:tmpl w:val="407436F6"/>
    <w:lvl w:ilvl="0" w:tplc="A3A43F64">
      <w:start w:val="1"/>
      <w:numFmt w:val="upperRoman"/>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B0513EC"/>
    <w:multiLevelType w:val="hybridMultilevel"/>
    <w:tmpl w:val="EE46B9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E775579"/>
    <w:multiLevelType w:val="hybridMultilevel"/>
    <w:tmpl w:val="DACC7C46"/>
    <w:lvl w:ilvl="0" w:tplc="26E6A550">
      <w:start w:val="1"/>
      <w:numFmt w:val="decimal"/>
      <w:lvlText w:val="%1."/>
      <w:lvlJc w:val="left"/>
      <w:pPr>
        <w:ind w:left="360" w:hanging="360"/>
      </w:pPr>
      <w:rPr>
        <w:b/>
        <w:color w:val="002060"/>
        <w:sz w:val="28"/>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5857989"/>
    <w:multiLevelType w:val="hybridMultilevel"/>
    <w:tmpl w:val="B7888622"/>
    <w:lvl w:ilvl="0" w:tplc="2B8E356E">
      <w:start w:val="1"/>
      <w:numFmt w:val="bullet"/>
      <w:lvlText w:val=""/>
      <w:lvlJc w:val="left"/>
      <w:pPr>
        <w:ind w:left="321" w:hanging="360"/>
      </w:pPr>
      <w:rPr>
        <w:rFonts w:ascii="Wingdings" w:hAnsi="Wingdings" w:hint="default"/>
        <w:color w:val="auto"/>
      </w:rPr>
    </w:lvl>
    <w:lvl w:ilvl="1" w:tplc="04050003" w:tentative="1">
      <w:start w:val="1"/>
      <w:numFmt w:val="bullet"/>
      <w:lvlText w:val="o"/>
      <w:lvlJc w:val="left"/>
      <w:pPr>
        <w:ind w:left="1041" w:hanging="360"/>
      </w:pPr>
      <w:rPr>
        <w:rFonts w:ascii="Courier New" w:hAnsi="Courier New" w:cs="Courier New" w:hint="default"/>
      </w:rPr>
    </w:lvl>
    <w:lvl w:ilvl="2" w:tplc="04050005" w:tentative="1">
      <w:start w:val="1"/>
      <w:numFmt w:val="bullet"/>
      <w:lvlText w:val=""/>
      <w:lvlJc w:val="left"/>
      <w:pPr>
        <w:ind w:left="1761" w:hanging="360"/>
      </w:pPr>
      <w:rPr>
        <w:rFonts w:ascii="Wingdings" w:hAnsi="Wingdings" w:hint="default"/>
      </w:rPr>
    </w:lvl>
    <w:lvl w:ilvl="3" w:tplc="04050001" w:tentative="1">
      <w:start w:val="1"/>
      <w:numFmt w:val="bullet"/>
      <w:lvlText w:val=""/>
      <w:lvlJc w:val="left"/>
      <w:pPr>
        <w:ind w:left="2481" w:hanging="360"/>
      </w:pPr>
      <w:rPr>
        <w:rFonts w:ascii="Symbol" w:hAnsi="Symbol" w:hint="default"/>
      </w:rPr>
    </w:lvl>
    <w:lvl w:ilvl="4" w:tplc="04050003" w:tentative="1">
      <w:start w:val="1"/>
      <w:numFmt w:val="bullet"/>
      <w:lvlText w:val="o"/>
      <w:lvlJc w:val="left"/>
      <w:pPr>
        <w:ind w:left="3201" w:hanging="360"/>
      </w:pPr>
      <w:rPr>
        <w:rFonts w:ascii="Courier New" w:hAnsi="Courier New" w:cs="Courier New" w:hint="default"/>
      </w:rPr>
    </w:lvl>
    <w:lvl w:ilvl="5" w:tplc="04050005" w:tentative="1">
      <w:start w:val="1"/>
      <w:numFmt w:val="bullet"/>
      <w:lvlText w:val=""/>
      <w:lvlJc w:val="left"/>
      <w:pPr>
        <w:ind w:left="3921" w:hanging="360"/>
      </w:pPr>
      <w:rPr>
        <w:rFonts w:ascii="Wingdings" w:hAnsi="Wingdings" w:hint="default"/>
      </w:rPr>
    </w:lvl>
    <w:lvl w:ilvl="6" w:tplc="04050001" w:tentative="1">
      <w:start w:val="1"/>
      <w:numFmt w:val="bullet"/>
      <w:lvlText w:val=""/>
      <w:lvlJc w:val="left"/>
      <w:pPr>
        <w:ind w:left="4641" w:hanging="360"/>
      </w:pPr>
      <w:rPr>
        <w:rFonts w:ascii="Symbol" w:hAnsi="Symbol" w:hint="default"/>
      </w:rPr>
    </w:lvl>
    <w:lvl w:ilvl="7" w:tplc="04050003" w:tentative="1">
      <w:start w:val="1"/>
      <w:numFmt w:val="bullet"/>
      <w:lvlText w:val="o"/>
      <w:lvlJc w:val="left"/>
      <w:pPr>
        <w:ind w:left="5361" w:hanging="360"/>
      </w:pPr>
      <w:rPr>
        <w:rFonts w:ascii="Courier New" w:hAnsi="Courier New" w:cs="Courier New" w:hint="default"/>
      </w:rPr>
    </w:lvl>
    <w:lvl w:ilvl="8" w:tplc="04050005" w:tentative="1">
      <w:start w:val="1"/>
      <w:numFmt w:val="bullet"/>
      <w:lvlText w:val=""/>
      <w:lvlJc w:val="left"/>
      <w:pPr>
        <w:ind w:left="6081" w:hanging="360"/>
      </w:pPr>
      <w:rPr>
        <w:rFonts w:ascii="Wingdings" w:hAnsi="Wingdings" w:hint="default"/>
      </w:rPr>
    </w:lvl>
  </w:abstractNum>
  <w:abstractNum w:abstractNumId="29" w15:restartNumberingAfterBreak="0">
    <w:nsid w:val="694B262F"/>
    <w:multiLevelType w:val="hybridMultilevel"/>
    <w:tmpl w:val="50C6335E"/>
    <w:lvl w:ilvl="0" w:tplc="09CC2F76">
      <w:start w:val="2"/>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C2B0AB7"/>
    <w:multiLevelType w:val="hybridMultilevel"/>
    <w:tmpl w:val="6F06C2AE"/>
    <w:lvl w:ilvl="0" w:tplc="BE986724">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1" w15:restartNumberingAfterBreak="0">
    <w:nsid w:val="6D4256E1"/>
    <w:multiLevelType w:val="hybridMultilevel"/>
    <w:tmpl w:val="7004BF8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F5B44BC"/>
    <w:multiLevelType w:val="hybridMultilevel"/>
    <w:tmpl w:val="E14809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2F61683"/>
    <w:multiLevelType w:val="hybridMultilevel"/>
    <w:tmpl w:val="92183628"/>
    <w:lvl w:ilvl="0" w:tplc="04050001">
      <w:start w:val="1"/>
      <w:numFmt w:val="bullet"/>
      <w:lvlText w:val=""/>
      <w:lvlJc w:val="left"/>
      <w:pPr>
        <w:ind w:left="1789" w:hanging="360"/>
      </w:pPr>
      <w:rPr>
        <w:rFonts w:ascii="Symbol" w:hAnsi="Symbol"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num w:numId="1">
    <w:abstractNumId w:val="5"/>
  </w:num>
  <w:num w:numId="2">
    <w:abstractNumId w:val="25"/>
  </w:num>
  <w:num w:numId="3">
    <w:abstractNumId w:val="1"/>
  </w:num>
  <w:num w:numId="4">
    <w:abstractNumId w:val="20"/>
  </w:num>
  <w:num w:numId="5">
    <w:abstractNumId w:val="23"/>
  </w:num>
  <w:num w:numId="6">
    <w:abstractNumId w:val="9"/>
  </w:num>
  <w:num w:numId="7">
    <w:abstractNumId w:val="2"/>
  </w:num>
  <w:num w:numId="8">
    <w:abstractNumId w:val="24"/>
  </w:num>
  <w:num w:numId="9">
    <w:abstractNumId w:val="12"/>
  </w:num>
  <w:num w:numId="10">
    <w:abstractNumId w:val="27"/>
  </w:num>
  <w:num w:numId="11">
    <w:abstractNumId w:val="18"/>
  </w:num>
  <w:num w:numId="12">
    <w:abstractNumId w:val="3"/>
  </w:num>
  <w:num w:numId="13">
    <w:abstractNumId w:val="15"/>
  </w:num>
  <w:num w:numId="14">
    <w:abstractNumId w:val="31"/>
  </w:num>
  <w:num w:numId="15">
    <w:abstractNumId w:val="22"/>
  </w:num>
  <w:num w:numId="16">
    <w:abstractNumId w:val="13"/>
  </w:num>
  <w:num w:numId="17">
    <w:abstractNumId w:val="0"/>
  </w:num>
  <w:num w:numId="18">
    <w:abstractNumId w:val="10"/>
  </w:num>
  <w:num w:numId="19">
    <w:abstractNumId w:val="28"/>
  </w:num>
  <w:num w:numId="20">
    <w:abstractNumId w:val="6"/>
  </w:num>
  <w:num w:numId="21">
    <w:abstractNumId w:val="8"/>
  </w:num>
  <w:num w:numId="22">
    <w:abstractNumId w:val="21"/>
  </w:num>
  <w:num w:numId="23">
    <w:abstractNumId w:val="16"/>
  </w:num>
  <w:num w:numId="24">
    <w:abstractNumId w:val="7"/>
  </w:num>
  <w:num w:numId="25">
    <w:abstractNumId w:val="17"/>
  </w:num>
  <w:num w:numId="26">
    <w:abstractNumId w:val="19"/>
  </w:num>
  <w:num w:numId="27">
    <w:abstractNumId w:val="29"/>
  </w:num>
  <w:num w:numId="28">
    <w:abstractNumId w:val="14"/>
  </w:num>
  <w:num w:numId="29">
    <w:abstractNumId w:val="30"/>
  </w:num>
  <w:num w:numId="30">
    <w:abstractNumId w:val="33"/>
  </w:num>
  <w:num w:numId="31">
    <w:abstractNumId w:val="11"/>
  </w:num>
  <w:num w:numId="32">
    <w:abstractNumId w:val="4"/>
  </w:num>
  <w:num w:numId="33">
    <w:abstractNumId w:val="32"/>
  </w:num>
  <w:num w:numId="34">
    <w:abstractNumId w:val="2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4AB"/>
    <w:rsid w:val="00000314"/>
    <w:rsid w:val="00006CC1"/>
    <w:rsid w:val="00007334"/>
    <w:rsid w:val="00013742"/>
    <w:rsid w:val="000161FC"/>
    <w:rsid w:val="00020A61"/>
    <w:rsid w:val="00022362"/>
    <w:rsid w:val="000230EE"/>
    <w:rsid w:val="0002536C"/>
    <w:rsid w:val="000304A5"/>
    <w:rsid w:val="00030F03"/>
    <w:rsid w:val="00036B76"/>
    <w:rsid w:val="000461B6"/>
    <w:rsid w:val="000612AD"/>
    <w:rsid w:val="00062F7C"/>
    <w:rsid w:val="00063E4D"/>
    <w:rsid w:val="00067559"/>
    <w:rsid w:val="0007117D"/>
    <w:rsid w:val="00072E17"/>
    <w:rsid w:val="00073B2A"/>
    <w:rsid w:val="0008526A"/>
    <w:rsid w:val="00086645"/>
    <w:rsid w:val="00091A6A"/>
    <w:rsid w:val="0009288D"/>
    <w:rsid w:val="00093DD0"/>
    <w:rsid w:val="000A2A76"/>
    <w:rsid w:val="000B0289"/>
    <w:rsid w:val="000B78A8"/>
    <w:rsid w:val="000C1B42"/>
    <w:rsid w:val="000C4B72"/>
    <w:rsid w:val="000C4D9F"/>
    <w:rsid w:val="000D6B1F"/>
    <w:rsid w:val="000D7F02"/>
    <w:rsid w:val="000E502C"/>
    <w:rsid w:val="000E5361"/>
    <w:rsid w:val="000E576C"/>
    <w:rsid w:val="000F3FC7"/>
    <w:rsid w:val="000F6658"/>
    <w:rsid w:val="000F79F3"/>
    <w:rsid w:val="0010211F"/>
    <w:rsid w:val="001042EE"/>
    <w:rsid w:val="00106954"/>
    <w:rsid w:val="00106F56"/>
    <w:rsid w:val="00115A13"/>
    <w:rsid w:val="00117F9F"/>
    <w:rsid w:val="00122BF2"/>
    <w:rsid w:val="00127448"/>
    <w:rsid w:val="00136606"/>
    <w:rsid w:val="00145127"/>
    <w:rsid w:val="00145A87"/>
    <w:rsid w:val="00145FE9"/>
    <w:rsid w:val="0014611A"/>
    <w:rsid w:val="00156C2E"/>
    <w:rsid w:val="00167E55"/>
    <w:rsid w:val="00172367"/>
    <w:rsid w:val="00173910"/>
    <w:rsid w:val="00174377"/>
    <w:rsid w:val="00182DD0"/>
    <w:rsid w:val="00184DD4"/>
    <w:rsid w:val="001857D6"/>
    <w:rsid w:val="001A2039"/>
    <w:rsid w:val="001A4BBF"/>
    <w:rsid w:val="001A4E27"/>
    <w:rsid w:val="001B00FE"/>
    <w:rsid w:val="001B6EBA"/>
    <w:rsid w:val="001C0A07"/>
    <w:rsid w:val="001D2F8F"/>
    <w:rsid w:val="001E0C0D"/>
    <w:rsid w:val="001F5009"/>
    <w:rsid w:val="001F5B66"/>
    <w:rsid w:val="00202C2B"/>
    <w:rsid w:val="002118B2"/>
    <w:rsid w:val="002138D1"/>
    <w:rsid w:val="00213EC8"/>
    <w:rsid w:val="0022062A"/>
    <w:rsid w:val="002243CB"/>
    <w:rsid w:val="002279E8"/>
    <w:rsid w:val="00234969"/>
    <w:rsid w:val="00236267"/>
    <w:rsid w:val="00241665"/>
    <w:rsid w:val="00242164"/>
    <w:rsid w:val="00242C08"/>
    <w:rsid w:val="00244DD5"/>
    <w:rsid w:val="00250510"/>
    <w:rsid w:val="002603F4"/>
    <w:rsid w:val="00260ADB"/>
    <w:rsid w:val="00260F1C"/>
    <w:rsid w:val="00263E9D"/>
    <w:rsid w:val="00265777"/>
    <w:rsid w:val="00265905"/>
    <w:rsid w:val="00277BEE"/>
    <w:rsid w:val="0028057C"/>
    <w:rsid w:val="002832F8"/>
    <w:rsid w:val="002856B1"/>
    <w:rsid w:val="0028664E"/>
    <w:rsid w:val="002938DB"/>
    <w:rsid w:val="002A07DB"/>
    <w:rsid w:val="002A2686"/>
    <w:rsid w:val="002A63E9"/>
    <w:rsid w:val="002A7069"/>
    <w:rsid w:val="002C04A0"/>
    <w:rsid w:val="002C6F46"/>
    <w:rsid w:val="002C7729"/>
    <w:rsid w:val="002C796E"/>
    <w:rsid w:val="002D45C0"/>
    <w:rsid w:val="002D4F67"/>
    <w:rsid w:val="002E24AF"/>
    <w:rsid w:val="002E7FBD"/>
    <w:rsid w:val="002F53F5"/>
    <w:rsid w:val="00302FF1"/>
    <w:rsid w:val="00307429"/>
    <w:rsid w:val="0031455B"/>
    <w:rsid w:val="00314D99"/>
    <w:rsid w:val="00316126"/>
    <w:rsid w:val="00321ABF"/>
    <w:rsid w:val="003239E3"/>
    <w:rsid w:val="003424C4"/>
    <w:rsid w:val="00352402"/>
    <w:rsid w:val="00357A3A"/>
    <w:rsid w:val="00362121"/>
    <w:rsid w:val="00367847"/>
    <w:rsid w:val="0037543F"/>
    <w:rsid w:val="00383532"/>
    <w:rsid w:val="00384A5D"/>
    <w:rsid w:val="00390DF5"/>
    <w:rsid w:val="00392276"/>
    <w:rsid w:val="0039578A"/>
    <w:rsid w:val="00395EDA"/>
    <w:rsid w:val="003975E6"/>
    <w:rsid w:val="003A6A3E"/>
    <w:rsid w:val="003B47BA"/>
    <w:rsid w:val="003C47ED"/>
    <w:rsid w:val="003C5F47"/>
    <w:rsid w:val="003D151F"/>
    <w:rsid w:val="003E16B6"/>
    <w:rsid w:val="003E7CE0"/>
    <w:rsid w:val="003F50BA"/>
    <w:rsid w:val="00401FDF"/>
    <w:rsid w:val="00404B7D"/>
    <w:rsid w:val="00421274"/>
    <w:rsid w:val="004259D3"/>
    <w:rsid w:val="00445507"/>
    <w:rsid w:val="00445E6A"/>
    <w:rsid w:val="0045140A"/>
    <w:rsid w:val="004535E1"/>
    <w:rsid w:val="00454FA7"/>
    <w:rsid w:val="00467179"/>
    <w:rsid w:val="00472050"/>
    <w:rsid w:val="004747F7"/>
    <w:rsid w:val="00474B04"/>
    <w:rsid w:val="00476024"/>
    <w:rsid w:val="004767A9"/>
    <w:rsid w:val="00480BD5"/>
    <w:rsid w:val="004958DF"/>
    <w:rsid w:val="004A1DAE"/>
    <w:rsid w:val="004A293D"/>
    <w:rsid w:val="004B7528"/>
    <w:rsid w:val="004C074A"/>
    <w:rsid w:val="004D094F"/>
    <w:rsid w:val="004D29F8"/>
    <w:rsid w:val="004D3CE0"/>
    <w:rsid w:val="004E4479"/>
    <w:rsid w:val="004E7E53"/>
    <w:rsid w:val="00503863"/>
    <w:rsid w:val="0050416F"/>
    <w:rsid w:val="0050785A"/>
    <w:rsid w:val="00512700"/>
    <w:rsid w:val="0051298D"/>
    <w:rsid w:val="00513B78"/>
    <w:rsid w:val="005157DD"/>
    <w:rsid w:val="00523EE7"/>
    <w:rsid w:val="00526623"/>
    <w:rsid w:val="00527273"/>
    <w:rsid w:val="00527EF6"/>
    <w:rsid w:val="00532400"/>
    <w:rsid w:val="005379DA"/>
    <w:rsid w:val="00543515"/>
    <w:rsid w:val="00545694"/>
    <w:rsid w:val="00553C06"/>
    <w:rsid w:val="00554493"/>
    <w:rsid w:val="00556A50"/>
    <w:rsid w:val="005576E4"/>
    <w:rsid w:val="005609F5"/>
    <w:rsid w:val="00564696"/>
    <w:rsid w:val="00564B91"/>
    <w:rsid w:val="005667C1"/>
    <w:rsid w:val="00574F58"/>
    <w:rsid w:val="00575949"/>
    <w:rsid w:val="005764A9"/>
    <w:rsid w:val="005821CD"/>
    <w:rsid w:val="005823FF"/>
    <w:rsid w:val="0059356F"/>
    <w:rsid w:val="005A0EAC"/>
    <w:rsid w:val="005A158A"/>
    <w:rsid w:val="005A3A23"/>
    <w:rsid w:val="005A56B7"/>
    <w:rsid w:val="005B40EA"/>
    <w:rsid w:val="005B78E0"/>
    <w:rsid w:val="005C00A3"/>
    <w:rsid w:val="005C0AD8"/>
    <w:rsid w:val="005C2A63"/>
    <w:rsid w:val="005C4815"/>
    <w:rsid w:val="005C55A3"/>
    <w:rsid w:val="005C6026"/>
    <w:rsid w:val="005C7185"/>
    <w:rsid w:val="005D1941"/>
    <w:rsid w:val="005E101F"/>
    <w:rsid w:val="005E48A4"/>
    <w:rsid w:val="005E5CD2"/>
    <w:rsid w:val="005F2B77"/>
    <w:rsid w:val="0060425A"/>
    <w:rsid w:val="00604673"/>
    <w:rsid w:val="00612A81"/>
    <w:rsid w:val="00617599"/>
    <w:rsid w:val="0062243F"/>
    <w:rsid w:val="006313C6"/>
    <w:rsid w:val="00631E3F"/>
    <w:rsid w:val="006510EA"/>
    <w:rsid w:val="00656F3D"/>
    <w:rsid w:val="006614D9"/>
    <w:rsid w:val="00663A2D"/>
    <w:rsid w:val="00664EBA"/>
    <w:rsid w:val="006658D7"/>
    <w:rsid w:val="00671B31"/>
    <w:rsid w:val="00674FAB"/>
    <w:rsid w:val="006769C5"/>
    <w:rsid w:val="00676BED"/>
    <w:rsid w:val="00677122"/>
    <w:rsid w:val="0068192A"/>
    <w:rsid w:val="00692FD0"/>
    <w:rsid w:val="00695E6C"/>
    <w:rsid w:val="0069605B"/>
    <w:rsid w:val="006A1F38"/>
    <w:rsid w:val="006A2DA5"/>
    <w:rsid w:val="006A5B14"/>
    <w:rsid w:val="006A7703"/>
    <w:rsid w:val="006A7760"/>
    <w:rsid w:val="006B0515"/>
    <w:rsid w:val="006B0B17"/>
    <w:rsid w:val="006B6AF0"/>
    <w:rsid w:val="006B7D96"/>
    <w:rsid w:val="006C0109"/>
    <w:rsid w:val="006C073F"/>
    <w:rsid w:val="006C2606"/>
    <w:rsid w:val="006C2B5D"/>
    <w:rsid w:val="006C3CCD"/>
    <w:rsid w:val="006D7F61"/>
    <w:rsid w:val="006F0F2E"/>
    <w:rsid w:val="006F416F"/>
    <w:rsid w:val="006F6656"/>
    <w:rsid w:val="006F7E4C"/>
    <w:rsid w:val="00700DFF"/>
    <w:rsid w:val="00703ACF"/>
    <w:rsid w:val="007219A4"/>
    <w:rsid w:val="007303B0"/>
    <w:rsid w:val="007319E1"/>
    <w:rsid w:val="00733C2F"/>
    <w:rsid w:val="007372D5"/>
    <w:rsid w:val="00737936"/>
    <w:rsid w:val="00737D72"/>
    <w:rsid w:val="007405DF"/>
    <w:rsid w:val="00741C89"/>
    <w:rsid w:val="007421FF"/>
    <w:rsid w:val="00742328"/>
    <w:rsid w:val="00750D3A"/>
    <w:rsid w:val="00755025"/>
    <w:rsid w:val="0076491D"/>
    <w:rsid w:val="007668C1"/>
    <w:rsid w:val="00772A12"/>
    <w:rsid w:val="0077502F"/>
    <w:rsid w:val="00775B24"/>
    <w:rsid w:val="00777570"/>
    <w:rsid w:val="0078013D"/>
    <w:rsid w:val="00785962"/>
    <w:rsid w:val="00786572"/>
    <w:rsid w:val="00786FD9"/>
    <w:rsid w:val="00787D4C"/>
    <w:rsid w:val="00793DFA"/>
    <w:rsid w:val="007A4941"/>
    <w:rsid w:val="007B228B"/>
    <w:rsid w:val="007C3B34"/>
    <w:rsid w:val="007C5F36"/>
    <w:rsid w:val="007C7AD9"/>
    <w:rsid w:val="007D66BA"/>
    <w:rsid w:val="007E08CE"/>
    <w:rsid w:val="007E3E2B"/>
    <w:rsid w:val="007F035E"/>
    <w:rsid w:val="007F0BA4"/>
    <w:rsid w:val="007F18A1"/>
    <w:rsid w:val="007F2CBE"/>
    <w:rsid w:val="00800314"/>
    <w:rsid w:val="0080142B"/>
    <w:rsid w:val="008158DB"/>
    <w:rsid w:val="00831BB7"/>
    <w:rsid w:val="0083244A"/>
    <w:rsid w:val="00832DF5"/>
    <w:rsid w:val="00850252"/>
    <w:rsid w:val="00850574"/>
    <w:rsid w:val="00853AC9"/>
    <w:rsid w:val="00853B9F"/>
    <w:rsid w:val="00860AAF"/>
    <w:rsid w:val="00862534"/>
    <w:rsid w:val="00864884"/>
    <w:rsid w:val="00873E49"/>
    <w:rsid w:val="0087627E"/>
    <w:rsid w:val="00881FD7"/>
    <w:rsid w:val="0089055A"/>
    <w:rsid w:val="0089418A"/>
    <w:rsid w:val="0089742E"/>
    <w:rsid w:val="008A0F2F"/>
    <w:rsid w:val="008A1E43"/>
    <w:rsid w:val="008A2368"/>
    <w:rsid w:val="008A2B53"/>
    <w:rsid w:val="008A3286"/>
    <w:rsid w:val="008B5ABF"/>
    <w:rsid w:val="008C3025"/>
    <w:rsid w:val="008C354B"/>
    <w:rsid w:val="008C619D"/>
    <w:rsid w:val="008C7D25"/>
    <w:rsid w:val="008D18F1"/>
    <w:rsid w:val="008D25AB"/>
    <w:rsid w:val="008D34D1"/>
    <w:rsid w:val="008D5D86"/>
    <w:rsid w:val="008E0D6B"/>
    <w:rsid w:val="008E237A"/>
    <w:rsid w:val="008E3B29"/>
    <w:rsid w:val="008F7579"/>
    <w:rsid w:val="008F7E9E"/>
    <w:rsid w:val="00902662"/>
    <w:rsid w:val="00904124"/>
    <w:rsid w:val="009105C4"/>
    <w:rsid w:val="00914A41"/>
    <w:rsid w:val="00915254"/>
    <w:rsid w:val="00921E40"/>
    <w:rsid w:val="0092358B"/>
    <w:rsid w:val="00924FB4"/>
    <w:rsid w:val="00936A13"/>
    <w:rsid w:val="009428AD"/>
    <w:rsid w:val="00946C78"/>
    <w:rsid w:val="00947E20"/>
    <w:rsid w:val="0095286A"/>
    <w:rsid w:val="00956EAE"/>
    <w:rsid w:val="00960F5F"/>
    <w:rsid w:val="00963423"/>
    <w:rsid w:val="00967C59"/>
    <w:rsid w:val="0097496F"/>
    <w:rsid w:val="00974E17"/>
    <w:rsid w:val="009759D0"/>
    <w:rsid w:val="0098184B"/>
    <w:rsid w:val="00985CCD"/>
    <w:rsid w:val="009905E6"/>
    <w:rsid w:val="009A4CE6"/>
    <w:rsid w:val="009A52FF"/>
    <w:rsid w:val="009A6282"/>
    <w:rsid w:val="009B16CB"/>
    <w:rsid w:val="009B23BE"/>
    <w:rsid w:val="009B335B"/>
    <w:rsid w:val="009B4E58"/>
    <w:rsid w:val="009B6731"/>
    <w:rsid w:val="009C12CE"/>
    <w:rsid w:val="009C1CFD"/>
    <w:rsid w:val="009C2B8A"/>
    <w:rsid w:val="009E255D"/>
    <w:rsid w:val="009E41F0"/>
    <w:rsid w:val="009E6C52"/>
    <w:rsid w:val="009E7B48"/>
    <w:rsid w:val="009F11AA"/>
    <w:rsid w:val="009F7653"/>
    <w:rsid w:val="00A04E61"/>
    <w:rsid w:val="00A138A4"/>
    <w:rsid w:val="00A15A0A"/>
    <w:rsid w:val="00A21A32"/>
    <w:rsid w:val="00A2698E"/>
    <w:rsid w:val="00A349E7"/>
    <w:rsid w:val="00A37673"/>
    <w:rsid w:val="00A44BF3"/>
    <w:rsid w:val="00A52BC4"/>
    <w:rsid w:val="00A55AEC"/>
    <w:rsid w:val="00A57F7F"/>
    <w:rsid w:val="00A6543A"/>
    <w:rsid w:val="00A66B59"/>
    <w:rsid w:val="00A67DA9"/>
    <w:rsid w:val="00A750F2"/>
    <w:rsid w:val="00A81DA6"/>
    <w:rsid w:val="00A82818"/>
    <w:rsid w:val="00A84379"/>
    <w:rsid w:val="00A86CFB"/>
    <w:rsid w:val="00A87792"/>
    <w:rsid w:val="00A92CC1"/>
    <w:rsid w:val="00A950AF"/>
    <w:rsid w:val="00A963AC"/>
    <w:rsid w:val="00AA06E2"/>
    <w:rsid w:val="00AA725B"/>
    <w:rsid w:val="00AB047A"/>
    <w:rsid w:val="00AB6C8E"/>
    <w:rsid w:val="00AB762E"/>
    <w:rsid w:val="00AC0DA2"/>
    <w:rsid w:val="00AD6890"/>
    <w:rsid w:val="00AE4E34"/>
    <w:rsid w:val="00AF0B36"/>
    <w:rsid w:val="00AF2250"/>
    <w:rsid w:val="00AF2FEF"/>
    <w:rsid w:val="00AF6A1A"/>
    <w:rsid w:val="00B03560"/>
    <w:rsid w:val="00B14FC4"/>
    <w:rsid w:val="00B231D9"/>
    <w:rsid w:val="00B27D22"/>
    <w:rsid w:val="00B30556"/>
    <w:rsid w:val="00B30640"/>
    <w:rsid w:val="00B32664"/>
    <w:rsid w:val="00B36100"/>
    <w:rsid w:val="00B44276"/>
    <w:rsid w:val="00B4705A"/>
    <w:rsid w:val="00B51306"/>
    <w:rsid w:val="00B5263E"/>
    <w:rsid w:val="00B54FE9"/>
    <w:rsid w:val="00B6040D"/>
    <w:rsid w:val="00B613DA"/>
    <w:rsid w:val="00B64F3E"/>
    <w:rsid w:val="00B66AF0"/>
    <w:rsid w:val="00B67343"/>
    <w:rsid w:val="00B72A55"/>
    <w:rsid w:val="00B73B24"/>
    <w:rsid w:val="00B76C14"/>
    <w:rsid w:val="00B873B9"/>
    <w:rsid w:val="00B90CC0"/>
    <w:rsid w:val="00B91BB4"/>
    <w:rsid w:val="00B934B8"/>
    <w:rsid w:val="00B9588D"/>
    <w:rsid w:val="00BA2424"/>
    <w:rsid w:val="00BA263A"/>
    <w:rsid w:val="00BA2885"/>
    <w:rsid w:val="00BA76F8"/>
    <w:rsid w:val="00BB1AF6"/>
    <w:rsid w:val="00BB3881"/>
    <w:rsid w:val="00BC0ED5"/>
    <w:rsid w:val="00BC2EA0"/>
    <w:rsid w:val="00BD3FE9"/>
    <w:rsid w:val="00BD4E19"/>
    <w:rsid w:val="00BE2589"/>
    <w:rsid w:val="00BE2807"/>
    <w:rsid w:val="00BE4CA9"/>
    <w:rsid w:val="00BE60CD"/>
    <w:rsid w:val="00BF2AA1"/>
    <w:rsid w:val="00BF2AB5"/>
    <w:rsid w:val="00BF4812"/>
    <w:rsid w:val="00BF4AAB"/>
    <w:rsid w:val="00C00277"/>
    <w:rsid w:val="00C027A6"/>
    <w:rsid w:val="00C04181"/>
    <w:rsid w:val="00C04B86"/>
    <w:rsid w:val="00C0653C"/>
    <w:rsid w:val="00C22554"/>
    <w:rsid w:val="00C23D3C"/>
    <w:rsid w:val="00C32826"/>
    <w:rsid w:val="00C375BB"/>
    <w:rsid w:val="00C41DB7"/>
    <w:rsid w:val="00C4299D"/>
    <w:rsid w:val="00C42BF5"/>
    <w:rsid w:val="00C431B8"/>
    <w:rsid w:val="00C44A24"/>
    <w:rsid w:val="00C51349"/>
    <w:rsid w:val="00C5639F"/>
    <w:rsid w:val="00C56E76"/>
    <w:rsid w:val="00C60AB5"/>
    <w:rsid w:val="00C62F38"/>
    <w:rsid w:val="00C74511"/>
    <w:rsid w:val="00C74BDA"/>
    <w:rsid w:val="00C74D36"/>
    <w:rsid w:val="00C754FA"/>
    <w:rsid w:val="00C762D1"/>
    <w:rsid w:val="00C8053E"/>
    <w:rsid w:val="00C84C55"/>
    <w:rsid w:val="00C853BF"/>
    <w:rsid w:val="00C8747D"/>
    <w:rsid w:val="00C87510"/>
    <w:rsid w:val="00C923E9"/>
    <w:rsid w:val="00C931A5"/>
    <w:rsid w:val="00C947FE"/>
    <w:rsid w:val="00C95A05"/>
    <w:rsid w:val="00CA20B0"/>
    <w:rsid w:val="00CA33B8"/>
    <w:rsid w:val="00CB543A"/>
    <w:rsid w:val="00CB614F"/>
    <w:rsid w:val="00CC49C7"/>
    <w:rsid w:val="00CD1F0E"/>
    <w:rsid w:val="00CD2B75"/>
    <w:rsid w:val="00CD2F97"/>
    <w:rsid w:val="00CD6552"/>
    <w:rsid w:val="00CE2551"/>
    <w:rsid w:val="00CE3728"/>
    <w:rsid w:val="00CE4658"/>
    <w:rsid w:val="00CE6706"/>
    <w:rsid w:val="00CE6B27"/>
    <w:rsid w:val="00CF115E"/>
    <w:rsid w:val="00CF228C"/>
    <w:rsid w:val="00CF3D82"/>
    <w:rsid w:val="00CF477C"/>
    <w:rsid w:val="00CF64AB"/>
    <w:rsid w:val="00CF6BA0"/>
    <w:rsid w:val="00D059FD"/>
    <w:rsid w:val="00D079E8"/>
    <w:rsid w:val="00D16963"/>
    <w:rsid w:val="00D47DD7"/>
    <w:rsid w:val="00D50B3C"/>
    <w:rsid w:val="00D54254"/>
    <w:rsid w:val="00D54A23"/>
    <w:rsid w:val="00D5521A"/>
    <w:rsid w:val="00D56FC0"/>
    <w:rsid w:val="00D57622"/>
    <w:rsid w:val="00D62111"/>
    <w:rsid w:val="00D6300B"/>
    <w:rsid w:val="00D647E8"/>
    <w:rsid w:val="00D66533"/>
    <w:rsid w:val="00D66D56"/>
    <w:rsid w:val="00D73579"/>
    <w:rsid w:val="00D93CD8"/>
    <w:rsid w:val="00D94618"/>
    <w:rsid w:val="00D957F4"/>
    <w:rsid w:val="00D9679E"/>
    <w:rsid w:val="00D96E4E"/>
    <w:rsid w:val="00D97DFD"/>
    <w:rsid w:val="00DA1048"/>
    <w:rsid w:val="00DA171C"/>
    <w:rsid w:val="00DA5A0F"/>
    <w:rsid w:val="00DA5EED"/>
    <w:rsid w:val="00DB173B"/>
    <w:rsid w:val="00DB5A8E"/>
    <w:rsid w:val="00DC0DC0"/>
    <w:rsid w:val="00DC32C2"/>
    <w:rsid w:val="00DC3380"/>
    <w:rsid w:val="00DD5CBC"/>
    <w:rsid w:val="00DE03A1"/>
    <w:rsid w:val="00DE0AA1"/>
    <w:rsid w:val="00DE7016"/>
    <w:rsid w:val="00DF123E"/>
    <w:rsid w:val="00DF23AF"/>
    <w:rsid w:val="00DF23F1"/>
    <w:rsid w:val="00DF6513"/>
    <w:rsid w:val="00E0228B"/>
    <w:rsid w:val="00E078DA"/>
    <w:rsid w:val="00E35F8D"/>
    <w:rsid w:val="00E52E86"/>
    <w:rsid w:val="00E55AF9"/>
    <w:rsid w:val="00E5677B"/>
    <w:rsid w:val="00E60FB8"/>
    <w:rsid w:val="00E6309A"/>
    <w:rsid w:val="00E71384"/>
    <w:rsid w:val="00E73CAE"/>
    <w:rsid w:val="00E74D42"/>
    <w:rsid w:val="00E82A85"/>
    <w:rsid w:val="00E84FB5"/>
    <w:rsid w:val="00E87401"/>
    <w:rsid w:val="00E87EB7"/>
    <w:rsid w:val="00E91945"/>
    <w:rsid w:val="00E92808"/>
    <w:rsid w:val="00E928F7"/>
    <w:rsid w:val="00E95BEA"/>
    <w:rsid w:val="00E96228"/>
    <w:rsid w:val="00EA16A6"/>
    <w:rsid w:val="00EA373E"/>
    <w:rsid w:val="00EA7376"/>
    <w:rsid w:val="00EB027F"/>
    <w:rsid w:val="00ED05E9"/>
    <w:rsid w:val="00ED3E84"/>
    <w:rsid w:val="00ED484D"/>
    <w:rsid w:val="00EE15EB"/>
    <w:rsid w:val="00EF50B7"/>
    <w:rsid w:val="00F0115A"/>
    <w:rsid w:val="00F05716"/>
    <w:rsid w:val="00F1276B"/>
    <w:rsid w:val="00F16D3E"/>
    <w:rsid w:val="00F22F6B"/>
    <w:rsid w:val="00F30972"/>
    <w:rsid w:val="00F32035"/>
    <w:rsid w:val="00F3364A"/>
    <w:rsid w:val="00F338DA"/>
    <w:rsid w:val="00F33914"/>
    <w:rsid w:val="00F34F1D"/>
    <w:rsid w:val="00F62B31"/>
    <w:rsid w:val="00F656B4"/>
    <w:rsid w:val="00F660D2"/>
    <w:rsid w:val="00F73D9A"/>
    <w:rsid w:val="00F82979"/>
    <w:rsid w:val="00F84AF9"/>
    <w:rsid w:val="00F97313"/>
    <w:rsid w:val="00FA333C"/>
    <w:rsid w:val="00FA4735"/>
    <w:rsid w:val="00FA4A4A"/>
    <w:rsid w:val="00FB1243"/>
    <w:rsid w:val="00FB2F9D"/>
    <w:rsid w:val="00FB6AC8"/>
    <w:rsid w:val="00FB6AD2"/>
    <w:rsid w:val="00FC30E0"/>
    <w:rsid w:val="00FC59D8"/>
    <w:rsid w:val="00FD4EF1"/>
    <w:rsid w:val="00FE0B0B"/>
    <w:rsid w:val="00FE0D97"/>
    <w:rsid w:val="00FE529E"/>
    <w:rsid w:val="00FE779A"/>
    <w:rsid w:val="00FF10F4"/>
    <w:rsid w:val="00FF66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570DB3"/>
  <w15:docId w15:val="{55ECE346-A6B9-42DC-AB5E-0450F5CA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53B9F"/>
  </w:style>
  <w:style w:type="paragraph" w:styleId="Nadpis1">
    <w:name w:val="heading 1"/>
    <w:basedOn w:val="Normln"/>
    <w:next w:val="Normln"/>
    <w:link w:val="Nadpis1Char"/>
    <w:uiPriority w:val="9"/>
    <w:qFormat/>
    <w:rsid w:val="000852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8526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8526A"/>
  </w:style>
  <w:style w:type="paragraph" w:styleId="Zpat">
    <w:name w:val="footer"/>
    <w:basedOn w:val="Normln"/>
    <w:link w:val="ZpatChar"/>
    <w:uiPriority w:val="99"/>
    <w:unhideWhenUsed/>
    <w:rsid w:val="0008526A"/>
    <w:pPr>
      <w:tabs>
        <w:tab w:val="center" w:pos="4536"/>
        <w:tab w:val="right" w:pos="9072"/>
      </w:tabs>
      <w:spacing w:after="0" w:line="240" w:lineRule="auto"/>
    </w:pPr>
  </w:style>
  <w:style w:type="character" w:customStyle="1" w:styleId="ZpatChar">
    <w:name w:val="Zápatí Char"/>
    <w:basedOn w:val="Standardnpsmoodstavce"/>
    <w:link w:val="Zpat"/>
    <w:uiPriority w:val="99"/>
    <w:rsid w:val="0008526A"/>
  </w:style>
  <w:style w:type="paragraph" w:styleId="Odstavecseseznamem">
    <w:name w:val="List Paragraph"/>
    <w:aliases w:val="Odstavec_muj,Nad,Odstavec cíl se seznamem,Odstavec se seznamem5,název výzvy,Název grafu,nad 1,Odstavec se seznamem1,List Paragraph1,List Paragraph,Odstavec_muj1,Odstavec_muj2,Odstavec_muj3,Nad1,Odstavec_muj4,Nad2,List Paragraph2"/>
    <w:basedOn w:val="Normln"/>
    <w:link w:val="OdstavecseseznamemChar"/>
    <w:uiPriority w:val="34"/>
    <w:qFormat/>
    <w:rsid w:val="0008526A"/>
    <w:pPr>
      <w:ind w:left="720"/>
      <w:contextualSpacing/>
    </w:pPr>
  </w:style>
  <w:style w:type="character" w:customStyle="1" w:styleId="Nadpis1Char">
    <w:name w:val="Nadpis 1 Char"/>
    <w:basedOn w:val="Standardnpsmoodstavce"/>
    <w:link w:val="Nadpis1"/>
    <w:uiPriority w:val="9"/>
    <w:rsid w:val="0008526A"/>
    <w:rPr>
      <w:rFonts w:asciiTheme="majorHAnsi" w:eastAsiaTheme="majorEastAsia" w:hAnsiTheme="majorHAnsi" w:cstheme="majorBidi"/>
      <w:color w:val="2E74B5" w:themeColor="accent1" w:themeShade="BF"/>
      <w:sz w:val="32"/>
      <w:szCs w:val="32"/>
    </w:rPr>
  </w:style>
  <w:style w:type="paragraph" w:styleId="Textbubliny">
    <w:name w:val="Balloon Text"/>
    <w:basedOn w:val="Normln"/>
    <w:link w:val="TextbublinyChar"/>
    <w:uiPriority w:val="99"/>
    <w:semiHidden/>
    <w:unhideWhenUsed/>
    <w:rsid w:val="008A1E4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A1E43"/>
    <w:rPr>
      <w:rFonts w:ascii="Segoe UI" w:hAnsi="Segoe UI" w:cs="Segoe UI"/>
      <w:sz w:val="18"/>
      <w:szCs w:val="18"/>
    </w:rPr>
  </w:style>
  <w:style w:type="character" w:styleId="Zstupntext">
    <w:name w:val="Placeholder Text"/>
    <w:basedOn w:val="Standardnpsmoodstavce"/>
    <w:uiPriority w:val="99"/>
    <w:semiHidden/>
    <w:rsid w:val="006B7D96"/>
    <w:rPr>
      <w:color w:val="808080"/>
    </w:rPr>
  </w:style>
  <w:style w:type="paragraph" w:customStyle="1" w:styleId="Default">
    <w:name w:val="Default"/>
    <w:rsid w:val="008A2B53"/>
    <w:pPr>
      <w:autoSpaceDE w:val="0"/>
      <w:autoSpaceDN w:val="0"/>
      <w:adjustRightInd w:val="0"/>
      <w:spacing w:after="0" w:line="240" w:lineRule="auto"/>
    </w:pPr>
    <w:rPr>
      <w:rFonts w:ascii="Calibri" w:hAnsi="Calibri" w:cs="Calibri"/>
      <w:color w:val="000000"/>
      <w:sz w:val="24"/>
      <w:szCs w:val="24"/>
    </w:rPr>
  </w:style>
  <w:style w:type="paragraph" w:styleId="Normlnweb">
    <w:name w:val="Normal (Web)"/>
    <w:basedOn w:val="Normln"/>
    <w:uiPriority w:val="99"/>
    <w:unhideWhenUsed/>
    <w:rsid w:val="0087627E"/>
    <w:pPr>
      <w:spacing w:before="100" w:beforeAutospacing="1" w:after="100" w:afterAutospacing="1" w:line="240" w:lineRule="auto"/>
    </w:pPr>
    <w:rPr>
      <w:rFonts w:ascii="Times New Roman" w:eastAsia="Times New Roman" w:hAnsi="Times New Roman" w:cs="Times New Roman"/>
      <w:sz w:val="24"/>
      <w:szCs w:val="24"/>
    </w:rPr>
  </w:style>
  <w:style w:type="character" w:styleId="Siln">
    <w:name w:val="Strong"/>
    <w:basedOn w:val="Standardnpsmoodstavce"/>
    <w:uiPriority w:val="22"/>
    <w:qFormat/>
    <w:rsid w:val="0087627E"/>
    <w:rPr>
      <w:b/>
      <w:bCs/>
    </w:rPr>
  </w:style>
  <w:style w:type="character" w:styleId="Hypertextovodkaz">
    <w:name w:val="Hyperlink"/>
    <w:basedOn w:val="Standardnpsmoodstavce"/>
    <w:uiPriority w:val="99"/>
    <w:unhideWhenUsed/>
    <w:rsid w:val="0087627E"/>
    <w:rPr>
      <w:color w:val="0000FF"/>
      <w:u w:val="single"/>
    </w:rPr>
  </w:style>
  <w:style w:type="character" w:styleId="Sledovanodkaz">
    <w:name w:val="FollowedHyperlink"/>
    <w:basedOn w:val="Standardnpsmoodstavce"/>
    <w:uiPriority w:val="99"/>
    <w:semiHidden/>
    <w:unhideWhenUsed/>
    <w:rsid w:val="00CF3D82"/>
    <w:rPr>
      <w:color w:val="954F72" w:themeColor="followedHyperlink"/>
      <w:u w:val="single"/>
    </w:rPr>
  </w:style>
  <w:style w:type="character" w:styleId="Odkaznakoment">
    <w:name w:val="annotation reference"/>
    <w:basedOn w:val="Standardnpsmoodstavce"/>
    <w:uiPriority w:val="99"/>
    <w:semiHidden/>
    <w:unhideWhenUsed/>
    <w:rsid w:val="00575949"/>
    <w:rPr>
      <w:sz w:val="16"/>
      <w:szCs w:val="16"/>
    </w:rPr>
  </w:style>
  <w:style w:type="paragraph" w:styleId="Textkomente">
    <w:name w:val="annotation text"/>
    <w:basedOn w:val="Normln"/>
    <w:link w:val="TextkomenteChar"/>
    <w:uiPriority w:val="99"/>
    <w:semiHidden/>
    <w:unhideWhenUsed/>
    <w:rsid w:val="00575949"/>
    <w:pPr>
      <w:spacing w:line="240" w:lineRule="auto"/>
    </w:pPr>
    <w:rPr>
      <w:sz w:val="20"/>
      <w:szCs w:val="20"/>
    </w:rPr>
  </w:style>
  <w:style w:type="character" w:customStyle="1" w:styleId="TextkomenteChar">
    <w:name w:val="Text komentáře Char"/>
    <w:basedOn w:val="Standardnpsmoodstavce"/>
    <w:link w:val="Textkomente"/>
    <w:uiPriority w:val="99"/>
    <w:semiHidden/>
    <w:rsid w:val="00575949"/>
    <w:rPr>
      <w:sz w:val="20"/>
      <w:szCs w:val="20"/>
    </w:rPr>
  </w:style>
  <w:style w:type="paragraph" w:styleId="Pedmtkomente">
    <w:name w:val="annotation subject"/>
    <w:basedOn w:val="Textkomente"/>
    <w:next w:val="Textkomente"/>
    <w:link w:val="PedmtkomenteChar"/>
    <w:uiPriority w:val="99"/>
    <w:semiHidden/>
    <w:unhideWhenUsed/>
    <w:rsid w:val="00575949"/>
    <w:rPr>
      <w:b/>
      <w:bCs/>
    </w:rPr>
  </w:style>
  <w:style w:type="character" w:customStyle="1" w:styleId="PedmtkomenteChar">
    <w:name w:val="Předmět komentáře Char"/>
    <w:basedOn w:val="TextkomenteChar"/>
    <w:link w:val="Pedmtkomente"/>
    <w:uiPriority w:val="99"/>
    <w:semiHidden/>
    <w:rsid w:val="00575949"/>
    <w:rPr>
      <w:b/>
      <w:bCs/>
      <w:sz w:val="20"/>
      <w:szCs w:val="20"/>
    </w:rPr>
  </w:style>
  <w:style w:type="table" w:styleId="Mkatabulky">
    <w:name w:val="Table Grid"/>
    <w:basedOn w:val="Normlntabulka"/>
    <w:uiPriority w:val="59"/>
    <w:rsid w:val="00C44A2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2118B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118B2"/>
    <w:rPr>
      <w:sz w:val="20"/>
      <w:szCs w:val="20"/>
    </w:rPr>
  </w:style>
  <w:style w:type="character" w:styleId="Znakapoznpodarou">
    <w:name w:val="footnote reference"/>
    <w:basedOn w:val="Standardnpsmoodstavce"/>
    <w:uiPriority w:val="99"/>
    <w:semiHidden/>
    <w:unhideWhenUsed/>
    <w:rsid w:val="002118B2"/>
    <w:rPr>
      <w:vertAlign w:val="superscript"/>
    </w:rPr>
  </w:style>
  <w:style w:type="paragraph" w:styleId="Textvysvtlivek">
    <w:name w:val="endnote text"/>
    <w:basedOn w:val="Normln"/>
    <w:link w:val="TextvysvtlivekChar"/>
    <w:uiPriority w:val="99"/>
    <w:semiHidden/>
    <w:unhideWhenUsed/>
    <w:rsid w:val="00CA33B8"/>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CA33B8"/>
    <w:rPr>
      <w:sz w:val="20"/>
      <w:szCs w:val="20"/>
    </w:rPr>
  </w:style>
  <w:style w:type="character" w:styleId="Odkaznavysvtlivky">
    <w:name w:val="endnote reference"/>
    <w:basedOn w:val="Standardnpsmoodstavce"/>
    <w:uiPriority w:val="99"/>
    <w:semiHidden/>
    <w:unhideWhenUsed/>
    <w:rsid w:val="00CA33B8"/>
    <w:rPr>
      <w:vertAlign w:val="superscript"/>
    </w:rPr>
  </w:style>
  <w:style w:type="paragraph" w:customStyle="1" w:styleId="Zdrojapoznmka">
    <w:name w:val="Zdroj a poznámka"/>
    <w:basedOn w:val="Normln"/>
    <w:qFormat/>
    <w:rsid w:val="00850574"/>
    <w:pPr>
      <w:spacing w:before="120" w:after="240" w:line="288" w:lineRule="auto"/>
      <w:contextualSpacing/>
      <w:jc w:val="both"/>
    </w:pPr>
    <w:rPr>
      <w:rFonts w:ascii="Arial" w:eastAsia="Times New Roman" w:hAnsi="Arial" w:cs="Times New Roman"/>
      <w:i/>
      <w:sz w:val="18"/>
      <w:szCs w:val="24"/>
    </w:rPr>
  </w:style>
  <w:style w:type="paragraph" w:customStyle="1" w:styleId="Obrzek-nadpis">
    <w:name w:val="Obrázek - nadpis"/>
    <w:basedOn w:val="Normln"/>
    <w:qFormat/>
    <w:rsid w:val="00850574"/>
    <w:pPr>
      <w:keepNext/>
      <w:spacing w:before="120" w:after="240" w:line="240" w:lineRule="auto"/>
      <w:jc w:val="both"/>
    </w:pPr>
    <w:rPr>
      <w:rFonts w:ascii="Arial" w:eastAsia="Times New Roman" w:hAnsi="Arial" w:cs="Times New Roman"/>
      <w:b/>
      <w:szCs w:val="24"/>
    </w:rPr>
  </w:style>
  <w:style w:type="paragraph" w:customStyle="1" w:styleId="Obrzek">
    <w:name w:val="Obrázek"/>
    <w:basedOn w:val="Normln"/>
    <w:qFormat/>
    <w:rsid w:val="00850574"/>
    <w:pPr>
      <w:keepNext/>
      <w:spacing w:before="120" w:after="240" w:line="240" w:lineRule="auto"/>
      <w:jc w:val="center"/>
    </w:pPr>
    <w:rPr>
      <w:rFonts w:ascii="Arial" w:eastAsia="Times New Roman" w:hAnsi="Arial" w:cs="Times New Roman"/>
      <w:szCs w:val="24"/>
    </w:rPr>
  </w:style>
  <w:style w:type="character" w:customStyle="1" w:styleId="OdstavecseseznamemChar">
    <w:name w:val="Odstavec se seznamem Char"/>
    <w:aliases w:val="Odstavec_muj Char,Nad Char,Odstavec cíl se seznamem Char,Odstavec se seznamem5 Char,název výzvy Char,Název grafu Char,nad 1 Char,Odstavec se seznamem1 Char,List Paragraph1 Char,List Paragraph Char,Odstavec_muj1 Char,Nad1 Char"/>
    <w:basedOn w:val="Standardnpsmoodstavce"/>
    <w:link w:val="Odstavecseseznamem"/>
    <w:uiPriority w:val="34"/>
    <w:qFormat/>
    <w:rsid w:val="008505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37398">
      <w:bodyDiv w:val="1"/>
      <w:marLeft w:val="0"/>
      <w:marRight w:val="0"/>
      <w:marTop w:val="0"/>
      <w:marBottom w:val="0"/>
      <w:divBdr>
        <w:top w:val="none" w:sz="0" w:space="0" w:color="auto"/>
        <w:left w:val="none" w:sz="0" w:space="0" w:color="auto"/>
        <w:bottom w:val="none" w:sz="0" w:space="0" w:color="auto"/>
        <w:right w:val="none" w:sz="0" w:space="0" w:color="auto"/>
      </w:divBdr>
    </w:div>
    <w:div w:id="24067051">
      <w:bodyDiv w:val="1"/>
      <w:marLeft w:val="0"/>
      <w:marRight w:val="0"/>
      <w:marTop w:val="0"/>
      <w:marBottom w:val="0"/>
      <w:divBdr>
        <w:top w:val="none" w:sz="0" w:space="0" w:color="auto"/>
        <w:left w:val="none" w:sz="0" w:space="0" w:color="auto"/>
        <w:bottom w:val="none" w:sz="0" w:space="0" w:color="auto"/>
        <w:right w:val="none" w:sz="0" w:space="0" w:color="auto"/>
      </w:divBdr>
    </w:div>
    <w:div w:id="105466818">
      <w:bodyDiv w:val="1"/>
      <w:marLeft w:val="0"/>
      <w:marRight w:val="0"/>
      <w:marTop w:val="0"/>
      <w:marBottom w:val="0"/>
      <w:divBdr>
        <w:top w:val="none" w:sz="0" w:space="0" w:color="auto"/>
        <w:left w:val="none" w:sz="0" w:space="0" w:color="auto"/>
        <w:bottom w:val="none" w:sz="0" w:space="0" w:color="auto"/>
        <w:right w:val="none" w:sz="0" w:space="0" w:color="auto"/>
      </w:divBdr>
    </w:div>
    <w:div w:id="234127166">
      <w:bodyDiv w:val="1"/>
      <w:marLeft w:val="0"/>
      <w:marRight w:val="0"/>
      <w:marTop w:val="0"/>
      <w:marBottom w:val="0"/>
      <w:divBdr>
        <w:top w:val="none" w:sz="0" w:space="0" w:color="auto"/>
        <w:left w:val="none" w:sz="0" w:space="0" w:color="auto"/>
        <w:bottom w:val="none" w:sz="0" w:space="0" w:color="auto"/>
        <w:right w:val="none" w:sz="0" w:space="0" w:color="auto"/>
      </w:divBdr>
    </w:div>
    <w:div w:id="336730117">
      <w:bodyDiv w:val="1"/>
      <w:marLeft w:val="0"/>
      <w:marRight w:val="0"/>
      <w:marTop w:val="0"/>
      <w:marBottom w:val="0"/>
      <w:divBdr>
        <w:top w:val="none" w:sz="0" w:space="0" w:color="auto"/>
        <w:left w:val="none" w:sz="0" w:space="0" w:color="auto"/>
        <w:bottom w:val="none" w:sz="0" w:space="0" w:color="auto"/>
        <w:right w:val="none" w:sz="0" w:space="0" w:color="auto"/>
      </w:divBdr>
    </w:div>
    <w:div w:id="363294342">
      <w:bodyDiv w:val="1"/>
      <w:marLeft w:val="0"/>
      <w:marRight w:val="0"/>
      <w:marTop w:val="0"/>
      <w:marBottom w:val="0"/>
      <w:divBdr>
        <w:top w:val="none" w:sz="0" w:space="0" w:color="auto"/>
        <w:left w:val="none" w:sz="0" w:space="0" w:color="auto"/>
        <w:bottom w:val="none" w:sz="0" w:space="0" w:color="auto"/>
        <w:right w:val="none" w:sz="0" w:space="0" w:color="auto"/>
      </w:divBdr>
    </w:div>
    <w:div w:id="372383412">
      <w:bodyDiv w:val="1"/>
      <w:marLeft w:val="0"/>
      <w:marRight w:val="0"/>
      <w:marTop w:val="0"/>
      <w:marBottom w:val="0"/>
      <w:divBdr>
        <w:top w:val="none" w:sz="0" w:space="0" w:color="auto"/>
        <w:left w:val="none" w:sz="0" w:space="0" w:color="auto"/>
        <w:bottom w:val="none" w:sz="0" w:space="0" w:color="auto"/>
        <w:right w:val="none" w:sz="0" w:space="0" w:color="auto"/>
      </w:divBdr>
    </w:div>
    <w:div w:id="429854232">
      <w:bodyDiv w:val="1"/>
      <w:marLeft w:val="0"/>
      <w:marRight w:val="0"/>
      <w:marTop w:val="0"/>
      <w:marBottom w:val="0"/>
      <w:divBdr>
        <w:top w:val="none" w:sz="0" w:space="0" w:color="auto"/>
        <w:left w:val="none" w:sz="0" w:space="0" w:color="auto"/>
        <w:bottom w:val="none" w:sz="0" w:space="0" w:color="auto"/>
        <w:right w:val="none" w:sz="0" w:space="0" w:color="auto"/>
      </w:divBdr>
    </w:div>
    <w:div w:id="476383662">
      <w:bodyDiv w:val="1"/>
      <w:marLeft w:val="0"/>
      <w:marRight w:val="0"/>
      <w:marTop w:val="0"/>
      <w:marBottom w:val="0"/>
      <w:divBdr>
        <w:top w:val="none" w:sz="0" w:space="0" w:color="auto"/>
        <w:left w:val="none" w:sz="0" w:space="0" w:color="auto"/>
        <w:bottom w:val="none" w:sz="0" w:space="0" w:color="auto"/>
        <w:right w:val="none" w:sz="0" w:space="0" w:color="auto"/>
      </w:divBdr>
    </w:div>
    <w:div w:id="523830685">
      <w:bodyDiv w:val="1"/>
      <w:marLeft w:val="0"/>
      <w:marRight w:val="0"/>
      <w:marTop w:val="0"/>
      <w:marBottom w:val="0"/>
      <w:divBdr>
        <w:top w:val="none" w:sz="0" w:space="0" w:color="auto"/>
        <w:left w:val="none" w:sz="0" w:space="0" w:color="auto"/>
        <w:bottom w:val="none" w:sz="0" w:space="0" w:color="auto"/>
        <w:right w:val="none" w:sz="0" w:space="0" w:color="auto"/>
      </w:divBdr>
    </w:div>
    <w:div w:id="574709701">
      <w:bodyDiv w:val="1"/>
      <w:marLeft w:val="0"/>
      <w:marRight w:val="0"/>
      <w:marTop w:val="0"/>
      <w:marBottom w:val="0"/>
      <w:divBdr>
        <w:top w:val="none" w:sz="0" w:space="0" w:color="auto"/>
        <w:left w:val="none" w:sz="0" w:space="0" w:color="auto"/>
        <w:bottom w:val="none" w:sz="0" w:space="0" w:color="auto"/>
        <w:right w:val="none" w:sz="0" w:space="0" w:color="auto"/>
      </w:divBdr>
    </w:div>
    <w:div w:id="632246788">
      <w:bodyDiv w:val="1"/>
      <w:marLeft w:val="0"/>
      <w:marRight w:val="0"/>
      <w:marTop w:val="0"/>
      <w:marBottom w:val="0"/>
      <w:divBdr>
        <w:top w:val="none" w:sz="0" w:space="0" w:color="auto"/>
        <w:left w:val="none" w:sz="0" w:space="0" w:color="auto"/>
        <w:bottom w:val="none" w:sz="0" w:space="0" w:color="auto"/>
        <w:right w:val="none" w:sz="0" w:space="0" w:color="auto"/>
      </w:divBdr>
    </w:div>
    <w:div w:id="632909932">
      <w:bodyDiv w:val="1"/>
      <w:marLeft w:val="0"/>
      <w:marRight w:val="0"/>
      <w:marTop w:val="0"/>
      <w:marBottom w:val="0"/>
      <w:divBdr>
        <w:top w:val="none" w:sz="0" w:space="0" w:color="auto"/>
        <w:left w:val="none" w:sz="0" w:space="0" w:color="auto"/>
        <w:bottom w:val="none" w:sz="0" w:space="0" w:color="auto"/>
        <w:right w:val="none" w:sz="0" w:space="0" w:color="auto"/>
      </w:divBdr>
    </w:div>
    <w:div w:id="637995529">
      <w:bodyDiv w:val="1"/>
      <w:marLeft w:val="0"/>
      <w:marRight w:val="0"/>
      <w:marTop w:val="0"/>
      <w:marBottom w:val="0"/>
      <w:divBdr>
        <w:top w:val="none" w:sz="0" w:space="0" w:color="auto"/>
        <w:left w:val="none" w:sz="0" w:space="0" w:color="auto"/>
        <w:bottom w:val="none" w:sz="0" w:space="0" w:color="auto"/>
        <w:right w:val="none" w:sz="0" w:space="0" w:color="auto"/>
      </w:divBdr>
    </w:div>
    <w:div w:id="655888555">
      <w:bodyDiv w:val="1"/>
      <w:marLeft w:val="0"/>
      <w:marRight w:val="0"/>
      <w:marTop w:val="0"/>
      <w:marBottom w:val="0"/>
      <w:divBdr>
        <w:top w:val="none" w:sz="0" w:space="0" w:color="auto"/>
        <w:left w:val="none" w:sz="0" w:space="0" w:color="auto"/>
        <w:bottom w:val="none" w:sz="0" w:space="0" w:color="auto"/>
        <w:right w:val="none" w:sz="0" w:space="0" w:color="auto"/>
      </w:divBdr>
    </w:div>
    <w:div w:id="695741543">
      <w:bodyDiv w:val="1"/>
      <w:marLeft w:val="0"/>
      <w:marRight w:val="0"/>
      <w:marTop w:val="0"/>
      <w:marBottom w:val="0"/>
      <w:divBdr>
        <w:top w:val="none" w:sz="0" w:space="0" w:color="auto"/>
        <w:left w:val="none" w:sz="0" w:space="0" w:color="auto"/>
        <w:bottom w:val="none" w:sz="0" w:space="0" w:color="auto"/>
        <w:right w:val="none" w:sz="0" w:space="0" w:color="auto"/>
      </w:divBdr>
    </w:div>
    <w:div w:id="743913912">
      <w:bodyDiv w:val="1"/>
      <w:marLeft w:val="0"/>
      <w:marRight w:val="0"/>
      <w:marTop w:val="0"/>
      <w:marBottom w:val="0"/>
      <w:divBdr>
        <w:top w:val="none" w:sz="0" w:space="0" w:color="auto"/>
        <w:left w:val="none" w:sz="0" w:space="0" w:color="auto"/>
        <w:bottom w:val="none" w:sz="0" w:space="0" w:color="auto"/>
        <w:right w:val="none" w:sz="0" w:space="0" w:color="auto"/>
      </w:divBdr>
    </w:div>
    <w:div w:id="773063053">
      <w:bodyDiv w:val="1"/>
      <w:marLeft w:val="0"/>
      <w:marRight w:val="0"/>
      <w:marTop w:val="0"/>
      <w:marBottom w:val="0"/>
      <w:divBdr>
        <w:top w:val="none" w:sz="0" w:space="0" w:color="auto"/>
        <w:left w:val="none" w:sz="0" w:space="0" w:color="auto"/>
        <w:bottom w:val="none" w:sz="0" w:space="0" w:color="auto"/>
        <w:right w:val="none" w:sz="0" w:space="0" w:color="auto"/>
      </w:divBdr>
    </w:div>
    <w:div w:id="805587577">
      <w:bodyDiv w:val="1"/>
      <w:marLeft w:val="0"/>
      <w:marRight w:val="0"/>
      <w:marTop w:val="0"/>
      <w:marBottom w:val="0"/>
      <w:divBdr>
        <w:top w:val="none" w:sz="0" w:space="0" w:color="auto"/>
        <w:left w:val="none" w:sz="0" w:space="0" w:color="auto"/>
        <w:bottom w:val="none" w:sz="0" w:space="0" w:color="auto"/>
        <w:right w:val="none" w:sz="0" w:space="0" w:color="auto"/>
      </w:divBdr>
    </w:div>
    <w:div w:id="840117559">
      <w:bodyDiv w:val="1"/>
      <w:marLeft w:val="0"/>
      <w:marRight w:val="0"/>
      <w:marTop w:val="0"/>
      <w:marBottom w:val="0"/>
      <w:divBdr>
        <w:top w:val="none" w:sz="0" w:space="0" w:color="auto"/>
        <w:left w:val="none" w:sz="0" w:space="0" w:color="auto"/>
        <w:bottom w:val="none" w:sz="0" w:space="0" w:color="auto"/>
        <w:right w:val="none" w:sz="0" w:space="0" w:color="auto"/>
      </w:divBdr>
    </w:div>
    <w:div w:id="956981888">
      <w:bodyDiv w:val="1"/>
      <w:marLeft w:val="0"/>
      <w:marRight w:val="0"/>
      <w:marTop w:val="0"/>
      <w:marBottom w:val="0"/>
      <w:divBdr>
        <w:top w:val="none" w:sz="0" w:space="0" w:color="auto"/>
        <w:left w:val="none" w:sz="0" w:space="0" w:color="auto"/>
        <w:bottom w:val="none" w:sz="0" w:space="0" w:color="auto"/>
        <w:right w:val="none" w:sz="0" w:space="0" w:color="auto"/>
      </w:divBdr>
    </w:div>
    <w:div w:id="968124579">
      <w:bodyDiv w:val="1"/>
      <w:marLeft w:val="0"/>
      <w:marRight w:val="0"/>
      <w:marTop w:val="0"/>
      <w:marBottom w:val="0"/>
      <w:divBdr>
        <w:top w:val="none" w:sz="0" w:space="0" w:color="auto"/>
        <w:left w:val="none" w:sz="0" w:space="0" w:color="auto"/>
        <w:bottom w:val="none" w:sz="0" w:space="0" w:color="auto"/>
        <w:right w:val="none" w:sz="0" w:space="0" w:color="auto"/>
      </w:divBdr>
    </w:div>
    <w:div w:id="1038044459">
      <w:bodyDiv w:val="1"/>
      <w:marLeft w:val="0"/>
      <w:marRight w:val="0"/>
      <w:marTop w:val="0"/>
      <w:marBottom w:val="0"/>
      <w:divBdr>
        <w:top w:val="none" w:sz="0" w:space="0" w:color="auto"/>
        <w:left w:val="none" w:sz="0" w:space="0" w:color="auto"/>
        <w:bottom w:val="none" w:sz="0" w:space="0" w:color="auto"/>
        <w:right w:val="none" w:sz="0" w:space="0" w:color="auto"/>
      </w:divBdr>
    </w:div>
    <w:div w:id="1048142372">
      <w:bodyDiv w:val="1"/>
      <w:marLeft w:val="0"/>
      <w:marRight w:val="0"/>
      <w:marTop w:val="0"/>
      <w:marBottom w:val="0"/>
      <w:divBdr>
        <w:top w:val="none" w:sz="0" w:space="0" w:color="auto"/>
        <w:left w:val="none" w:sz="0" w:space="0" w:color="auto"/>
        <w:bottom w:val="none" w:sz="0" w:space="0" w:color="auto"/>
        <w:right w:val="none" w:sz="0" w:space="0" w:color="auto"/>
      </w:divBdr>
    </w:div>
    <w:div w:id="1120801861">
      <w:bodyDiv w:val="1"/>
      <w:marLeft w:val="0"/>
      <w:marRight w:val="0"/>
      <w:marTop w:val="0"/>
      <w:marBottom w:val="0"/>
      <w:divBdr>
        <w:top w:val="none" w:sz="0" w:space="0" w:color="auto"/>
        <w:left w:val="none" w:sz="0" w:space="0" w:color="auto"/>
        <w:bottom w:val="none" w:sz="0" w:space="0" w:color="auto"/>
        <w:right w:val="none" w:sz="0" w:space="0" w:color="auto"/>
      </w:divBdr>
    </w:div>
    <w:div w:id="1151941127">
      <w:bodyDiv w:val="1"/>
      <w:marLeft w:val="0"/>
      <w:marRight w:val="0"/>
      <w:marTop w:val="0"/>
      <w:marBottom w:val="0"/>
      <w:divBdr>
        <w:top w:val="none" w:sz="0" w:space="0" w:color="auto"/>
        <w:left w:val="none" w:sz="0" w:space="0" w:color="auto"/>
        <w:bottom w:val="none" w:sz="0" w:space="0" w:color="auto"/>
        <w:right w:val="none" w:sz="0" w:space="0" w:color="auto"/>
      </w:divBdr>
    </w:div>
    <w:div w:id="1165783363">
      <w:bodyDiv w:val="1"/>
      <w:marLeft w:val="0"/>
      <w:marRight w:val="0"/>
      <w:marTop w:val="0"/>
      <w:marBottom w:val="0"/>
      <w:divBdr>
        <w:top w:val="none" w:sz="0" w:space="0" w:color="auto"/>
        <w:left w:val="none" w:sz="0" w:space="0" w:color="auto"/>
        <w:bottom w:val="none" w:sz="0" w:space="0" w:color="auto"/>
        <w:right w:val="none" w:sz="0" w:space="0" w:color="auto"/>
      </w:divBdr>
      <w:divsChild>
        <w:div w:id="607126355">
          <w:marLeft w:val="0"/>
          <w:marRight w:val="0"/>
          <w:marTop w:val="0"/>
          <w:marBottom w:val="0"/>
          <w:divBdr>
            <w:top w:val="none" w:sz="0" w:space="0" w:color="auto"/>
            <w:left w:val="none" w:sz="0" w:space="0" w:color="auto"/>
            <w:bottom w:val="none" w:sz="0" w:space="0" w:color="auto"/>
            <w:right w:val="none" w:sz="0" w:space="0" w:color="auto"/>
          </w:divBdr>
        </w:div>
        <w:div w:id="278877659">
          <w:marLeft w:val="0"/>
          <w:marRight w:val="0"/>
          <w:marTop w:val="0"/>
          <w:marBottom w:val="0"/>
          <w:divBdr>
            <w:top w:val="none" w:sz="0" w:space="0" w:color="auto"/>
            <w:left w:val="none" w:sz="0" w:space="0" w:color="auto"/>
            <w:bottom w:val="none" w:sz="0" w:space="0" w:color="auto"/>
            <w:right w:val="none" w:sz="0" w:space="0" w:color="auto"/>
          </w:divBdr>
          <w:divsChild>
            <w:div w:id="129399472">
              <w:marLeft w:val="0"/>
              <w:marRight w:val="0"/>
              <w:marTop w:val="0"/>
              <w:marBottom w:val="0"/>
              <w:divBdr>
                <w:top w:val="none" w:sz="0" w:space="0" w:color="auto"/>
                <w:left w:val="none" w:sz="0" w:space="0" w:color="auto"/>
                <w:bottom w:val="none" w:sz="0" w:space="0" w:color="auto"/>
                <w:right w:val="none" w:sz="0" w:space="0" w:color="auto"/>
              </w:divBdr>
            </w:div>
            <w:div w:id="1474910158">
              <w:marLeft w:val="0"/>
              <w:marRight w:val="0"/>
              <w:marTop w:val="0"/>
              <w:marBottom w:val="0"/>
              <w:divBdr>
                <w:top w:val="none" w:sz="0" w:space="0" w:color="auto"/>
                <w:left w:val="none" w:sz="0" w:space="0" w:color="auto"/>
                <w:bottom w:val="none" w:sz="0" w:space="0" w:color="auto"/>
                <w:right w:val="none" w:sz="0" w:space="0" w:color="auto"/>
              </w:divBdr>
            </w:div>
            <w:div w:id="345906562">
              <w:marLeft w:val="0"/>
              <w:marRight w:val="0"/>
              <w:marTop w:val="0"/>
              <w:marBottom w:val="0"/>
              <w:divBdr>
                <w:top w:val="none" w:sz="0" w:space="0" w:color="auto"/>
                <w:left w:val="none" w:sz="0" w:space="0" w:color="auto"/>
                <w:bottom w:val="none" w:sz="0" w:space="0" w:color="auto"/>
                <w:right w:val="none" w:sz="0" w:space="0" w:color="auto"/>
              </w:divBdr>
              <w:divsChild>
                <w:div w:id="241334985">
                  <w:marLeft w:val="0"/>
                  <w:marRight w:val="0"/>
                  <w:marTop w:val="0"/>
                  <w:marBottom w:val="0"/>
                  <w:divBdr>
                    <w:top w:val="none" w:sz="0" w:space="0" w:color="auto"/>
                    <w:left w:val="none" w:sz="0" w:space="0" w:color="auto"/>
                    <w:bottom w:val="none" w:sz="0" w:space="0" w:color="auto"/>
                    <w:right w:val="none" w:sz="0" w:space="0" w:color="auto"/>
                  </w:divBdr>
                  <w:divsChild>
                    <w:div w:id="2005352589">
                      <w:marLeft w:val="0"/>
                      <w:marRight w:val="0"/>
                      <w:marTop w:val="0"/>
                      <w:marBottom w:val="0"/>
                      <w:divBdr>
                        <w:top w:val="none" w:sz="0" w:space="0" w:color="auto"/>
                        <w:left w:val="none" w:sz="0" w:space="0" w:color="auto"/>
                        <w:bottom w:val="none" w:sz="0" w:space="0" w:color="auto"/>
                        <w:right w:val="none" w:sz="0" w:space="0" w:color="auto"/>
                      </w:divBdr>
                      <w:divsChild>
                        <w:div w:id="951596709">
                          <w:marLeft w:val="0"/>
                          <w:marRight w:val="0"/>
                          <w:marTop w:val="0"/>
                          <w:marBottom w:val="0"/>
                          <w:divBdr>
                            <w:top w:val="none" w:sz="0" w:space="0" w:color="auto"/>
                            <w:left w:val="none" w:sz="0" w:space="0" w:color="auto"/>
                            <w:bottom w:val="none" w:sz="0" w:space="0" w:color="auto"/>
                            <w:right w:val="none" w:sz="0" w:space="0" w:color="auto"/>
                          </w:divBdr>
                          <w:divsChild>
                            <w:div w:id="25968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094751">
          <w:marLeft w:val="0"/>
          <w:marRight w:val="0"/>
          <w:marTop w:val="0"/>
          <w:marBottom w:val="0"/>
          <w:divBdr>
            <w:top w:val="none" w:sz="0" w:space="0" w:color="auto"/>
            <w:left w:val="none" w:sz="0" w:space="0" w:color="auto"/>
            <w:bottom w:val="none" w:sz="0" w:space="0" w:color="auto"/>
            <w:right w:val="none" w:sz="0" w:space="0" w:color="auto"/>
          </w:divBdr>
          <w:divsChild>
            <w:div w:id="1228414430">
              <w:marLeft w:val="0"/>
              <w:marRight w:val="0"/>
              <w:marTop w:val="0"/>
              <w:marBottom w:val="0"/>
              <w:divBdr>
                <w:top w:val="none" w:sz="0" w:space="0" w:color="auto"/>
                <w:left w:val="none" w:sz="0" w:space="0" w:color="auto"/>
                <w:bottom w:val="none" w:sz="0" w:space="0" w:color="auto"/>
                <w:right w:val="none" w:sz="0" w:space="0" w:color="auto"/>
              </w:divBdr>
            </w:div>
            <w:div w:id="891579639">
              <w:blockQuote w:val="1"/>
              <w:marLeft w:val="96"/>
              <w:marRight w:val="0"/>
              <w:marTop w:val="0"/>
              <w:marBottom w:val="0"/>
              <w:divBdr>
                <w:top w:val="none" w:sz="0" w:space="0" w:color="auto"/>
                <w:left w:val="single" w:sz="6" w:space="6" w:color="CCCCCC"/>
                <w:bottom w:val="none" w:sz="0" w:space="0" w:color="auto"/>
                <w:right w:val="none" w:sz="0" w:space="0" w:color="auto"/>
              </w:divBdr>
            </w:div>
          </w:divsChild>
        </w:div>
      </w:divsChild>
    </w:div>
    <w:div w:id="1243443347">
      <w:bodyDiv w:val="1"/>
      <w:marLeft w:val="0"/>
      <w:marRight w:val="0"/>
      <w:marTop w:val="0"/>
      <w:marBottom w:val="0"/>
      <w:divBdr>
        <w:top w:val="none" w:sz="0" w:space="0" w:color="auto"/>
        <w:left w:val="none" w:sz="0" w:space="0" w:color="auto"/>
        <w:bottom w:val="none" w:sz="0" w:space="0" w:color="auto"/>
        <w:right w:val="none" w:sz="0" w:space="0" w:color="auto"/>
      </w:divBdr>
    </w:div>
    <w:div w:id="1301420923">
      <w:bodyDiv w:val="1"/>
      <w:marLeft w:val="0"/>
      <w:marRight w:val="0"/>
      <w:marTop w:val="0"/>
      <w:marBottom w:val="0"/>
      <w:divBdr>
        <w:top w:val="none" w:sz="0" w:space="0" w:color="auto"/>
        <w:left w:val="none" w:sz="0" w:space="0" w:color="auto"/>
        <w:bottom w:val="none" w:sz="0" w:space="0" w:color="auto"/>
        <w:right w:val="none" w:sz="0" w:space="0" w:color="auto"/>
      </w:divBdr>
    </w:div>
    <w:div w:id="1320619860">
      <w:bodyDiv w:val="1"/>
      <w:marLeft w:val="0"/>
      <w:marRight w:val="0"/>
      <w:marTop w:val="0"/>
      <w:marBottom w:val="0"/>
      <w:divBdr>
        <w:top w:val="none" w:sz="0" w:space="0" w:color="auto"/>
        <w:left w:val="none" w:sz="0" w:space="0" w:color="auto"/>
        <w:bottom w:val="none" w:sz="0" w:space="0" w:color="auto"/>
        <w:right w:val="none" w:sz="0" w:space="0" w:color="auto"/>
      </w:divBdr>
    </w:div>
    <w:div w:id="1328560479">
      <w:bodyDiv w:val="1"/>
      <w:marLeft w:val="0"/>
      <w:marRight w:val="0"/>
      <w:marTop w:val="0"/>
      <w:marBottom w:val="0"/>
      <w:divBdr>
        <w:top w:val="none" w:sz="0" w:space="0" w:color="auto"/>
        <w:left w:val="none" w:sz="0" w:space="0" w:color="auto"/>
        <w:bottom w:val="none" w:sz="0" w:space="0" w:color="auto"/>
        <w:right w:val="none" w:sz="0" w:space="0" w:color="auto"/>
      </w:divBdr>
    </w:div>
    <w:div w:id="1337346136">
      <w:bodyDiv w:val="1"/>
      <w:marLeft w:val="0"/>
      <w:marRight w:val="0"/>
      <w:marTop w:val="0"/>
      <w:marBottom w:val="0"/>
      <w:divBdr>
        <w:top w:val="none" w:sz="0" w:space="0" w:color="auto"/>
        <w:left w:val="none" w:sz="0" w:space="0" w:color="auto"/>
        <w:bottom w:val="none" w:sz="0" w:space="0" w:color="auto"/>
        <w:right w:val="none" w:sz="0" w:space="0" w:color="auto"/>
      </w:divBdr>
    </w:div>
    <w:div w:id="1346634718">
      <w:bodyDiv w:val="1"/>
      <w:marLeft w:val="0"/>
      <w:marRight w:val="0"/>
      <w:marTop w:val="0"/>
      <w:marBottom w:val="0"/>
      <w:divBdr>
        <w:top w:val="none" w:sz="0" w:space="0" w:color="auto"/>
        <w:left w:val="none" w:sz="0" w:space="0" w:color="auto"/>
        <w:bottom w:val="none" w:sz="0" w:space="0" w:color="auto"/>
        <w:right w:val="none" w:sz="0" w:space="0" w:color="auto"/>
      </w:divBdr>
    </w:div>
    <w:div w:id="1444424689">
      <w:bodyDiv w:val="1"/>
      <w:marLeft w:val="0"/>
      <w:marRight w:val="0"/>
      <w:marTop w:val="0"/>
      <w:marBottom w:val="0"/>
      <w:divBdr>
        <w:top w:val="none" w:sz="0" w:space="0" w:color="auto"/>
        <w:left w:val="none" w:sz="0" w:space="0" w:color="auto"/>
        <w:bottom w:val="none" w:sz="0" w:space="0" w:color="auto"/>
        <w:right w:val="none" w:sz="0" w:space="0" w:color="auto"/>
      </w:divBdr>
    </w:div>
    <w:div w:id="1507869054">
      <w:bodyDiv w:val="1"/>
      <w:marLeft w:val="0"/>
      <w:marRight w:val="0"/>
      <w:marTop w:val="0"/>
      <w:marBottom w:val="0"/>
      <w:divBdr>
        <w:top w:val="none" w:sz="0" w:space="0" w:color="auto"/>
        <w:left w:val="none" w:sz="0" w:space="0" w:color="auto"/>
        <w:bottom w:val="none" w:sz="0" w:space="0" w:color="auto"/>
        <w:right w:val="none" w:sz="0" w:space="0" w:color="auto"/>
      </w:divBdr>
    </w:div>
    <w:div w:id="1588886027">
      <w:bodyDiv w:val="1"/>
      <w:marLeft w:val="0"/>
      <w:marRight w:val="0"/>
      <w:marTop w:val="0"/>
      <w:marBottom w:val="0"/>
      <w:divBdr>
        <w:top w:val="none" w:sz="0" w:space="0" w:color="auto"/>
        <w:left w:val="none" w:sz="0" w:space="0" w:color="auto"/>
        <w:bottom w:val="none" w:sz="0" w:space="0" w:color="auto"/>
        <w:right w:val="none" w:sz="0" w:space="0" w:color="auto"/>
      </w:divBdr>
    </w:div>
    <w:div w:id="1630554387">
      <w:bodyDiv w:val="1"/>
      <w:marLeft w:val="0"/>
      <w:marRight w:val="0"/>
      <w:marTop w:val="0"/>
      <w:marBottom w:val="0"/>
      <w:divBdr>
        <w:top w:val="none" w:sz="0" w:space="0" w:color="auto"/>
        <w:left w:val="none" w:sz="0" w:space="0" w:color="auto"/>
        <w:bottom w:val="none" w:sz="0" w:space="0" w:color="auto"/>
        <w:right w:val="none" w:sz="0" w:space="0" w:color="auto"/>
      </w:divBdr>
      <w:divsChild>
        <w:div w:id="758214535">
          <w:marLeft w:val="0"/>
          <w:marRight w:val="0"/>
          <w:marTop w:val="0"/>
          <w:marBottom w:val="0"/>
          <w:divBdr>
            <w:top w:val="none" w:sz="0" w:space="0" w:color="auto"/>
            <w:left w:val="none" w:sz="0" w:space="0" w:color="auto"/>
            <w:bottom w:val="none" w:sz="0" w:space="0" w:color="auto"/>
            <w:right w:val="none" w:sz="0" w:space="0" w:color="auto"/>
          </w:divBdr>
          <w:divsChild>
            <w:div w:id="181629634">
              <w:marLeft w:val="0"/>
              <w:marRight w:val="0"/>
              <w:marTop w:val="0"/>
              <w:marBottom w:val="0"/>
              <w:divBdr>
                <w:top w:val="none" w:sz="0" w:space="0" w:color="auto"/>
                <w:left w:val="none" w:sz="0" w:space="0" w:color="auto"/>
                <w:bottom w:val="none" w:sz="0" w:space="0" w:color="auto"/>
                <w:right w:val="none" w:sz="0" w:space="0" w:color="auto"/>
              </w:divBdr>
            </w:div>
            <w:div w:id="395932511">
              <w:marLeft w:val="0"/>
              <w:marRight w:val="0"/>
              <w:marTop w:val="0"/>
              <w:marBottom w:val="0"/>
              <w:divBdr>
                <w:top w:val="none" w:sz="0" w:space="0" w:color="auto"/>
                <w:left w:val="none" w:sz="0" w:space="0" w:color="auto"/>
                <w:bottom w:val="none" w:sz="0" w:space="0" w:color="auto"/>
                <w:right w:val="none" w:sz="0" w:space="0" w:color="auto"/>
              </w:divBdr>
            </w:div>
            <w:div w:id="1502813868">
              <w:marLeft w:val="0"/>
              <w:marRight w:val="0"/>
              <w:marTop w:val="0"/>
              <w:marBottom w:val="0"/>
              <w:divBdr>
                <w:top w:val="none" w:sz="0" w:space="0" w:color="auto"/>
                <w:left w:val="none" w:sz="0" w:space="0" w:color="auto"/>
                <w:bottom w:val="none" w:sz="0" w:space="0" w:color="auto"/>
                <w:right w:val="none" w:sz="0" w:space="0" w:color="auto"/>
              </w:divBdr>
              <w:divsChild>
                <w:div w:id="1388526251">
                  <w:marLeft w:val="0"/>
                  <w:marRight w:val="0"/>
                  <w:marTop w:val="0"/>
                  <w:marBottom w:val="0"/>
                  <w:divBdr>
                    <w:top w:val="none" w:sz="0" w:space="0" w:color="auto"/>
                    <w:left w:val="none" w:sz="0" w:space="0" w:color="auto"/>
                    <w:bottom w:val="none" w:sz="0" w:space="0" w:color="auto"/>
                    <w:right w:val="none" w:sz="0" w:space="0" w:color="auto"/>
                  </w:divBdr>
                  <w:divsChild>
                    <w:div w:id="1796677576">
                      <w:marLeft w:val="0"/>
                      <w:marRight w:val="0"/>
                      <w:marTop w:val="0"/>
                      <w:marBottom w:val="0"/>
                      <w:divBdr>
                        <w:top w:val="none" w:sz="0" w:space="0" w:color="auto"/>
                        <w:left w:val="none" w:sz="0" w:space="0" w:color="auto"/>
                        <w:bottom w:val="none" w:sz="0" w:space="0" w:color="auto"/>
                        <w:right w:val="none" w:sz="0" w:space="0" w:color="auto"/>
                      </w:divBdr>
                      <w:divsChild>
                        <w:div w:id="600142408">
                          <w:marLeft w:val="0"/>
                          <w:marRight w:val="0"/>
                          <w:marTop w:val="0"/>
                          <w:marBottom w:val="0"/>
                          <w:divBdr>
                            <w:top w:val="none" w:sz="0" w:space="0" w:color="auto"/>
                            <w:left w:val="none" w:sz="0" w:space="0" w:color="auto"/>
                            <w:bottom w:val="none" w:sz="0" w:space="0" w:color="auto"/>
                            <w:right w:val="none" w:sz="0" w:space="0" w:color="auto"/>
                          </w:divBdr>
                          <w:divsChild>
                            <w:div w:id="55235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5310886">
          <w:marLeft w:val="0"/>
          <w:marRight w:val="0"/>
          <w:marTop w:val="0"/>
          <w:marBottom w:val="0"/>
          <w:divBdr>
            <w:top w:val="none" w:sz="0" w:space="0" w:color="auto"/>
            <w:left w:val="none" w:sz="0" w:space="0" w:color="auto"/>
            <w:bottom w:val="none" w:sz="0" w:space="0" w:color="auto"/>
            <w:right w:val="none" w:sz="0" w:space="0" w:color="auto"/>
          </w:divBdr>
          <w:divsChild>
            <w:div w:id="927621146">
              <w:marLeft w:val="0"/>
              <w:marRight w:val="0"/>
              <w:marTop w:val="0"/>
              <w:marBottom w:val="0"/>
              <w:divBdr>
                <w:top w:val="none" w:sz="0" w:space="0" w:color="auto"/>
                <w:left w:val="none" w:sz="0" w:space="0" w:color="auto"/>
                <w:bottom w:val="none" w:sz="0" w:space="0" w:color="auto"/>
                <w:right w:val="none" w:sz="0" w:space="0" w:color="auto"/>
              </w:divBdr>
            </w:div>
            <w:div w:id="1863662043">
              <w:blockQuote w:val="1"/>
              <w:marLeft w:val="96"/>
              <w:marRight w:val="0"/>
              <w:marTop w:val="0"/>
              <w:marBottom w:val="0"/>
              <w:divBdr>
                <w:top w:val="none" w:sz="0" w:space="0" w:color="auto"/>
                <w:left w:val="single" w:sz="6" w:space="6" w:color="CCCCCC"/>
                <w:bottom w:val="none" w:sz="0" w:space="0" w:color="auto"/>
                <w:right w:val="none" w:sz="0" w:space="0" w:color="auto"/>
              </w:divBdr>
            </w:div>
          </w:divsChild>
        </w:div>
      </w:divsChild>
    </w:div>
    <w:div w:id="1650940084">
      <w:bodyDiv w:val="1"/>
      <w:marLeft w:val="0"/>
      <w:marRight w:val="0"/>
      <w:marTop w:val="0"/>
      <w:marBottom w:val="0"/>
      <w:divBdr>
        <w:top w:val="none" w:sz="0" w:space="0" w:color="auto"/>
        <w:left w:val="none" w:sz="0" w:space="0" w:color="auto"/>
        <w:bottom w:val="none" w:sz="0" w:space="0" w:color="auto"/>
        <w:right w:val="none" w:sz="0" w:space="0" w:color="auto"/>
      </w:divBdr>
    </w:div>
    <w:div w:id="1681929110">
      <w:bodyDiv w:val="1"/>
      <w:marLeft w:val="0"/>
      <w:marRight w:val="0"/>
      <w:marTop w:val="0"/>
      <w:marBottom w:val="0"/>
      <w:divBdr>
        <w:top w:val="none" w:sz="0" w:space="0" w:color="auto"/>
        <w:left w:val="none" w:sz="0" w:space="0" w:color="auto"/>
        <w:bottom w:val="none" w:sz="0" w:space="0" w:color="auto"/>
        <w:right w:val="none" w:sz="0" w:space="0" w:color="auto"/>
      </w:divBdr>
    </w:div>
    <w:div w:id="1703435729">
      <w:bodyDiv w:val="1"/>
      <w:marLeft w:val="0"/>
      <w:marRight w:val="0"/>
      <w:marTop w:val="0"/>
      <w:marBottom w:val="0"/>
      <w:divBdr>
        <w:top w:val="none" w:sz="0" w:space="0" w:color="auto"/>
        <w:left w:val="none" w:sz="0" w:space="0" w:color="auto"/>
        <w:bottom w:val="none" w:sz="0" w:space="0" w:color="auto"/>
        <w:right w:val="none" w:sz="0" w:space="0" w:color="auto"/>
      </w:divBdr>
    </w:div>
    <w:div w:id="1730305548">
      <w:bodyDiv w:val="1"/>
      <w:marLeft w:val="0"/>
      <w:marRight w:val="0"/>
      <w:marTop w:val="0"/>
      <w:marBottom w:val="0"/>
      <w:divBdr>
        <w:top w:val="none" w:sz="0" w:space="0" w:color="auto"/>
        <w:left w:val="none" w:sz="0" w:space="0" w:color="auto"/>
        <w:bottom w:val="none" w:sz="0" w:space="0" w:color="auto"/>
        <w:right w:val="none" w:sz="0" w:space="0" w:color="auto"/>
      </w:divBdr>
    </w:div>
    <w:div w:id="1747148321">
      <w:bodyDiv w:val="1"/>
      <w:marLeft w:val="0"/>
      <w:marRight w:val="0"/>
      <w:marTop w:val="0"/>
      <w:marBottom w:val="0"/>
      <w:divBdr>
        <w:top w:val="none" w:sz="0" w:space="0" w:color="auto"/>
        <w:left w:val="none" w:sz="0" w:space="0" w:color="auto"/>
        <w:bottom w:val="none" w:sz="0" w:space="0" w:color="auto"/>
        <w:right w:val="none" w:sz="0" w:space="0" w:color="auto"/>
      </w:divBdr>
    </w:div>
    <w:div w:id="1828814712">
      <w:bodyDiv w:val="1"/>
      <w:marLeft w:val="0"/>
      <w:marRight w:val="0"/>
      <w:marTop w:val="0"/>
      <w:marBottom w:val="0"/>
      <w:divBdr>
        <w:top w:val="none" w:sz="0" w:space="0" w:color="auto"/>
        <w:left w:val="none" w:sz="0" w:space="0" w:color="auto"/>
        <w:bottom w:val="none" w:sz="0" w:space="0" w:color="auto"/>
        <w:right w:val="none" w:sz="0" w:space="0" w:color="auto"/>
      </w:divBdr>
    </w:div>
    <w:div w:id="19187823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microsoft.com/office/2007/relationships/hdphoto" Target="media/hdphoto1.wdp"/><Relationship Id="rId10" Type="http://schemas.openxmlformats.org/officeDocument/2006/relationships/chart" Target="charts/chart1.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vyzkum.cz/FrontClanek.aspx?idsekce=967605" TargetMode="External"/><Relationship Id="rId14" Type="http://schemas.openxmlformats.org/officeDocument/2006/relationships/image" Target="media/image5.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gif"/></Relationships>
</file>

<file path=word/charts/_rels/chart1.xml.rels><?xml version="1.0" encoding="UTF-8" standalone="yes"?>
<Relationships xmlns="http://schemas.openxmlformats.org/package/2006/relationships"><Relationship Id="rId1" Type="http://schemas.openxmlformats.org/officeDocument/2006/relationships/oleObject" Target="file:///\\fs\RVV\Oddeleni%20analyz%20a%20koordinace%20vedy\_Spolecne\Anal&#253;za%20VaVaI_2021\01_Vydaje%20VaVaI\_kap_01_g01_ANA202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749620770302342"/>
          <c:y val="5.0180879932381336E-2"/>
          <c:w val="0.71244134919672431"/>
          <c:h val="0.72819716179545357"/>
        </c:manualLayout>
      </c:layout>
      <c:barChart>
        <c:barDir val="col"/>
        <c:grouping val="stacked"/>
        <c:varyColors val="0"/>
        <c:ser>
          <c:idx val="2"/>
          <c:order val="0"/>
          <c:tx>
            <c:strRef>
              <c:f>'obr. 1.1x (3)'!$A$9</c:f>
              <c:strCache>
                <c:ptCount val="1"/>
                <c:pt idx="0">
                  <c:v>veřejné z ČR</c:v>
                </c:pt>
              </c:strCache>
            </c:strRef>
          </c:tx>
          <c:spPr>
            <a:solidFill>
              <a:srgbClr val="9EE99E"/>
            </a:solidFill>
            <a:ln w="12700">
              <a:solidFill>
                <a:srgbClr val="1FA81F"/>
              </a:solidFill>
            </a:ln>
          </c:spPr>
          <c:invertIfNegative val="0"/>
          <c:cat>
            <c:numRef>
              <c:f>'obr. 1.1x (3)'!$M$7:$V$7</c:f>
              <c:numCache>
                <c:formatCode>General</c:formatCode>
                <c:ptCount val="10"/>
                <c:pt idx="0">
                  <c:v>2012</c:v>
                </c:pt>
                <c:pt idx="1">
                  <c:v>2013</c:v>
                </c:pt>
                <c:pt idx="2">
                  <c:v>2014</c:v>
                </c:pt>
                <c:pt idx="3">
                  <c:v>2015</c:v>
                </c:pt>
                <c:pt idx="4">
                  <c:v>2016</c:v>
                </c:pt>
                <c:pt idx="5">
                  <c:v>2017</c:v>
                </c:pt>
                <c:pt idx="6">
                  <c:v>2018</c:v>
                </c:pt>
                <c:pt idx="7">
                  <c:v>2019</c:v>
                </c:pt>
                <c:pt idx="8">
                  <c:v>2020</c:v>
                </c:pt>
                <c:pt idx="9">
                  <c:v>2021</c:v>
                </c:pt>
              </c:numCache>
            </c:numRef>
          </c:cat>
          <c:val>
            <c:numRef>
              <c:f>'obr. 1.1x (3)'!$M$9:$V$9</c:f>
              <c:numCache>
                <c:formatCode>#,##0" "</c:formatCode>
                <c:ptCount val="10"/>
                <c:pt idx="0">
                  <c:v>26616.461849999992</c:v>
                </c:pt>
                <c:pt idx="1">
                  <c:v>27045.283729999996</c:v>
                </c:pt>
                <c:pt idx="2">
                  <c:v>28034.480449999999</c:v>
                </c:pt>
                <c:pt idx="3">
                  <c:v>28562.501870000011</c:v>
                </c:pt>
                <c:pt idx="4">
                  <c:v>28534.980418193358</c:v>
                </c:pt>
                <c:pt idx="5">
                  <c:v>31232.402071476437</c:v>
                </c:pt>
                <c:pt idx="6">
                  <c:v>35036.515198448687</c:v>
                </c:pt>
                <c:pt idx="7">
                  <c:v>37580.898000000008</c:v>
                </c:pt>
                <c:pt idx="8">
                  <c:v>38568.942999999992</c:v>
                </c:pt>
                <c:pt idx="9">
                  <c:v>39406.282332316376</c:v>
                </c:pt>
              </c:numCache>
            </c:numRef>
          </c:val>
          <c:extLst>
            <c:ext xmlns:c16="http://schemas.microsoft.com/office/drawing/2014/chart" uri="{C3380CC4-5D6E-409C-BE32-E72D297353CC}">
              <c16:uniqueId val="{00000000-4089-44F6-9F09-425588A7FFFB}"/>
            </c:ext>
          </c:extLst>
        </c:ser>
        <c:ser>
          <c:idx val="3"/>
          <c:order val="1"/>
          <c:tx>
            <c:strRef>
              <c:f>'obr. 1.1x (3)'!$A$10</c:f>
              <c:strCache>
                <c:ptCount val="1"/>
                <c:pt idx="0">
                  <c:v>veřejné zahraniční </c:v>
                </c:pt>
              </c:strCache>
            </c:strRef>
          </c:tx>
          <c:spPr>
            <a:solidFill>
              <a:srgbClr val="D4DEEF"/>
            </a:solidFill>
            <a:ln w="12700">
              <a:solidFill>
                <a:srgbClr val="3A5D9C"/>
              </a:solidFill>
            </a:ln>
          </c:spPr>
          <c:invertIfNegative val="0"/>
          <c:cat>
            <c:numRef>
              <c:f>'obr. 1.1x (3)'!$M$7:$V$7</c:f>
              <c:numCache>
                <c:formatCode>General</c:formatCode>
                <c:ptCount val="10"/>
                <c:pt idx="0">
                  <c:v>2012</c:v>
                </c:pt>
                <c:pt idx="1">
                  <c:v>2013</c:v>
                </c:pt>
                <c:pt idx="2">
                  <c:v>2014</c:v>
                </c:pt>
                <c:pt idx="3">
                  <c:v>2015</c:v>
                </c:pt>
                <c:pt idx="4">
                  <c:v>2016</c:v>
                </c:pt>
                <c:pt idx="5">
                  <c:v>2017</c:v>
                </c:pt>
                <c:pt idx="6">
                  <c:v>2018</c:v>
                </c:pt>
                <c:pt idx="7">
                  <c:v>2019</c:v>
                </c:pt>
                <c:pt idx="8">
                  <c:v>2020</c:v>
                </c:pt>
                <c:pt idx="9">
                  <c:v>2021</c:v>
                </c:pt>
              </c:numCache>
            </c:numRef>
          </c:cat>
          <c:val>
            <c:numRef>
              <c:f>'obr. 1.1x (3)'!$M$10:$V$10</c:f>
              <c:numCache>
                <c:formatCode>#,##0" "</c:formatCode>
                <c:ptCount val="10"/>
                <c:pt idx="0">
                  <c:v>11622.015259999995</c:v>
                </c:pt>
                <c:pt idx="1">
                  <c:v>12575.684980000002</c:v>
                </c:pt>
                <c:pt idx="2">
                  <c:v>13251.651590000001</c:v>
                </c:pt>
                <c:pt idx="3">
                  <c:v>13819.510729999998</c:v>
                </c:pt>
                <c:pt idx="4">
                  <c:v>2666.5532901295328</c:v>
                </c:pt>
                <c:pt idx="5">
                  <c:v>4307.3332370686912</c:v>
                </c:pt>
                <c:pt idx="6">
                  <c:v>6620.6036794058355</c:v>
                </c:pt>
                <c:pt idx="7">
                  <c:v>8064.2760516075405</c:v>
                </c:pt>
                <c:pt idx="8">
                  <c:v>7236</c:v>
                </c:pt>
                <c:pt idx="9">
                  <c:v>8372</c:v>
                </c:pt>
              </c:numCache>
            </c:numRef>
          </c:val>
          <c:extLst>
            <c:ext xmlns:c16="http://schemas.microsoft.com/office/drawing/2014/chart" uri="{C3380CC4-5D6E-409C-BE32-E72D297353CC}">
              <c16:uniqueId val="{00000001-4089-44F6-9F09-425588A7FFFB}"/>
            </c:ext>
          </c:extLst>
        </c:ser>
        <c:ser>
          <c:idx val="1"/>
          <c:order val="2"/>
          <c:tx>
            <c:strRef>
              <c:f>'obr. 1.1x (3)'!$A$8</c:f>
              <c:strCache>
                <c:ptCount val="1"/>
                <c:pt idx="0">
                  <c:v>podnikatelské </c:v>
                </c:pt>
              </c:strCache>
            </c:strRef>
          </c:tx>
          <c:spPr>
            <a:solidFill>
              <a:srgbClr val="D78E8E"/>
            </a:solidFill>
            <a:ln w="12700">
              <a:solidFill>
                <a:srgbClr val="BE4949"/>
              </a:solidFill>
            </a:ln>
          </c:spPr>
          <c:invertIfNegative val="0"/>
          <c:cat>
            <c:numRef>
              <c:f>'obr. 1.1x (3)'!$M$7:$V$7</c:f>
              <c:numCache>
                <c:formatCode>General</c:formatCode>
                <c:ptCount val="10"/>
                <c:pt idx="0">
                  <c:v>2012</c:v>
                </c:pt>
                <c:pt idx="1">
                  <c:v>2013</c:v>
                </c:pt>
                <c:pt idx="2">
                  <c:v>2014</c:v>
                </c:pt>
                <c:pt idx="3">
                  <c:v>2015</c:v>
                </c:pt>
                <c:pt idx="4">
                  <c:v>2016</c:v>
                </c:pt>
                <c:pt idx="5">
                  <c:v>2017</c:v>
                </c:pt>
                <c:pt idx="6">
                  <c:v>2018</c:v>
                </c:pt>
                <c:pt idx="7">
                  <c:v>2019</c:v>
                </c:pt>
                <c:pt idx="8">
                  <c:v>2020</c:v>
                </c:pt>
                <c:pt idx="9">
                  <c:v>2021</c:v>
                </c:pt>
              </c:numCache>
            </c:numRef>
          </c:cat>
          <c:val>
            <c:numRef>
              <c:f>'obr. 1.1x (3)'!$M$8:$V$8</c:f>
              <c:numCache>
                <c:formatCode>#,##0" "</c:formatCode>
                <c:ptCount val="10"/>
                <c:pt idx="0">
                  <c:v>33464.307599999956</c:v>
                </c:pt>
                <c:pt idx="1">
                  <c:v>37832.045329999972</c:v>
                </c:pt>
                <c:pt idx="2">
                  <c:v>43262.481299999941</c:v>
                </c:pt>
                <c:pt idx="3">
                  <c:v>45606.931269999965</c:v>
                </c:pt>
                <c:pt idx="4">
                  <c:v>48216.793418811583</c:v>
                </c:pt>
                <c:pt idx="5">
                  <c:v>53838.753012773734</c:v>
                </c:pt>
                <c:pt idx="6">
                  <c:v>59946.624939610985</c:v>
                </c:pt>
                <c:pt idx="7">
                  <c:v>64735.662536227494</c:v>
                </c:pt>
                <c:pt idx="8">
                  <c:v>66086</c:v>
                </c:pt>
                <c:pt idx="9">
                  <c:v>72833</c:v>
                </c:pt>
              </c:numCache>
            </c:numRef>
          </c:val>
          <c:extLst>
            <c:ext xmlns:c16="http://schemas.microsoft.com/office/drawing/2014/chart" uri="{C3380CC4-5D6E-409C-BE32-E72D297353CC}">
              <c16:uniqueId val="{00000002-4089-44F6-9F09-425588A7FFFB}"/>
            </c:ext>
          </c:extLst>
        </c:ser>
        <c:ser>
          <c:idx val="4"/>
          <c:order val="3"/>
          <c:tx>
            <c:strRef>
              <c:f>'obr. 1.1x (3)'!$A$11</c:f>
              <c:strCache>
                <c:ptCount val="1"/>
                <c:pt idx="0">
                  <c:v>ostatní </c:v>
                </c:pt>
              </c:strCache>
            </c:strRef>
          </c:tx>
          <c:spPr>
            <a:solidFill>
              <a:srgbClr val="FFFFE7"/>
            </a:solidFill>
            <a:ln w="12700">
              <a:solidFill>
                <a:srgbClr val="FFFF87"/>
              </a:solidFill>
            </a:ln>
          </c:spPr>
          <c:invertIfNegative val="0"/>
          <c:cat>
            <c:numRef>
              <c:f>'obr. 1.1x (3)'!$M$7:$V$7</c:f>
              <c:numCache>
                <c:formatCode>General</c:formatCode>
                <c:ptCount val="10"/>
                <c:pt idx="0">
                  <c:v>2012</c:v>
                </c:pt>
                <c:pt idx="1">
                  <c:v>2013</c:v>
                </c:pt>
                <c:pt idx="2">
                  <c:v>2014</c:v>
                </c:pt>
                <c:pt idx="3">
                  <c:v>2015</c:v>
                </c:pt>
                <c:pt idx="4">
                  <c:v>2016</c:v>
                </c:pt>
                <c:pt idx="5">
                  <c:v>2017</c:v>
                </c:pt>
                <c:pt idx="6">
                  <c:v>2018</c:v>
                </c:pt>
                <c:pt idx="7">
                  <c:v>2019</c:v>
                </c:pt>
                <c:pt idx="8">
                  <c:v>2020</c:v>
                </c:pt>
                <c:pt idx="9">
                  <c:v>2021</c:v>
                </c:pt>
              </c:numCache>
            </c:numRef>
          </c:cat>
          <c:val>
            <c:numRef>
              <c:f>'obr. 1.1x (3)'!$M$11:$V$11</c:f>
              <c:numCache>
                <c:formatCode>#,##0" "</c:formatCode>
                <c:ptCount val="10"/>
                <c:pt idx="0">
                  <c:v>657.5226799999997</c:v>
                </c:pt>
                <c:pt idx="1">
                  <c:v>400.37196000000006</c:v>
                </c:pt>
                <c:pt idx="2">
                  <c:v>555.85356000000002</c:v>
                </c:pt>
                <c:pt idx="3">
                  <c:v>674.44572000000005</c:v>
                </c:pt>
                <c:pt idx="4">
                  <c:v>690.8301409970743</c:v>
                </c:pt>
                <c:pt idx="5">
                  <c:v>1007.5364606579133</c:v>
                </c:pt>
                <c:pt idx="6">
                  <c:v>1149.9856578860981</c:v>
                </c:pt>
                <c:pt idx="7">
                  <c:v>1241.2102315776374</c:v>
                </c:pt>
                <c:pt idx="8">
                  <c:v>1491</c:v>
                </c:pt>
                <c:pt idx="9">
                  <c:v>1319</c:v>
                </c:pt>
              </c:numCache>
            </c:numRef>
          </c:val>
          <c:extLst>
            <c:ext xmlns:c16="http://schemas.microsoft.com/office/drawing/2014/chart" uri="{C3380CC4-5D6E-409C-BE32-E72D297353CC}">
              <c16:uniqueId val="{00000003-4089-44F6-9F09-425588A7FFFB}"/>
            </c:ext>
          </c:extLst>
        </c:ser>
        <c:dLbls>
          <c:showLegendKey val="0"/>
          <c:showVal val="0"/>
          <c:showCatName val="0"/>
          <c:showSerName val="0"/>
          <c:showPercent val="0"/>
          <c:showBubbleSize val="0"/>
        </c:dLbls>
        <c:gapWidth val="150"/>
        <c:overlap val="100"/>
        <c:axId val="130068480"/>
        <c:axId val="130070016"/>
      </c:barChart>
      <c:scatterChart>
        <c:scatterStyle val="smoothMarker"/>
        <c:varyColors val="0"/>
        <c:ser>
          <c:idx val="0"/>
          <c:order val="4"/>
          <c:tx>
            <c:strRef>
              <c:f>'obr. 1.1x (3)'!$A$4</c:f>
              <c:strCache>
                <c:ptCount val="1"/>
                <c:pt idx="0">
                  <c:v>% HDP</c:v>
                </c:pt>
              </c:strCache>
            </c:strRef>
          </c:tx>
          <c:spPr>
            <a:ln w="19050">
              <a:solidFill>
                <a:srgbClr val="7F7F7F"/>
              </a:solidFill>
            </a:ln>
          </c:spPr>
          <c:marker>
            <c:symbol val="circle"/>
            <c:size val="5"/>
            <c:spPr>
              <a:solidFill>
                <a:srgbClr val="D9D9D9"/>
              </a:solidFill>
              <a:ln>
                <a:solidFill>
                  <a:srgbClr val="7F7F7F"/>
                </a:solidFill>
              </a:ln>
            </c:spPr>
          </c:marker>
          <c:dLbls>
            <c:numFmt formatCode="#,##0.00" sourceLinked="0"/>
            <c:spPr>
              <a:noFill/>
              <a:ln>
                <a:noFill/>
              </a:ln>
              <a:effectLst/>
            </c:spPr>
            <c:txPr>
              <a:bodyPr wrap="square" lIns="38100" tIns="19050" rIns="38100" bIns="19050" anchor="ctr">
                <a:spAutoFit/>
              </a:bodyPr>
              <a:lstStyle/>
              <a:p>
                <a:pPr>
                  <a:defRPr sz="800"/>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yVal>
            <c:numRef>
              <c:f>'obr. 1.1x (3)'!$M$4:$V$4</c:f>
              <c:numCache>
                <c:formatCode>0.00</c:formatCode>
                <c:ptCount val="10"/>
                <c:pt idx="0">
                  <c:v>1.77</c:v>
                </c:pt>
                <c:pt idx="1">
                  <c:v>1.88</c:v>
                </c:pt>
                <c:pt idx="2">
                  <c:v>1.96</c:v>
                </c:pt>
                <c:pt idx="3">
                  <c:v>1.92</c:v>
                </c:pt>
                <c:pt idx="4">
                  <c:v>1.67</c:v>
                </c:pt>
                <c:pt idx="5">
                  <c:v>1.77</c:v>
                </c:pt>
                <c:pt idx="6">
                  <c:v>1.9</c:v>
                </c:pt>
                <c:pt idx="7">
                  <c:v>1.93</c:v>
                </c:pt>
                <c:pt idx="8">
                  <c:v>1.99</c:v>
                </c:pt>
                <c:pt idx="9">
                  <c:v>2</c:v>
                </c:pt>
              </c:numCache>
            </c:numRef>
          </c:yVal>
          <c:smooth val="1"/>
          <c:extLst>
            <c:ext xmlns:c16="http://schemas.microsoft.com/office/drawing/2014/chart" uri="{C3380CC4-5D6E-409C-BE32-E72D297353CC}">
              <c16:uniqueId val="{00000004-4089-44F6-9F09-425588A7FFFB}"/>
            </c:ext>
          </c:extLst>
        </c:ser>
        <c:dLbls>
          <c:showLegendKey val="0"/>
          <c:showVal val="0"/>
          <c:showCatName val="0"/>
          <c:showSerName val="0"/>
          <c:showPercent val="0"/>
          <c:showBubbleSize val="0"/>
        </c:dLbls>
        <c:axId val="130078592"/>
        <c:axId val="130076672"/>
      </c:scatterChart>
      <c:catAx>
        <c:axId val="130068480"/>
        <c:scaling>
          <c:orientation val="minMax"/>
        </c:scaling>
        <c:delete val="0"/>
        <c:axPos val="b"/>
        <c:numFmt formatCode="General" sourceLinked="1"/>
        <c:majorTickMark val="out"/>
        <c:minorTickMark val="none"/>
        <c:tickLblPos val="nextTo"/>
        <c:txPr>
          <a:bodyPr rot="0"/>
          <a:lstStyle/>
          <a:p>
            <a:pPr>
              <a:defRPr sz="900"/>
            </a:pPr>
            <a:endParaRPr lang="cs-CZ"/>
          </a:p>
        </c:txPr>
        <c:crossAx val="130070016"/>
        <c:crosses val="autoZero"/>
        <c:auto val="1"/>
        <c:lblAlgn val="ctr"/>
        <c:lblOffset val="100"/>
        <c:noMultiLvlLbl val="0"/>
      </c:catAx>
      <c:valAx>
        <c:axId val="130070016"/>
        <c:scaling>
          <c:orientation val="minMax"/>
          <c:max val="140000"/>
          <c:min val="0"/>
        </c:scaling>
        <c:delete val="0"/>
        <c:axPos val="l"/>
        <c:majorGridlines>
          <c:spPr>
            <a:ln w="6350">
              <a:solidFill>
                <a:schemeClr val="bg1">
                  <a:lumMod val="65000"/>
                </a:schemeClr>
              </a:solidFill>
              <a:prstDash val="sysDash"/>
            </a:ln>
          </c:spPr>
        </c:majorGridlines>
        <c:title>
          <c:tx>
            <c:rich>
              <a:bodyPr rot="0" vert="horz" anchor="t" anchorCtr="0"/>
              <a:lstStyle/>
              <a:p>
                <a:pPr>
                  <a:defRPr/>
                </a:pPr>
                <a:r>
                  <a:rPr lang="cs-CZ"/>
                  <a:t>mld</a:t>
                </a:r>
                <a:r>
                  <a:rPr lang="en-US"/>
                  <a:t>. Kč</a:t>
                </a:r>
                <a:r>
                  <a:rPr lang="cs-CZ"/>
                  <a:t> </a:t>
                </a:r>
              </a:p>
              <a:p>
                <a:pPr>
                  <a:defRPr/>
                </a:pPr>
                <a:r>
                  <a:rPr lang="cs-CZ"/>
                  <a:t>(b. c.)</a:t>
                </a:r>
                <a:endParaRPr lang="en-US"/>
              </a:p>
            </c:rich>
          </c:tx>
          <c:layout>
            <c:manualLayout>
              <c:xMode val="edge"/>
              <c:yMode val="edge"/>
              <c:x val="7.7962677345744151E-3"/>
              <c:y val="2.0542197326005388E-2"/>
            </c:manualLayout>
          </c:layout>
          <c:overlay val="0"/>
        </c:title>
        <c:numFmt formatCode="#,##0.0" sourceLinked="0"/>
        <c:majorTickMark val="out"/>
        <c:minorTickMark val="none"/>
        <c:tickLblPos val="nextTo"/>
        <c:txPr>
          <a:bodyPr/>
          <a:lstStyle/>
          <a:p>
            <a:pPr>
              <a:defRPr sz="900"/>
            </a:pPr>
            <a:endParaRPr lang="cs-CZ"/>
          </a:p>
        </c:txPr>
        <c:crossAx val="130068480"/>
        <c:crosses val="autoZero"/>
        <c:crossBetween val="between"/>
        <c:majorUnit val="20000"/>
        <c:dispUnits>
          <c:builtInUnit val="thousands"/>
        </c:dispUnits>
      </c:valAx>
      <c:valAx>
        <c:axId val="130076672"/>
        <c:scaling>
          <c:orientation val="minMax"/>
          <c:max val="2.1"/>
          <c:min val="0"/>
        </c:scaling>
        <c:delete val="0"/>
        <c:axPos val="r"/>
        <c:title>
          <c:tx>
            <c:rich>
              <a:bodyPr rot="0" vert="horz"/>
              <a:lstStyle/>
              <a:p>
                <a:pPr>
                  <a:defRPr/>
                </a:pPr>
                <a:r>
                  <a:rPr lang="en-US"/>
                  <a:t>% HDP</a:t>
                </a:r>
              </a:p>
            </c:rich>
          </c:tx>
          <c:layout>
            <c:manualLayout>
              <c:xMode val="edge"/>
              <c:yMode val="edge"/>
              <c:x val="0.92138876905075817"/>
              <c:y val="3.1292495217758794E-2"/>
            </c:manualLayout>
          </c:layout>
          <c:overlay val="0"/>
        </c:title>
        <c:numFmt formatCode="0.0" sourceLinked="0"/>
        <c:majorTickMark val="out"/>
        <c:minorTickMark val="none"/>
        <c:tickLblPos val="nextTo"/>
        <c:txPr>
          <a:bodyPr/>
          <a:lstStyle/>
          <a:p>
            <a:pPr>
              <a:defRPr sz="900"/>
            </a:pPr>
            <a:endParaRPr lang="cs-CZ"/>
          </a:p>
        </c:txPr>
        <c:crossAx val="130078592"/>
        <c:crosses val="max"/>
        <c:crossBetween val="midCat"/>
        <c:majorUnit val="0.4"/>
        <c:minorUnit val="0.1"/>
      </c:valAx>
      <c:valAx>
        <c:axId val="130078592"/>
        <c:scaling>
          <c:orientation val="minMax"/>
        </c:scaling>
        <c:delete val="1"/>
        <c:axPos val="b"/>
        <c:majorTickMark val="out"/>
        <c:minorTickMark val="none"/>
        <c:tickLblPos val="nextTo"/>
        <c:crossAx val="130076672"/>
        <c:crosses val="autoZero"/>
        <c:crossBetween val="midCat"/>
      </c:valAx>
    </c:plotArea>
    <c:legend>
      <c:legendPos val="b"/>
      <c:overlay val="0"/>
      <c:txPr>
        <a:bodyPr/>
        <a:lstStyle/>
        <a:p>
          <a:pPr>
            <a:defRPr sz="900"/>
          </a:pPr>
          <a:endParaRPr lang="cs-CZ"/>
        </a:p>
      </c:txPr>
    </c:legend>
    <c:plotVisOnly val="1"/>
    <c:dispBlanksAs val="gap"/>
    <c:showDLblsOverMax val="0"/>
  </c:chart>
  <c:spPr>
    <a:noFill/>
    <a:ln>
      <a:noFill/>
    </a:ln>
  </c:spPr>
  <c:externalData r:id="rId1">
    <c:autoUpdate val="0"/>
  </c:externalData>
</c:chartSpace>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F40BA9-A95C-4C09-9D8F-3F72E99DB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24</Pages>
  <Words>6167</Words>
  <Characters>36387</Characters>
  <Application>Microsoft Office Word</Application>
  <DocSecurity>0</DocSecurity>
  <Lines>303</Lines>
  <Paragraphs>84</Paragraphs>
  <ScaleCrop>false</ScaleCrop>
  <HeadingPairs>
    <vt:vector size="2" baseType="variant">
      <vt:variant>
        <vt:lpstr>Název</vt:lpstr>
      </vt:variant>
      <vt:variant>
        <vt:i4>1</vt:i4>
      </vt:variant>
    </vt:vector>
  </HeadingPairs>
  <TitlesOfParts>
    <vt:vector size="1" baseType="lpstr">
      <vt:lpstr>Oddělení finanční podpory výzkumu, vývoje a inovací</vt:lpstr>
    </vt:vector>
  </TitlesOfParts>
  <Company/>
  <LinksUpToDate>false</LinksUpToDate>
  <CharactersWithSpaces>42470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Oddělení finanční podpory výzkumu, vývoje a inovací</dc:title>
  <dc:subject>Odbor koordinace vědy, výzkumu a inovací</dc:subject>
  <dc:creator>Římská Helena</dc:creator>
  <cp:keywords/>
  <dc:description/>
  <cp:lastModifiedBy>Lysý Petr</cp:lastModifiedBy>
  <cp:revision>3</cp:revision>
  <cp:lastPrinted>2022-11-21T06:47:00Z</cp:lastPrinted>
  <dcterms:created xsi:type="dcterms:W3CDTF">2022-11-24T10:35:00Z</dcterms:created>
  <dcterms:modified xsi:type="dcterms:W3CDTF">2022-11-24T10:44:00Z</dcterms:modified>
</cp:coreProperties>
</file>