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DDED0" w14:textId="77777777" w:rsidR="00CE11DE" w:rsidRDefault="00D54CD1" w:rsidP="00D20D33">
      <w:pPr>
        <w:jc w:val="left"/>
        <w:rPr>
          <w:b/>
          <w:bCs/>
          <w:highlight w:val="yellow"/>
          <w:lang w:eastAsia="cs-CZ"/>
        </w:rPr>
      </w:pPr>
      <w:r>
        <w:rPr>
          <w:rStyle w:val="A4"/>
          <w:color w:val="5B9BD5" w:themeColor="accent1"/>
          <w:sz w:val="50"/>
          <w:szCs w:val="50"/>
        </w:rPr>
        <w:t>Investiční pobídky</w:t>
      </w:r>
      <w:r w:rsidR="00CE11DE" w:rsidRPr="00CE11DE">
        <w:rPr>
          <w:b/>
          <w:bCs/>
          <w:highlight w:val="yellow"/>
          <w:lang w:eastAsia="cs-CZ"/>
        </w:rPr>
        <w:t xml:space="preserve"> </w:t>
      </w:r>
    </w:p>
    <w:p w14:paraId="5F19906D" w14:textId="77777777" w:rsidR="00900023" w:rsidRDefault="00900023" w:rsidP="00CE11DE">
      <w:pPr>
        <w:jc w:val="center"/>
        <w:rPr>
          <w:b/>
          <w:bCs/>
          <w:highlight w:val="yellow"/>
          <w:lang w:eastAsia="cs-CZ"/>
        </w:rPr>
      </w:pPr>
    </w:p>
    <w:p w14:paraId="72C68EA5" w14:textId="77777777" w:rsidR="009F21B8" w:rsidRDefault="009F21B8" w:rsidP="00CE11DE">
      <w:pPr>
        <w:jc w:val="center"/>
        <w:rPr>
          <w:b/>
          <w:bCs/>
          <w:highlight w:val="yellow"/>
          <w:lang w:eastAsia="cs-CZ"/>
        </w:rPr>
      </w:pPr>
    </w:p>
    <w:p w14:paraId="465B431B" w14:textId="3F201F65" w:rsidR="009F21B8" w:rsidRPr="009F21B8" w:rsidRDefault="009F21B8" w:rsidP="00403F7B">
      <w:pPr>
        <w:jc w:val="left"/>
        <w:rPr>
          <w:b/>
          <w:color w:val="auto"/>
        </w:rPr>
      </w:pPr>
      <w:r w:rsidRPr="00FD79FE">
        <w:rPr>
          <w:rStyle w:val="A4"/>
          <w:b/>
          <w:color w:val="auto"/>
          <w:sz w:val="24"/>
          <w:szCs w:val="24"/>
        </w:rPr>
        <w:t xml:space="preserve">Účelem investičních pobídek je podpora hospodářského rozvoje </w:t>
      </w:r>
      <w:r w:rsidR="006F63D5">
        <w:rPr>
          <w:rStyle w:val="A4"/>
          <w:b/>
          <w:color w:val="auto"/>
          <w:sz w:val="24"/>
          <w:szCs w:val="24"/>
        </w:rPr>
        <w:t>a </w:t>
      </w:r>
      <w:r w:rsidRPr="00FD79FE">
        <w:rPr>
          <w:rStyle w:val="A4"/>
          <w:b/>
          <w:color w:val="auto"/>
          <w:sz w:val="24"/>
          <w:szCs w:val="24"/>
        </w:rPr>
        <w:t>vytváře</w:t>
      </w:r>
      <w:r w:rsidR="00CB6A07">
        <w:rPr>
          <w:rStyle w:val="A4"/>
          <w:b/>
          <w:color w:val="auto"/>
          <w:sz w:val="24"/>
          <w:szCs w:val="24"/>
        </w:rPr>
        <w:t>ní pracovních míst na území ČR.</w:t>
      </w:r>
      <w:r w:rsidR="00CB6A07">
        <w:rPr>
          <w:rStyle w:val="Znakapoznpodarou"/>
          <w:b/>
          <w:color w:val="auto"/>
        </w:rPr>
        <w:footnoteReference w:id="2"/>
      </w:r>
    </w:p>
    <w:p w14:paraId="362A43B1" w14:textId="77777777" w:rsidR="002835F3" w:rsidRDefault="002835F3" w:rsidP="00CE11DE">
      <w:pPr>
        <w:jc w:val="center"/>
        <w:rPr>
          <w:b/>
          <w:bCs/>
          <w:highlight w:val="yellow"/>
          <w:lang w:eastAsia="cs-CZ"/>
        </w:rPr>
      </w:pPr>
    </w:p>
    <w:p w14:paraId="0E73B1D3" w14:textId="77777777" w:rsidR="00E8254E" w:rsidRDefault="00E8254E" w:rsidP="00CE11DE">
      <w:pPr>
        <w:jc w:val="center"/>
        <w:rPr>
          <w:b/>
          <w:bCs/>
          <w:highlight w:val="yellow"/>
          <w:lang w:eastAsia="cs-CZ"/>
        </w:rPr>
      </w:pPr>
    </w:p>
    <w:tbl>
      <w:tblPr>
        <w:tblStyle w:val="Mkatabulky"/>
        <w:tblW w:w="92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2891"/>
        <w:gridCol w:w="3005"/>
        <w:gridCol w:w="3345"/>
      </w:tblGrid>
      <w:tr w:rsidR="002835F3" w:rsidRPr="00055D3A" w14:paraId="439C39B0" w14:textId="77777777" w:rsidTr="00E8254E">
        <w:trPr>
          <w:trHeight w:val="715"/>
        </w:trPr>
        <w:tc>
          <w:tcPr>
            <w:tcW w:w="2891" w:type="dxa"/>
          </w:tcPr>
          <w:p w14:paraId="07799AF0" w14:textId="77777777" w:rsidR="002835F3" w:rsidRDefault="002835F3" w:rsidP="00241F14">
            <w:pPr>
              <w:jc w:val="center"/>
              <w:rPr>
                <w:rStyle w:val="A5"/>
              </w:rPr>
            </w:pPr>
            <w:r>
              <w:rPr>
                <w:rStyle w:val="A5"/>
              </w:rPr>
              <w:t>955</w:t>
            </w:r>
          </w:p>
          <w:p w14:paraId="5F398DE7" w14:textId="77777777" w:rsidR="002835F3" w:rsidRDefault="002835F3" w:rsidP="00241F14">
            <w:pPr>
              <w:jc w:val="center"/>
              <w:rPr>
                <w:rStyle w:val="A5"/>
              </w:rPr>
            </w:pPr>
            <w:r w:rsidRPr="006F63D5">
              <w:rPr>
                <w:szCs w:val="20"/>
              </w:rPr>
              <w:t>Přislíbených invest</w:t>
            </w:r>
            <w:r w:rsidR="00BB2F43" w:rsidRPr="006F63D5">
              <w:rPr>
                <w:szCs w:val="20"/>
              </w:rPr>
              <w:t>ičních pobídek od roku 2000 do</w:t>
            </w:r>
            <w:r w:rsidR="00B31921" w:rsidRPr="006F63D5">
              <w:rPr>
                <w:szCs w:val="20"/>
              </w:rPr>
              <w:t xml:space="preserve"> září</w:t>
            </w:r>
            <w:r w:rsidR="00BB2F43" w:rsidRPr="006F63D5">
              <w:rPr>
                <w:szCs w:val="20"/>
              </w:rPr>
              <w:t xml:space="preserve"> </w:t>
            </w:r>
            <w:r w:rsidRPr="006F63D5">
              <w:rPr>
                <w:szCs w:val="20"/>
              </w:rPr>
              <w:t>2020</w:t>
            </w:r>
          </w:p>
        </w:tc>
        <w:tc>
          <w:tcPr>
            <w:tcW w:w="3005" w:type="dxa"/>
          </w:tcPr>
          <w:p w14:paraId="3E05B0E8" w14:textId="77777777" w:rsidR="002835F3" w:rsidRDefault="002835F3" w:rsidP="00241F14">
            <w:pPr>
              <w:jc w:val="center"/>
              <w:rPr>
                <w:rStyle w:val="A5"/>
              </w:rPr>
            </w:pPr>
            <w:r w:rsidRPr="002835F3">
              <w:rPr>
                <w:rStyle w:val="A5"/>
                <w:sz w:val="22"/>
                <w:szCs w:val="22"/>
              </w:rPr>
              <w:t>více než</w:t>
            </w:r>
            <w:r>
              <w:rPr>
                <w:rStyle w:val="A5"/>
              </w:rPr>
              <w:t xml:space="preserve"> </w:t>
            </w:r>
            <w:r w:rsidR="005B0857">
              <w:rPr>
                <w:rStyle w:val="A5"/>
              </w:rPr>
              <w:t>75</w:t>
            </w:r>
            <w:r>
              <w:rPr>
                <w:rStyle w:val="A5"/>
              </w:rPr>
              <w:t xml:space="preserve"> mld. Kč </w:t>
            </w:r>
          </w:p>
          <w:p w14:paraId="7B6093E3" w14:textId="77777777" w:rsidR="002835F3" w:rsidRPr="00055D3A" w:rsidRDefault="002835F3" w:rsidP="00E8254E">
            <w:pPr>
              <w:jc w:val="center"/>
              <w:rPr>
                <w:rStyle w:val="A1"/>
                <w:b/>
                <w:bCs/>
                <w:sz w:val="40"/>
                <w:szCs w:val="40"/>
              </w:rPr>
            </w:pPr>
            <w:r w:rsidRPr="006F63D5">
              <w:rPr>
                <w:szCs w:val="20"/>
              </w:rPr>
              <w:t xml:space="preserve">Objem čerpaných investičních pobídek </w:t>
            </w:r>
            <w:r w:rsidR="00E8254E">
              <w:rPr>
                <w:szCs w:val="20"/>
              </w:rPr>
              <w:br/>
            </w:r>
            <w:r w:rsidR="005B0857" w:rsidRPr="006F63D5">
              <w:rPr>
                <w:szCs w:val="20"/>
              </w:rPr>
              <w:t xml:space="preserve">od roku 2000 do roku </w:t>
            </w:r>
            <w:r w:rsidR="00B31921" w:rsidRPr="006F63D5">
              <w:rPr>
                <w:szCs w:val="20"/>
              </w:rPr>
              <w:t>2019</w:t>
            </w:r>
          </w:p>
        </w:tc>
        <w:tc>
          <w:tcPr>
            <w:tcW w:w="3345" w:type="dxa"/>
          </w:tcPr>
          <w:p w14:paraId="431662FA" w14:textId="77777777" w:rsidR="002835F3" w:rsidRDefault="005B0857" w:rsidP="00241F14">
            <w:pPr>
              <w:jc w:val="center"/>
              <w:rPr>
                <w:rStyle w:val="A5"/>
              </w:rPr>
            </w:pPr>
            <w:r>
              <w:rPr>
                <w:rStyle w:val="A5"/>
              </w:rPr>
              <w:t>85 %</w:t>
            </w:r>
          </w:p>
          <w:p w14:paraId="4CDFDFDF" w14:textId="77777777" w:rsidR="002835F3" w:rsidRPr="00055D3A" w:rsidRDefault="005B0857" w:rsidP="005B0857">
            <w:pPr>
              <w:jc w:val="center"/>
              <w:rPr>
                <w:rStyle w:val="A1"/>
                <w:color w:val="auto"/>
                <w:sz w:val="20"/>
                <w:szCs w:val="20"/>
              </w:rPr>
            </w:pPr>
            <w:r w:rsidRPr="006F63D5">
              <w:rPr>
                <w:szCs w:val="20"/>
              </w:rPr>
              <w:t>Podíl investičních pobídek čerpaných formou slevy na dani z příjmů na celkovém čerpání</w:t>
            </w:r>
          </w:p>
        </w:tc>
      </w:tr>
    </w:tbl>
    <w:p w14:paraId="403EBBB4" w14:textId="77777777" w:rsidR="009F21B8" w:rsidRDefault="009F21B8" w:rsidP="00CE11DE">
      <w:pPr>
        <w:jc w:val="center"/>
        <w:rPr>
          <w:b/>
          <w:bCs/>
          <w:highlight w:val="yellow"/>
          <w:lang w:eastAsia="cs-CZ"/>
        </w:rPr>
      </w:pPr>
    </w:p>
    <w:p w14:paraId="41B3BC89" w14:textId="77777777" w:rsidR="009F21B8" w:rsidRDefault="00991D5F" w:rsidP="009F21B8">
      <w:pPr>
        <w:jc w:val="center"/>
        <w:rPr>
          <w:rStyle w:val="A4"/>
          <w:b/>
          <w:color w:val="auto"/>
          <w:sz w:val="24"/>
          <w:szCs w:val="24"/>
        </w:rPr>
      </w:pPr>
      <w:r w:rsidRPr="00991D5F">
        <w:rPr>
          <w:rStyle w:val="A4"/>
          <w:b/>
          <w:color w:val="auto"/>
          <w:sz w:val="24"/>
          <w:szCs w:val="24"/>
        </w:rPr>
        <w:t>Naprostá většina investičních pobídek směřovala do zpracovatelského průmyslu.</w:t>
      </w:r>
    </w:p>
    <w:p w14:paraId="2754ACF0" w14:textId="77777777" w:rsidR="00E8254E" w:rsidRPr="00991D5F" w:rsidRDefault="00E8254E" w:rsidP="009F21B8">
      <w:pPr>
        <w:jc w:val="center"/>
        <w:rPr>
          <w:rStyle w:val="A4"/>
          <w:b/>
          <w:color w:val="auto"/>
          <w:sz w:val="24"/>
          <w:szCs w:val="24"/>
        </w:rPr>
      </w:pPr>
    </w:p>
    <w:tbl>
      <w:tblPr>
        <w:tblStyle w:val="Mkatabulky"/>
        <w:tblW w:w="70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170" w:type="dxa"/>
          <w:bottom w:w="113" w:type="dxa"/>
          <w:right w:w="170" w:type="dxa"/>
        </w:tblCellMar>
        <w:tblLook w:val="04A0" w:firstRow="1" w:lastRow="0" w:firstColumn="1" w:lastColumn="0" w:noHBand="0" w:noVBand="1"/>
      </w:tblPr>
      <w:tblGrid>
        <w:gridCol w:w="3118"/>
        <w:gridCol w:w="3969"/>
      </w:tblGrid>
      <w:tr w:rsidR="009F21B8" w:rsidRPr="00924439" w14:paraId="06B1C425" w14:textId="77777777" w:rsidTr="00E8254E">
        <w:trPr>
          <w:trHeight w:val="715"/>
          <w:jc w:val="center"/>
        </w:trPr>
        <w:tc>
          <w:tcPr>
            <w:tcW w:w="3118" w:type="dxa"/>
          </w:tcPr>
          <w:p w14:paraId="767B2C81" w14:textId="77777777" w:rsidR="009F21B8" w:rsidRDefault="009F21B8" w:rsidP="00241F14">
            <w:pPr>
              <w:jc w:val="center"/>
              <w:rPr>
                <w:rStyle w:val="A5"/>
              </w:rPr>
            </w:pPr>
            <w:r>
              <w:rPr>
                <w:rStyle w:val="A5"/>
              </w:rPr>
              <w:t>96 %</w:t>
            </w:r>
          </w:p>
          <w:p w14:paraId="6E674F57" w14:textId="77777777" w:rsidR="009F21B8" w:rsidRPr="00055D3A" w:rsidRDefault="009F21B8" w:rsidP="00E8254E">
            <w:pPr>
              <w:jc w:val="center"/>
              <w:rPr>
                <w:rStyle w:val="A1"/>
                <w:b/>
                <w:bCs/>
                <w:sz w:val="40"/>
                <w:szCs w:val="40"/>
              </w:rPr>
            </w:pPr>
            <w:r w:rsidRPr="00E8254E">
              <w:rPr>
                <w:szCs w:val="20"/>
              </w:rPr>
              <w:t xml:space="preserve">Investičních pobídek </w:t>
            </w:r>
            <w:r w:rsidR="00E8254E">
              <w:rPr>
                <w:szCs w:val="20"/>
              </w:rPr>
              <w:br/>
            </w:r>
            <w:r w:rsidRPr="00E8254E">
              <w:rPr>
                <w:szCs w:val="20"/>
              </w:rPr>
              <w:t>ve zpracovatelském průmyslu od roku 2012</w:t>
            </w:r>
          </w:p>
        </w:tc>
        <w:tc>
          <w:tcPr>
            <w:tcW w:w="3969" w:type="dxa"/>
          </w:tcPr>
          <w:p w14:paraId="0C5BADD3" w14:textId="77777777" w:rsidR="009F21B8" w:rsidRDefault="009F21B8" w:rsidP="00241F14">
            <w:pPr>
              <w:jc w:val="center"/>
              <w:rPr>
                <w:rStyle w:val="A5"/>
              </w:rPr>
            </w:pPr>
            <w:r>
              <w:rPr>
                <w:rStyle w:val="A5"/>
              </w:rPr>
              <w:t xml:space="preserve">4 % </w:t>
            </w:r>
          </w:p>
          <w:p w14:paraId="34283CD0" w14:textId="77777777" w:rsidR="009F21B8" w:rsidRPr="00055D3A" w:rsidRDefault="009F21B8" w:rsidP="00E8254E">
            <w:pPr>
              <w:jc w:val="center"/>
              <w:rPr>
                <w:rStyle w:val="A1"/>
                <w:color w:val="auto"/>
                <w:sz w:val="20"/>
                <w:szCs w:val="20"/>
              </w:rPr>
            </w:pPr>
            <w:r w:rsidRPr="00E8254E">
              <w:rPr>
                <w:szCs w:val="20"/>
              </w:rPr>
              <w:t>Investičních pobídek v</w:t>
            </w:r>
            <w:r w:rsidR="00E8254E">
              <w:rPr>
                <w:szCs w:val="20"/>
              </w:rPr>
              <w:t> </w:t>
            </w:r>
            <w:r w:rsidRPr="00AC33BD">
              <w:rPr>
                <w:b/>
                <w:szCs w:val="20"/>
              </w:rPr>
              <w:t>technologických centrech</w:t>
            </w:r>
            <w:r w:rsidR="00E8254E">
              <w:rPr>
                <w:szCs w:val="20"/>
              </w:rPr>
              <w:t xml:space="preserve"> </w:t>
            </w:r>
            <w:r w:rsidRPr="00E8254E">
              <w:rPr>
                <w:szCs w:val="20"/>
              </w:rPr>
              <w:t>a</w:t>
            </w:r>
            <w:r w:rsidR="00E8254E">
              <w:rPr>
                <w:szCs w:val="20"/>
              </w:rPr>
              <w:t> v </w:t>
            </w:r>
            <w:r w:rsidRPr="00E8254E">
              <w:rPr>
                <w:szCs w:val="20"/>
              </w:rPr>
              <w:t xml:space="preserve">centrech strategických služeb </w:t>
            </w:r>
            <w:r w:rsidR="00E8254E">
              <w:rPr>
                <w:szCs w:val="20"/>
              </w:rPr>
              <w:br/>
            </w:r>
            <w:r w:rsidRPr="00E8254E">
              <w:rPr>
                <w:szCs w:val="20"/>
              </w:rPr>
              <w:t>od roku 2012</w:t>
            </w:r>
          </w:p>
        </w:tc>
      </w:tr>
    </w:tbl>
    <w:p w14:paraId="6CBE64FA" w14:textId="77777777" w:rsidR="005B0857" w:rsidRDefault="005B0857" w:rsidP="00E8254E">
      <w:pPr>
        <w:jc w:val="center"/>
        <w:rPr>
          <w:b/>
          <w:bCs/>
          <w:highlight w:val="yellow"/>
          <w:lang w:eastAsia="cs-CZ"/>
        </w:rPr>
      </w:pPr>
    </w:p>
    <w:p w14:paraId="257C461D" w14:textId="77777777" w:rsidR="0012184A" w:rsidRDefault="00AC33BD" w:rsidP="0012184A">
      <w:pPr>
        <w:pStyle w:val="Odstavecseseznamem"/>
        <w:numPr>
          <w:ilvl w:val="0"/>
          <w:numId w:val="38"/>
        </w:numPr>
        <w:tabs>
          <w:tab w:val="left" w:pos="284"/>
        </w:tabs>
        <w:spacing w:before="120" w:after="120" w:line="264" w:lineRule="auto"/>
        <w:contextualSpacing w:val="0"/>
        <w:rPr>
          <w:color w:val="000000" w:themeColor="text1"/>
        </w:rPr>
      </w:pPr>
      <w:r w:rsidRPr="00F55090">
        <w:rPr>
          <w:color w:val="000000" w:themeColor="text1"/>
        </w:rPr>
        <w:t xml:space="preserve">Od roku 2000 bylo možné získat investiční pobídku jen ve zpracovatelském </w:t>
      </w:r>
      <w:r w:rsidR="0012184A">
        <w:rPr>
          <w:color w:val="000000" w:themeColor="text1"/>
        </w:rPr>
        <w:t>průmyslu.</w:t>
      </w:r>
    </w:p>
    <w:p w14:paraId="5ADB1C3D" w14:textId="37F5EFA0" w:rsidR="0012184A" w:rsidRDefault="00AC33BD" w:rsidP="0012184A">
      <w:pPr>
        <w:pStyle w:val="Odstavecseseznamem"/>
        <w:numPr>
          <w:ilvl w:val="0"/>
          <w:numId w:val="38"/>
        </w:numPr>
        <w:tabs>
          <w:tab w:val="left" w:pos="284"/>
        </w:tabs>
        <w:spacing w:before="120" w:after="120" w:line="264" w:lineRule="auto"/>
        <w:contextualSpacing w:val="0"/>
        <w:rPr>
          <w:color w:val="000000" w:themeColor="text1"/>
        </w:rPr>
      </w:pPr>
      <w:r w:rsidRPr="00F55090">
        <w:rPr>
          <w:color w:val="000000" w:themeColor="text1"/>
        </w:rPr>
        <w:t>Od roku 2012 je umožněno je získat i v technologických centrech</w:t>
      </w:r>
      <w:r w:rsidR="0012184A">
        <w:rPr>
          <w:color w:val="000000" w:themeColor="text1"/>
        </w:rPr>
        <w:t xml:space="preserve"> (zaměření na aplikovaný VaV a inovace)</w:t>
      </w:r>
      <w:r w:rsidRPr="00F55090">
        <w:rPr>
          <w:color w:val="000000" w:themeColor="text1"/>
        </w:rPr>
        <w:t xml:space="preserve"> a c</w:t>
      </w:r>
      <w:r w:rsidR="009C1BD3">
        <w:rPr>
          <w:color w:val="000000" w:themeColor="text1"/>
        </w:rPr>
        <w:t>entrech strategických služeb</w:t>
      </w:r>
      <w:r w:rsidR="0012184A">
        <w:rPr>
          <w:color w:val="000000" w:themeColor="text1"/>
        </w:rPr>
        <w:t xml:space="preserve"> (mj. tvorba nového nebo inovace stávajícího software)</w:t>
      </w:r>
      <w:r w:rsidR="009C1BD3">
        <w:rPr>
          <w:color w:val="000000" w:themeColor="text1"/>
        </w:rPr>
        <w:t xml:space="preserve">. </w:t>
      </w:r>
    </w:p>
    <w:p w14:paraId="3786D464" w14:textId="77777777" w:rsidR="0012184A" w:rsidRDefault="009C1BD3" w:rsidP="0012184A">
      <w:pPr>
        <w:pStyle w:val="Odstavecseseznamem"/>
        <w:numPr>
          <w:ilvl w:val="0"/>
          <w:numId w:val="38"/>
        </w:numPr>
        <w:tabs>
          <w:tab w:val="left" w:pos="284"/>
        </w:tabs>
        <w:spacing w:before="120" w:after="120" w:line="264" w:lineRule="auto"/>
        <w:contextualSpacing w:val="0"/>
        <w:rPr>
          <w:color w:val="000000" w:themeColor="text1"/>
        </w:rPr>
      </w:pPr>
      <w:r>
        <w:rPr>
          <w:color w:val="000000" w:themeColor="text1"/>
        </w:rPr>
        <w:t>I </w:t>
      </w:r>
      <w:r w:rsidR="00AC33BD" w:rsidRPr="00F55090">
        <w:rPr>
          <w:color w:val="000000" w:themeColor="text1"/>
        </w:rPr>
        <w:t xml:space="preserve">přesto byl stále největší zájem o získání investičních pobídek ve zpracovatelském průmyslu bez povinnosti realizovat investiční akce v rámci činnosti s vyšší přidanou hodnotou. </w:t>
      </w:r>
      <w:r w:rsidR="009E1D66" w:rsidRPr="00403F7B">
        <w:rPr>
          <w:color w:val="000000" w:themeColor="text1"/>
          <w:lang w:eastAsia="cs-CZ"/>
        </w:rPr>
        <w:t>Od</w:t>
      </w:r>
      <w:r w:rsidR="00136E6D" w:rsidRPr="00403F7B">
        <w:rPr>
          <w:color w:val="000000" w:themeColor="text1"/>
          <w:lang w:eastAsia="cs-CZ"/>
        </w:rPr>
        <w:t xml:space="preserve"> </w:t>
      </w:r>
      <w:r w:rsidR="009E1D66" w:rsidRPr="00403F7B">
        <w:rPr>
          <w:color w:val="000000" w:themeColor="text1"/>
          <w:lang w:eastAsia="cs-CZ"/>
        </w:rPr>
        <w:t>září roku 2019</w:t>
      </w:r>
      <w:r w:rsidR="009E1D66" w:rsidRPr="00403F7B">
        <w:rPr>
          <w:rStyle w:val="Znakapoznpodarou"/>
          <w:color w:val="000000" w:themeColor="text1"/>
          <w:lang w:eastAsia="cs-CZ"/>
        </w:rPr>
        <w:footnoteReference w:id="3"/>
      </w:r>
      <w:r w:rsidR="00473FAE" w:rsidRPr="00403F7B">
        <w:rPr>
          <w:color w:val="000000" w:themeColor="text1"/>
          <w:lang w:eastAsia="cs-CZ"/>
        </w:rPr>
        <w:t xml:space="preserve"> </w:t>
      </w:r>
      <w:r w:rsidR="007F651F" w:rsidRPr="00403F7B">
        <w:rPr>
          <w:color w:val="000000" w:themeColor="text1"/>
          <w:lang w:eastAsia="cs-CZ"/>
        </w:rPr>
        <w:t xml:space="preserve">podmínil </w:t>
      </w:r>
      <w:r w:rsidR="009E1D66" w:rsidRPr="00403F7B">
        <w:rPr>
          <w:color w:val="000000" w:themeColor="text1"/>
          <w:lang w:eastAsia="cs-CZ"/>
        </w:rPr>
        <w:t xml:space="preserve">zákon </w:t>
      </w:r>
      <w:r w:rsidR="007F651F" w:rsidRPr="00403F7B">
        <w:rPr>
          <w:color w:val="000000" w:themeColor="text1"/>
          <w:lang w:eastAsia="cs-CZ"/>
        </w:rPr>
        <w:t>poskytnutí investičních pobídky realizací vyšší přidané hodnoty</w:t>
      </w:r>
      <w:r w:rsidR="009E1D66" w:rsidRPr="00403F7B">
        <w:rPr>
          <w:color w:val="000000" w:themeColor="text1"/>
          <w:lang w:eastAsia="cs-CZ"/>
        </w:rPr>
        <w:t xml:space="preserve">. </w:t>
      </w:r>
      <w:r w:rsidR="00E27A5C" w:rsidRPr="00403F7B">
        <w:rPr>
          <w:color w:val="000000" w:themeColor="text1"/>
          <w:lang w:eastAsia="cs-CZ"/>
        </w:rPr>
        <w:t>Po tomto zpřísnění</w:t>
      </w:r>
      <w:r w:rsidR="009E1D66" w:rsidRPr="00403F7B">
        <w:rPr>
          <w:color w:val="000000" w:themeColor="text1"/>
          <w:lang w:eastAsia="cs-CZ"/>
        </w:rPr>
        <w:t xml:space="preserve"> zákona výrazně poklesl zájem o získání</w:t>
      </w:r>
      <w:r w:rsidR="008454D2" w:rsidRPr="00403F7B">
        <w:rPr>
          <w:color w:val="000000" w:themeColor="text1"/>
          <w:lang w:eastAsia="cs-CZ"/>
        </w:rPr>
        <w:t xml:space="preserve"> investičních pobídek</w:t>
      </w:r>
      <w:r w:rsidR="009E1D66" w:rsidRPr="00403F7B">
        <w:rPr>
          <w:color w:val="000000" w:themeColor="text1"/>
          <w:lang w:eastAsia="cs-CZ"/>
        </w:rPr>
        <w:t>.</w:t>
      </w:r>
    </w:p>
    <w:p w14:paraId="719C18E7" w14:textId="77777777" w:rsidR="0012184A" w:rsidRDefault="0080704C" w:rsidP="0012184A">
      <w:pPr>
        <w:pStyle w:val="Odstavecseseznamem"/>
        <w:numPr>
          <w:ilvl w:val="0"/>
          <w:numId w:val="38"/>
        </w:numPr>
        <w:tabs>
          <w:tab w:val="left" w:pos="284"/>
        </w:tabs>
        <w:spacing w:before="120" w:after="120" w:line="264" w:lineRule="auto"/>
        <w:contextualSpacing w:val="0"/>
        <w:rPr>
          <w:color w:val="000000" w:themeColor="text1"/>
        </w:rPr>
      </w:pPr>
      <w:r w:rsidRPr="0012184A">
        <w:rPr>
          <w:color w:val="000000" w:themeColor="text1"/>
        </w:rPr>
        <w:t>Nejvyšší objemy byly čerpány v letech 2008, 2012, 2014 a 2017</w:t>
      </w:r>
      <w:r w:rsidR="00A115A0" w:rsidRPr="0012184A">
        <w:rPr>
          <w:color w:val="000000" w:themeColor="text1"/>
        </w:rPr>
        <w:t>,</w:t>
      </w:r>
      <w:r w:rsidRPr="0012184A">
        <w:rPr>
          <w:color w:val="000000" w:themeColor="text1"/>
        </w:rPr>
        <w:t xml:space="preserve"> kdy příjemci čerpali v</w:t>
      </w:r>
      <w:r w:rsidR="00241F14" w:rsidRPr="0012184A">
        <w:rPr>
          <w:color w:val="000000" w:themeColor="text1"/>
        </w:rPr>
        <w:t>í</w:t>
      </w:r>
      <w:r w:rsidRPr="0012184A">
        <w:rPr>
          <w:color w:val="000000" w:themeColor="text1"/>
        </w:rPr>
        <w:t>ce než 5 miliard korun.</w:t>
      </w:r>
    </w:p>
    <w:p w14:paraId="3B35EC12" w14:textId="66449F31" w:rsidR="00900023" w:rsidRPr="0012184A" w:rsidRDefault="00AC33BD" w:rsidP="0012184A">
      <w:pPr>
        <w:pStyle w:val="Odstavecseseznamem"/>
        <w:numPr>
          <w:ilvl w:val="0"/>
          <w:numId w:val="38"/>
        </w:numPr>
        <w:tabs>
          <w:tab w:val="left" w:pos="284"/>
        </w:tabs>
        <w:spacing w:before="120" w:after="120" w:line="264" w:lineRule="auto"/>
        <w:contextualSpacing w:val="0"/>
        <w:rPr>
          <w:color w:val="000000" w:themeColor="text1"/>
        </w:rPr>
      </w:pPr>
      <w:r w:rsidRPr="0012184A">
        <w:rPr>
          <w:color w:val="000000" w:themeColor="text1"/>
        </w:rPr>
        <w:t>M</w:t>
      </w:r>
      <w:r w:rsidR="005546D1" w:rsidRPr="0012184A">
        <w:rPr>
          <w:color w:val="000000" w:themeColor="text1"/>
        </w:rPr>
        <w:t xml:space="preserve">ezi </w:t>
      </w:r>
      <w:r w:rsidR="00B92A7B" w:rsidRPr="0012184A">
        <w:rPr>
          <w:color w:val="000000" w:themeColor="text1"/>
        </w:rPr>
        <w:t>289</w:t>
      </w:r>
      <w:r w:rsidR="00C05951" w:rsidRPr="0012184A">
        <w:rPr>
          <w:color w:val="000000" w:themeColor="text1"/>
        </w:rPr>
        <w:t xml:space="preserve"> příjemci investičních pobídek </w:t>
      </w:r>
      <w:r w:rsidR="00083E4E" w:rsidRPr="0012184A">
        <w:rPr>
          <w:color w:val="000000" w:themeColor="text1"/>
        </w:rPr>
        <w:t>z let 2014 až 2019 do značné míry</w:t>
      </w:r>
      <w:r w:rsidR="00C05951" w:rsidRPr="0012184A">
        <w:rPr>
          <w:color w:val="000000" w:themeColor="text1"/>
        </w:rPr>
        <w:t xml:space="preserve"> </w:t>
      </w:r>
      <w:r w:rsidR="00B92A7B" w:rsidRPr="0012184A">
        <w:rPr>
          <w:color w:val="000000" w:themeColor="text1"/>
        </w:rPr>
        <w:t>převažovaly</w:t>
      </w:r>
      <w:r w:rsidR="00C05951" w:rsidRPr="0012184A">
        <w:rPr>
          <w:color w:val="000000" w:themeColor="text1"/>
        </w:rPr>
        <w:t xml:space="preserve"> velk</w:t>
      </w:r>
      <w:r w:rsidR="003F4BD9" w:rsidRPr="0012184A">
        <w:rPr>
          <w:color w:val="000000" w:themeColor="text1"/>
        </w:rPr>
        <w:t xml:space="preserve">é </w:t>
      </w:r>
      <w:r w:rsidR="00900023" w:rsidRPr="0012184A">
        <w:rPr>
          <w:color w:val="000000" w:themeColor="text1"/>
        </w:rPr>
        <w:t xml:space="preserve">české </w:t>
      </w:r>
      <w:r w:rsidR="003F4BD9" w:rsidRPr="0012184A">
        <w:rPr>
          <w:color w:val="000000" w:themeColor="text1"/>
        </w:rPr>
        <w:t xml:space="preserve">podniky. </w:t>
      </w:r>
    </w:p>
    <w:p w14:paraId="44DB30FA" w14:textId="0A1F4ACA" w:rsidR="00393DFB" w:rsidRPr="006F63D5" w:rsidRDefault="00393DFB" w:rsidP="006F63D5">
      <w:pPr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t>Investiční po</w:t>
      </w:r>
      <w:r w:rsidR="00407605" w:rsidRPr="006F63D5">
        <w:rPr>
          <w:color w:val="000000" w:themeColor="text1"/>
        </w:rPr>
        <w:t>bídky jsou v ČR poskytovány</w:t>
      </w:r>
      <w:r w:rsidRPr="006F63D5">
        <w:rPr>
          <w:color w:val="000000" w:themeColor="text1"/>
        </w:rPr>
        <w:t xml:space="preserve"> </w:t>
      </w:r>
      <w:r w:rsidRPr="006F63D5">
        <w:rPr>
          <w:b/>
          <w:color w:val="000000" w:themeColor="text1"/>
        </w:rPr>
        <w:t>od roku 1998</w:t>
      </w:r>
      <w:r w:rsidRPr="006F63D5">
        <w:rPr>
          <w:color w:val="000000" w:themeColor="text1"/>
        </w:rPr>
        <w:t>, kdy bylo schváleno usnesení vlády</w:t>
      </w:r>
      <w:r w:rsidR="003723CF" w:rsidRPr="006F63D5">
        <w:rPr>
          <w:color w:val="000000" w:themeColor="text1"/>
        </w:rPr>
        <w:t xml:space="preserve"> ČR</w:t>
      </w:r>
      <w:r w:rsidRPr="006F63D5">
        <w:rPr>
          <w:color w:val="000000" w:themeColor="text1"/>
        </w:rPr>
        <w:t xml:space="preserve"> ze dne 29. dubna 1998 č. 298</w:t>
      </w:r>
      <w:r w:rsidRPr="006F63D5">
        <w:rPr>
          <w:rStyle w:val="Znakapoznpodarou"/>
          <w:color w:val="000000" w:themeColor="text1"/>
        </w:rPr>
        <w:footnoteReference w:id="4"/>
      </w:r>
      <w:r w:rsidR="008A5519" w:rsidRPr="006F63D5">
        <w:rPr>
          <w:color w:val="000000" w:themeColor="text1"/>
        </w:rPr>
        <w:t xml:space="preserve">, </w:t>
      </w:r>
      <w:r w:rsidRPr="006F63D5">
        <w:rPr>
          <w:color w:val="000000" w:themeColor="text1"/>
        </w:rPr>
        <w:t xml:space="preserve">které umožnilo </w:t>
      </w:r>
      <w:r w:rsidR="00DB2C0C" w:rsidRPr="006F63D5">
        <w:rPr>
          <w:color w:val="000000" w:themeColor="text1"/>
        </w:rPr>
        <w:t xml:space="preserve">jejich poskytování </w:t>
      </w:r>
      <w:r w:rsidR="00EE589D" w:rsidRPr="006F63D5">
        <w:rPr>
          <w:color w:val="000000" w:themeColor="text1"/>
        </w:rPr>
        <w:t>do přijetí právní úpravy</w:t>
      </w:r>
      <w:r w:rsidRPr="006F63D5">
        <w:rPr>
          <w:color w:val="000000" w:themeColor="text1"/>
        </w:rPr>
        <w:t>.</w:t>
      </w:r>
      <w:r w:rsidR="00E83372" w:rsidRPr="006F63D5">
        <w:rPr>
          <w:color w:val="000000" w:themeColor="text1"/>
        </w:rPr>
        <w:t xml:space="preserve"> </w:t>
      </w:r>
      <w:r w:rsidR="00DB2C0C" w:rsidRPr="006F63D5">
        <w:rPr>
          <w:b/>
          <w:color w:val="000000" w:themeColor="text1"/>
        </w:rPr>
        <w:t>Od </w:t>
      </w:r>
      <w:r w:rsidR="00C53B74" w:rsidRPr="006F63D5">
        <w:rPr>
          <w:b/>
          <w:color w:val="000000" w:themeColor="text1"/>
        </w:rPr>
        <w:t>1. května 2000</w:t>
      </w:r>
      <w:r w:rsidR="002E39AF" w:rsidRPr="006F63D5">
        <w:rPr>
          <w:color w:val="000000" w:themeColor="text1"/>
        </w:rPr>
        <w:t xml:space="preserve"> je poskytování investičních pobídek upraveno </w:t>
      </w:r>
      <w:r w:rsidR="002E39AF" w:rsidRPr="006F63D5">
        <w:rPr>
          <w:b/>
          <w:color w:val="000000" w:themeColor="text1"/>
        </w:rPr>
        <w:t xml:space="preserve">zákonem </w:t>
      </w:r>
      <w:r w:rsidRPr="006F63D5">
        <w:rPr>
          <w:b/>
          <w:color w:val="000000" w:themeColor="text1"/>
        </w:rPr>
        <w:t>o</w:t>
      </w:r>
      <w:r w:rsidR="005A02E5" w:rsidRPr="006F63D5">
        <w:rPr>
          <w:b/>
          <w:color w:val="000000" w:themeColor="text1"/>
        </w:rPr>
        <w:t> </w:t>
      </w:r>
      <w:r w:rsidRPr="006F63D5">
        <w:rPr>
          <w:b/>
          <w:color w:val="000000" w:themeColor="text1"/>
        </w:rPr>
        <w:t>investičních pobídkách</w:t>
      </w:r>
      <w:r w:rsidR="00AB7755" w:rsidRPr="00C05A01">
        <w:rPr>
          <w:b/>
          <w:color w:val="000000" w:themeColor="text1"/>
        </w:rPr>
        <w:t>,</w:t>
      </w:r>
      <w:r w:rsidR="00CB6A07">
        <w:rPr>
          <w:rStyle w:val="Znakapoznpodarou"/>
          <w:b/>
          <w:color w:val="000000" w:themeColor="text1"/>
        </w:rPr>
        <w:footnoteReference w:id="5"/>
      </w:r>
      <w:r w:rsidR="00AB7755" w:rsidRPr="006F63D5">
        <w:rPr>
          <w:color w:val="000000" w:themeColor="text1"/>
        </w:rPr>
        <w:t xml:space="preserve"> který </w:t>
      </w:r>
      <w:r w:rsidRPr="006F63D5">
        <w:rPr>
          <w:color w:val="000000" w:themeColor="text1"/>
        </w:rPr>
        <w:t xml:space="preserve">stanovuje </w:t>
      </w:r>
      <w:r w:rsidR="003877FB" w:rsidRPr="006F63D5">
        <w:rPr>
          <w:color w:val="000000" w:themeColor="text1"/>
        </w:rPr>
        <w:t xml:space="preserve">jejich </w:t>
      </w:r>
      <w:r w:rsidRPr="006F63D5">
        <w:rPr>
          <w:color w:val="000000" w:themeColor="text1"/>
        </w:rPr>
        <w:t>formy, podmínky</w:t>
      </w:r>
      <w:r w:rsidR="0026607D" w:rsidRPr="006F63D5">
        <w:rPr>
          <w:color w:val="000000" w:themeColor="text1"/>
        </w:rPr>
        <w:t>, za</w:t>
      </w:r>
      <w:r w:rsidR="006774BE">
        <w:rPr>
          <w:color w:val="000000" w:themeColor="text1"/>
        </w:rPr>
        <w:t xml:space="preserve"> </w:t>
      </w:r>
      <w:r w:rsidR="008A5519" w:rsidRPr="006F63D5">
        <w:rPr>
          <w:color w:val="000000" w:themeColor="text1"/>
        </w:rPr>
        <w:t xml:space="preserve">kterých </w:t>
      </w:r>
      <w:r w:rsidR="00166798" w:rsidRPr="006F63D5">
        <w:rPr>
          <w:color w:val="000000" w:themeColor="text1"/>
        </w:rPr>
        <w:t xml:space="preserve">je </w:t>
      </w:r>
      <w:r w:rsidR="008A5519" w:rsidRPr="006F63D5">
        <w:rPr>
          <w:color w:val="000000" w:themeColor="text1"/>
        </w:rPr>
        <w:t>lze poskytnout</w:t>
      </w:r>
      <w:r w:rsidRPr="006F63D5">
        <w:rPr>
          <w:color w:val="000000" w:themeColor="text1"/>
        </w:rPr>
        <w:t xml:space="preserve">, postup při jejich poskytování a výkon státní správy s tím související. </w:t>
      </w:r>
    </w:p>
    <w:p w14:paraId="5754EB0E" w14:textId="77777777" w:rsidR="0012184A" w:rsidRPr="0012184A" w:rsidRDefault="00393DFB" w:rsidP="0012184A">
      <w:pPr>
        <w:pStyle w:val="Odstavecseseznamem"/>
        <w:numPr>
          <w:ilvl w:val="0"/>
          <w:numId w:val="39"/>
        </w:numPr>
        <w:spacing w:after="120" w:line="264" w:lineRule="auto"/>
        <w:rPr>
          <w:b/>
          <w:color w:val="000000" w:themeColor="text1"/>
        </w:rPr>
      </w:pPr>
      <w:r w:rsidRPr="0012184A">
        <w:rPr>
          <w:b/>
          <w:color w:val="000000" w:themeColor="text1"/>
        </w:rPr>
        <w:t xml:space="preserve">Investiční pobídky jsou určeny </w:t>
      </w:r>
      <w:r w:rsidRPr="0012184A">
        <w:rPr>
          <w:color w:val="000000" w:themeColor="text1"/>
        </w:rPr>
        <w:t xml:space="preserve">tuzemským i zahraničním investorům na území ČR, bez ohledu na jejich velikost nebo právní formu. </w:t>
      </w:r>
    </w:p>
    <w:p w14:paraId="27F2CBC0" w14:textId="60F94EE7" w:rsidR="00680633" w:rsidRPr="0012184A" w:rsidRDefault="004D1443" w:rsidP="0012184A">
      <w:pPr>
        <w:pStyle w:val="Odstavecseseznamem"/>
        <w:numPr>
          <w:ilvl w:val="0"/>
          <w:numId w:val="39"/>
        </w:numPr>
        <w:spacing w:after="120" w:line="264" w:lineRule="auto"/>
        <w:rPr>
          <w:b/>
          <w:color w:val="000000" w:themeColor="text1"/>
        </w:rPr>
      </w:pPr>
      <w:r w:rsidRPr="0012184A">
        <w:rPr>
          <w:b/>
          <w:color w:val="000000" w:themeColor="text1"/>
        </w:rPr>
        <w:t xml:space="preserve">Příjemcem </w:t>
      </w:r>
      <w:r w:rsidRPr="0012184A">
        <w:rPr>
          <w:color w:val="000000" w:themeColor="text1"/>
        </w:rPr>
        <w:t xml:space="preserve">je podnikající právnická nebo fyzická osoba, které MPO vydalo </w:t>
      </w:r>
      <w:r w:rsidR="006774BE" w:rsidRPr="0012184A">
        <w:rPr>
          <w:b/>
          <w:color w:val="000000" w:themeColor="text1"/>
        </w:rPr>
        <w:t>r</w:t>
      </w:r>
      <w:r w:rsidRPr="0012184A">
        <w:rPr>
          <w:b/>
          <w:color w:val="000000" w:themeColor="text1"/>
        </w:rPr>
        <w:t>ozhodnutí o příslibu investiční pobídky.</w:t>
      </w:r>
    </w:p>
    <w:p w14:paraId="3776CE62" w14:textId="3C400448" w:rsidR="00585CE7" w:rsidRPr="006F63D5" w:rsidRDefault="00585CE7" w:rsidP="00D20D33">
      <w:pPr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t xml:space="preserve">Zákon o investičních pobídkách spadá do působnosti </w:t>
      </w:r>
      <w:r w:rsidRPr="006F63D5">
        <w:rPr>
          <w:b/>
          <w:color w:val="000000" w:themeColor="text1"/>
        </w:rPr>
        <w:t>MPO</w:t>
      </w:r>
      <w:r w:rsidRPr="004F440D">
        <w:rPr>
          <w:color w:val="000000" w:themeColor="text1"/>
        </w:rPr>
        <w:t>,</w:t>
      </w:r>
      <w:r w:rsidR="004F440D">
        <w:rPr>
          <w:rStyle w:val="Znakapoznpodarou"/>
          <w:color w:val="000000" w:themeColor="text1"/>
        </w:rPr>
        <w:footnoteReference w:id="6"/>
      </w:r>
      <w:r w:rsidRPr="006F63D5">
        <w:rPr>
          <w:color w:val="000000" w:themeColor="text1"/>
        </w:rPr>
        <w:t xml:space="preserve"> </w:t>
      </w:r>
      <w:r w:rsidR="00D20D33">
        <w:rPr>
          <w:color w:val="000000" w:themeColor="text1"/>
        </w:rPr>
        <w:t>s</w:t>
      </w:r>
      <w:r w:rsidRPr="006F63D5">
        <w:rPr>
          <w:color w:val="000000" w:themeColor="text1"/>
        </w:rPr>
        <w:t xml:space="preserve">ubjektem zmocněným zákonem o investičních pobídkách k příjmu záměrů získat investiční pobídku a ke zpracování posudků </w:t>
      </w:r>
      <w:r w:rsidR="000534E1" w:rsidRPr="006F63D5">
        <w:rPr>
          <w:color w:val="000000" w:themeColor="text1"/>
        </w:rPr>
        <w:t>k přijatým</w:t>
      </w:r>
      <w:r w:rsidRPr="006F63D5">
        <w:rPr>
          <w:color w:val="000000" w:themeColor="text1"/>
        </w:rPr>
        <w:t xml:space="preserve"> záměrů</w:t>
      </w:r>
      <w:r w:rsidR="000534E1" w:rsidRPr="006F63D5">
        <w:rPr>
          <w:color w:val="000000" w:themeColor="text1"/>
        </w:rPr>
        <w:t>m</w:t>
      </w:r>
      <w:r w:rsidRPr="006F63D5">
        <w:rPr>
          <w:color w:val="000000" w:themeColor="text1"/>
        </w:rPr>
        <w:t xml:space="preserve"> je </w:t>
      </w:r>
      <w:r w:rsidRPr="006F63D5">
        <w:rPr>
          <w:b/>
          <w:color w:val="000000" w:themeColor="text1"/>
        </w:rPr>
        <w:t>Agentura CzechInvest</w:t>
      </w:r>
      <w:r w:rsidRPr="006F63D5">
        <w:rPr>
          <w:color w:val="000000" w:themeColor="text1"/>
        </w:rPr>
        <w:t>.</w:t>
      </w:r>
    </w:p>
    <w:p w14:paraId="02036B42" w14:textId="77777777" w:rsidR="0012184A" w:rsidRDefault="0012184A" w:rsidP="0012184A">
      <w:pPr>
        <w:keepNext/>
        <w:spacing w:line="264" w:lineRule="auto"/>
        <w:rPr>
          <w:b/>
          <w:color w:val="000000" w:themeColor="text1"/>
        </w:rPr>
      </w:pPr>
    </w:p>
    <w:p w14:paraId="7FA41A47" w14:textId="1A42715B" w:rsidR="00393DFB" w:rsidRPr="006F63D5" w:rsidRDefault="00393DFB" w:rsidP="006867A7">
      <w:pPr>
        <w:keepNext/>
        <w:spacing w:after="120" w:line="264" w:lineRule="auto"/>
        <w:rPr>
          <w:color w:val="000000" w:themeColor="text1"/>
        </w:rPr>
      </w:pPr>
      <w:r w:rsidRPr="006F63D5">
        <w:rPr>
          <w:b/>
          <w:color w:val="000000" w:themeColor="text1"/>
        </w:rPr>
        <w:t>Dle zákona je investiční pobídkou veřejná podpora ve formě:</w:t>
      </w:r>
    </w:p>
    <w:p w14:paraId="55911B9D" w14:textId="77777777" w:rsidR="00393DFB" w:rsidRPr="006F63D5" w:rsidRDefault="00393DFB" w:rsidP="008952C0">
      <w:pPr>
        <w:pStyle w:val="Odstavecseseznamem"/>
        <w:numPr>
          <w:ilvl w:val="0"/>
          <w:numId w:val="37"/>
        </w:numPr>
        <w:tabs>
          <w:tab w:val="left" w:pos="284"/>
        </w:tabs>
        <w:spacing w:line="264" w:lineRule="auto"/>
        <w:ind w:left="284" w:hanging="284"/>
        <w:contextualSpacing w:val="0"/>
        <w:rPr>
          <w:color w:val="000000" w:themeColor="text1"/>
        </w:rPr>
      </w:pPr>
      <w:r w:rsidRPr="006F63D5">
        <w:rPr>
          <w:color w:val="000000" w:themeColor="text1"/>
        </w:rPr>
        <w:t>slevy na daních z příjmů,</w:t>
      </w:r>
    </w:p>
    <w:p w14:paraId="3ADD3FC2" w14:textId="77777777" w:rsidR="00393DFB" w:rsidRPr="006F63D5" w:rsidRDefault="00393DFB" w:rsidP="008952C0">
      <w:pPr>
        <w:pStyle w:val="Odstavecseseznamem"/>
        <w:numPr>
          <w:ilvl w:val="0"/>
          <w:numId w:val="37"/>
        </w:numPr>
        <w:tabs>
          <w:tab w:val="left" w:pos="284"/>
        </w:tabs>
        <w:spacing w:line="264" w:lineRule="auto"/>
        <w:ind w:left="284" w:hanging="284"/>
        <w:contextualSpacing w:val="0"/>
        <w:rPr>
          <w:color w:val="000000" w:themeColor="text1"/>
        </w:rPr>
      </w:pPr>
      <w:r w:rsidRPr="006F63D5">
        <w:rPr>
          <w:color w:val="000000" w:themeColor="text1"/>
        </w:rPr>
        <w:t>převodu pozemků včetně související infrastruktury za zvýhodněnou cenu,</w:t>
      </w:r>
    </w:p>
    <w:p w14:paraId="54E3DAA1" w14:textId="77777777" w:rsidR="00393DFB" w:rsidRPr="006F63D5" w:rsidRDefault="00393DFB" w:rsidP="008952C0">
      <w:pPr>
        <w:pStyle w:val="Odstavecseseznamem"/>
        <w:numPr>
          <w:ilvl w:val="0"/>
          <w:numId w:val="37"/>
        </w:numPr>
        <w:tabs>
          <w:tab w:val="left" w:pos="284"/>
        </w:tabs>
        <w:spacing w:line="264" w:lineRule="auto"/>
        <w:ind w:left="284" w:hanging="284"/>
        <w:contextualSpacing w:val="0"/>
        <w:rPr>
          <w:color w:val="000000" w:themeColor="text1"/>
        </w:rPr>
      </w:pPr>
      <w:r w:rsidRPr="006F63D5">
        <w:rPr>
          <w:color w:val="000000" w:themeColor="text1"/>
        </w:rPr>
        <w:t>hmotné podpory vytváření nových pracovních míst,</w:t>
      </w:r>
    </w:p>
    <w:p w14:paraId="44473492" w14:textId="77777777" w:rsidR="00393DFB" w:rsidRPr="006F63D5" w:rsidRDefault="00393DFB" w:rsidP="008952C0">
      <w:pPr>
        <w:pStyle w:val="Odstavecseseznamem"/>
        <w:numPr>
          <w:ilvl w:val="0"/>
          <w:numId w:val="37"/>
        </w:numPr>
        <w:tabs>
          <w:tab w:val="left" w:pos="284"/>
        </w:tabs>
        <w:spacing w:line="264" w:lineRule="auto"/>
        <w:ind w:left="284" w:hanging="284"/>
        <w:contextualSpacing w:val="0"/>
        <w:rPr>
          <w:color w:val="000000" w:themeColor="text1"/>
        </w:rPr>
      </w:pPr>
      <w:r w:rsidRPr="006F63D5">
        <w:rPr>
          <w:color w:val="000000" w:themeColor="text1"/>
        </w:rPr>
        <w:t>hmotné podpory rekvalifikace nebo školení zaměstnanců,</w:t>
      </w:r>
    </w:p>
    <w:p w14:paraId="7AB895F5" w14:textId="2BD605D7" w:rsidR="00393DFB" w:rsidRPr="006F63D5" w:rsidRDefault="00393DFB" w:rsidP="008952C0">
      <w:pPr>
        <w:pStyle w:val="Odstavecseseznamem"/>
        <w:numPr>
          <w:ilvl w:val="0"/>
          <w:numId w:val="37"/>
        </w:numPr>
        <w:tabs>
          <w:tab w:val="left" w:pos="284"/>
        </w:tabs>
        <w:spacing w:line="264" w:lineRule="auto"/>
        <w:ind w:left="284" w:hanging="284"/>
        <w:contextualSpacing w:val="0"/>
        <w:rPr>
          <w:color w:val="000000" w:themeColor="text1"/>
        </w:rPr>
      </w:pPr>
      <w:r w:rsidRPr="006F63D5">
        <w:rPr>
          <w:color w:val="000000" w:themeColor="text1"/>
        </w:rPr>
        <w:t>hmotné podpory pořízení dlouhodobého hmotného a nehmotného majetku pro</w:t>
      </w:r>
      <w:r w:rsidR="00C66541">
        <w:rPr>
          <w:color w:val="000000" w:themeColor="text1"/>
        </w:rPr>
        <w:t xml:space="preserve"> </w:t>
      </w:r>
      <w:r w:rsidRPr="006F63D5">
        <w:rPr>
          <w:color w:val="000000" w:themeColor="text1"/>
        </w:rPr>
        <w:t xml:space="preserve">strategickou investiční akci, </w:t>
      </w:r>
    </w:p>
    <w:p w14:paraId="165DDECE" w14:textId="77777777" w:rsidR="007274E9" w:rsidRPr="006F63D5" w:rsidRDefault="00393DFB" w:rsidP="008952C0">
      <w:pPr>
        <w:pStyle w:val="Odstavecseseznamem"/>
        <w:numPr>
          <w:ilvl w:val="0"/>
          <w:numId w:val="37"/>
        </w:numPr>
        <w:tabs>
          <w:tab w:val="left" w:pos="284"/>
        </w:tabs>
        <w:spacing w:after="120" w:line="264" w:lineRule="auto"/>
        <w:ind w:left="284" w:hanging="284"/>
        <w:contextualSpacing w:val="0"/>
        <w:rPr>
          <w:color w:val="000000" w:themeColor="text1"/>
        </w:rPr>
      </w:pPr>
      <w:r w:rsidRPr="006F63D5">
        <w:rPr>
          <w:color w:val="000000" w:themeColor="text1"/>
        </w:rPr>
        <w:t>osvobození od daně z nemovitých věcí ve zvýhodněných průmyslových zónách</w:t>
      </w:r>
      <w:r w:rsidRPr="006F63D5">
        <w:rPr>
          <w:rStyle w:val="Znakapoznpodarou"/>
          <w:color w:val="000000" w:themeColor="text1"/>
        </w:rPr>
        <w:footnoteReference w:id="7"/>
      </w:r>
      <w:r w:rsidRPr="006F63D5">
        <w:rPr>
          <w:color w:val="000000" w:themeColor="text1"/>
        </w:rPr>
        <w:t>.</w:t>
      </w:r>
    </w:p>
    <w:p w14:paraId="2A392F9F" w14:textId="77777777" w:rsidR="008A5519" w:rsidRPr="006F63D5" w:rsidRDefault="008A5519" w:rsidP="006F63D5">
      <w:pPr>
        <w:autoSpaceDE w:val="0"/>
        <w:autoSpaceDN w:val="0"/>
        <w:adjustRightInd w:val="0"/>
        <w:spacing w:after="120" w:line="264" w:lineRule="auto"/>
        <w:rPr>
          <w:color w:val="000000" w:themeColor="text1"/>
        </w:rPr>
      </w:pPr>
      <w:r w:rsidRPr="006F63D5">
        <w:rPr>
          <w:b/>
          <w:color w:val="000000" w:themeColor="text1"/>
        </w:rPr>
        <w:t>Od roku 2000</w:t>
      </w:r>
      <w:r w:rsidRPr="006F63D5">
        <w:rPr>
          <w:color w:val="000000" w:themeColor="text1"/>
        </w:rPr>
        <w:t xml:space="preserve"> bylo možné investiční pobídku získat </w:t>
      </w:r>
      <w:r w:rsidRPr="006F63D5">
        <w:rPr>
          <w:b/>
          <w:color w:val="000000" w:themeColor="text1"/>
        </w:rPr>
        <w:t>jen v oborech zpracovatelského průmyslu</w:t>
      </w:r>
      <w:r w:rsidRPr="00C05A01">
        <w:rPr>
          <w:b/>
          <w:color w:val="000000" w:themeColor="text1"/>
        </w:rPr>
        <w:t>.</w:t>
      </w:r>
      <w:r w:rsidRPr="006F63D5">
        <w:rPr>
          <w:color w:val="000000" w:themeColor="text1"/>
        </w:rPr>
        <w:t xml:space="preserve"> </w:t>
      </w:r>
      <w:r w:rsidRPr="006F63D5">
        <w:rPr>
          <w:b/>
          <w:color w:val="000000" w:themeColor="text1"/>
        </w:rPr>
        <w:t xml:space="preserve">Od roku 2012 </w:t>
      </w:r>
      <w:r w:rsidRPr="006F63D5">
        <w:rPr>
          <w:color w:val="000000" w:themeColor="text1"/>
        </w:rPr>
        <w:t xml:space="preserve">umožňuje zákon získat investiční pobídku </w:t>
      </w:r>
      <w:r w:rsidR="00AE49F2" w:rsidRPr="006F63D5">
        <w:rPr>
          <w:b/>
          <w:color w:val="000000" w:themeColor="text1"/>
        </w:rPr>
        <w:t>navíc</w:t>
      </w:r>
      <w:r w:rsidR="00AE49F2" w:rsidRPr="006F63D5">
        <w:rPr>
          <w:color w:val="000000" w:themeColor="text1"/>
        </w:rPr>
        <w:t xml:space="preserve"> </w:t>
      </w:r>
      <w:r w:rsidR="00EC581C" w:rsidRPr="006F63D5">
        <w:rPr>
          <w:b/>
          <w:color w:val="000000" w:themeColor="text1"/>
        </w:rPr>
        <w:t>i</w:t>
      </w:r>
      <w:r w:rsidR="00E21168" w:rsidRPr="006F63D5">
        <w:rPr>
          <w:b/>
          <w:color w:val="000000" w:themeColor="text1"/>
        </w:rPr>
        <w:t> </w:t>
      </w:r>
      <w:r w:rsidRPr="006F63D5">
        <w:rPr>
          <w:b/>
          <w:color w:val="000000" w:themeColor="text1"/>
        </w:rPr>
        <w:t>v technologických centrech</w:t>
      </w:r>
      <w:r w:rsidR="007274E9" w:rsidRPr="006F63D5">
        <w:rPr>
          <w:rStyle w:val="Znakapoznpodarou"/>
          <w:b/>
          <w:color w:val="000000" w:themeColor="text1"/>
        </w:rPr>
        <w:footnoteReference w:id="8"/>
      </w:r>
      <w:r w:rsidRPr="006F63D5">
        <w:rPr>
          <w:b/>
          <w:color w:val="000000" w:themeColor="text1"/>
        </w:rPr>
        <w:t xml:space="preserve"> a </w:t>
      </w:r>
      <w:r w:rsidR="00AE49F2" w:rsidRPr="006F63D5">
        <w:rPr>
          <w:b/>
          <w:color w:val="000000" w:themeColor="text1"/>
        </w:rPr>
        <w:t>v centrech strategických služeb</w:t>
      </w:r>
      <w:r w:rsidR="007274E9" w:rsidRPr="006F63D5">
        <w:rPr>
          <w:rStyle w:val="Znakapoznpodarou"/>
          <w:b/>
          <w:color w:val="000000" w:themeColor="text1"/>
        </w:rPr>
        <w:footnoteReference w:id="9"/>
      </w:r>
      <w:r w:rsidR="00AE49F2" w:rsidRPr="006F63D5">
        <w:rPr>
          <w:color w:val="000000" w:themeColor="text1"/>
        </w:rPr>
        <w:t>.</w:t>
      </w:r>
      <w:r w:rsidR="008E07F7" w:rsidRPr="006F63D5">
        <w:rPr>
          <w:color w:val="000000" w:themeColor="text1"/>
        </w:rPr>
        <w:t xml:space="preserve"> </w:t>
      </w:r>
    </w:p>
    <w:p w14:paraId="6C52B34B" w14:textId="77777777" w:rsidR="00D20D33" w:rsidRDefault="006120D0" w:rsidP="00D20D33">
      <w:pPr>
        <w:autoSpaceDE w:val="0"/>
        <w:autoSpaceDN w:val="0"/>
        <w:adjustRightInd w:val="0"/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t xml:space="preserve">Investiční pobídky jsou </w:t>
      </w:r>
      <w:r w:rsidRPr="006F63D5">
        <w:rPr>
          <w:b/>
          <w:color w:val="000000" w:themeColor="text1"/>
        </w:rPr>
        <w:t>formou veřejné podpory</w:t>
      </w:r>
      <w:r w:rsidR="00D20D33" w:rsidRPr="00D20D33">
        <w:rPr>
          <w:color w:val="000000" w:themeColor="text1"/>
        </w:rPr>
        <w:t xml:space="preserve">, její poskytnutí je ze strany EK </w:t>
      </w:r>
      <w:r w:rsidR="00B15594" w:rsidRPr="00D20D33">
        <w:rPr>
          <w:color w:val="000000" w:themeColor="text1"/>
        </w:rPr>
        <w:t>umožněno</w:t>
      </w:r>
      <w:r w:rsidR="00B15594" w:rsidRPr="006F63D5">
        <w:rPr>
          <w:color w:val="000000" w:themeColor="text1"/>
        </w:rPr>
        <w:t xml:space="preserve"> </w:t>
      </w:r>
      <w:r w:rsidR="00AB7755" w:rsidRPr="006F63D5">
        <w:rPr>
          <w:color w:val="000000" w:themeColor="text1"/>
        </w:rPr>
        <w:t>na základě</w:t>
      </w:r>
      <w:r w:rsidRPr="006F63D5">
        <w:rPr>
          <w:color w:val="000000" w:themeColor="text1"/>
        </w:rPr>
        <w:t xml:space="preserve"> </w:t>
      </w:r>
      <w:r w:rsidRPr="006F63D5">
        <w:rPr>
          <w:b/>
          <w:color w:val="000000" w:themeColor="text1"/>
        </w:rPr>
        <w:t>tzv. blokové výjimky</w:t>
      </w:r>
      <w:r w:rsidR="007A0287" w:rsidRPr="006F63D5">
        <w:rPr>
          <w:rStyle w:val="Znakapoznpodarou"/>
          <w:b/>
          <w:color w:val="000000" w:themeColor="text1"/>
        </w:rPr>
        <w:footnoteReference w:id="10"/>
      </w:r>
      <w:r w:rsidR="00436B83" w:rsidRPr="006F63D5">
        <w:rPr>
          <w:color w:val="000000" w:themeColor="text1"/>
        </w:rPr>
        <w:t xml:space="preserve">, která je upravena </w:t>
      </w:r>
      <w:r w:rsidR="007362C2">
        <w:rPr>
          <w:color w:val="000000" w:themeColor="text1"/>
        </w:rPr>
        <w:t>n</w:t>
      </w:r>
      <w:r w:rsidR="00B4263A" w:rsidRPr="006F63D5">
        <w:rPr>
          <w:color w:val="000000" w:themeColor="text1"/>
        </w:rPr>
        <w:t xml:space="preserve">ařízením Komise (EU) </w:t>
      </w:r>
      <w:r w:rsidR="00AB7755" w:rsidRPr="006F63D5">
        <w:rPr>
          <w:color w:val="000000" w:themeColor="text1"/>
        </w:rPr>
        <w:t>č. </w:t>
      </w:r>
      <w:r w:rsidR="00AE554B" w:rsidRPr="006F63D5">
        <w:rPr>
          <w:color w:val="000000" w:themeColor="text1"/>
        </w:rPr>
        <w:t xml:space="preserve">651/2014. </w:t>
      </w:r>
    </w:p>
    <w:p w14:paraId="52E8362A" w14:textId="0DF120AE" w:rsidR="00B51BBC" w:rsidRPr="006F63D5" w:rsidRDefault="00436B83" w:rsidP="00D20D33">
      <w:pPr>
        <w:autoSpaceDE w:val="0"/>
        <w:autoSpaceDN w:val="0"/>
        <w:adjustRightInd w:val="0"/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lastRenderedPageBreak/>
        <w:t xml:space="preserve">Na základě tohoto nařízení muselo MPO </w:t>
      </w:r>
      <w:r w:rsidR="006120D0" w:rsidRPr="006F63D5">
        <w:rPr>
          <w:color w:val="000000" w:themeColor="text1"/>
        </w:rPr>
        <w:t xml:space="preserve">vypracovat </w:t>
      </w:r>
      <w:r w:rsidR="006120D0" w:rsidRPr="00C05A01">
        <w:rPr>
          <w:i/>
          <w:color w:val="000000" w:themeColor="text1"/>
        </w:rPr>
        <w:t>Plán hodnocení režimu státní podpory podle obecného nařízení o blokových výjimkách: Investiční pobídky v České republice</w:t>
      </w:r>
      <w:r w:rsidR="006120D0" w:rsidRPr="006F63D5">
        <w:rPr>
          <w:color w:val="000000" w:themeColor="text1"/>
        </w:rPr>
        <w:t xml:space="preserve">, který Evropská komise schválila svým rozhodnutím </w:t>
      </w:r>
      <w:r w:rsidR="00B15594" w:rsidRPr="006F63D5">
        <w:rPr>
          <w:color w:val="000000" w:themeColor="text1"/>
        </w:rPr>
        <w:t xml:space="preserve">na období </w:t>
      </w:r>
      <w:r w:rsidR="006120D0" w:rsidRPr="006F63D5">
        <w:rPr>
          <w:color w:val="000000" w:themeColor="text1"/>
        </w:rPr>
        <w:t>do 31. prosince 2020.</w:t>
      </w:r>
      <w:r w:rsidR="0012184A">
        <w:rPr>
          <w:rStyle w:val="Znakapoznpodarou"/>
          <w:color w:val="000000" w:themeColor="text1"/>
        </w:rPr>
        <w:footnoteReference w:id="11"/>
      </w:r>
      <w:r w:rsidR="006120D0" w:rsidRPr="006F63D5">
        <w:rPr>
          <w:color w:val="000000" w:themeColor="text1"/>
        </w:rPr>
        <w:t xml:space="preserve"> </w:t>
      </w:r>
    </w:p>
    <w:p w14:paraId="34099347" w14:textId="2DAC357D" w:rsidR="00DD2A21" w:rsidRPr="004F440D" w:rsidRDefault="00161F79" w:rsidP="004F440D">
      <w:pPr>
        <w:keepNext/>
        <w:spacing w:after="120" w:line="264" w:lineRule="auto"/>
        <w:rPr>
          <w:color w:val="000000" w:themeColor="text1"/>
        </w:rPr>
      </w:pPr>
      <w:r w:rsidRPr="003D5278">
        <w:rPr>
          <w:b/>
        </w:rPr>
        <w:t>Převaha investičních pobídek do zpracovatelského průmyslu bez vyšší přidané hodnoty</w:t>
      </w:r>
    </w:p>
    <w:p w14:paraId="6E63D605" w14:textId="31556B89" w:rsidR="00D54B44" w:rsidRPr="006F63D5" w:rsidRDefault="002024F5" w:rsidP="006F63D5">
      <w:pPr>
        <w:pStyle w:val="Odstavecseseznamem"/>
        <w:spacing w:after="120" w:line="264" w:lineRule="auto"/>
        <w:ind w:left="0"/>
        <w:contextualSpacing w:val="0"/>
        <w:rPr>
          <w:color w:val="000000" w:themeColor="text1"/>
        </w:rPr>
      </w:pPr>
      <w:r w:rsidRPr="006F63D5">
        <w:rPr>
          <w:b/>
          <w:color w:val="000000" w:themeColor="text1"/>
        </w:rPr>
        <w:t>Od roku 2000 do konce září 2020</w:t>
      </w:r>
      <w:r w:rsidRPr="006F63D5">
        <w:rPr>
          <w:color w:val="000000" w:themeColor="text1"/>
        </w:rPr>
        <w:t xml:space="preserve"> vydalo MPO celkem </w:t>
      </w:r>
      <w:r w:rsidRPr="006F63D5">
        <w:rPr>
          <w:b/>
          <w:color w:val="000000" w:themeColor="text1"/>
        </w:rPr>
        <w:t>1</w:t>
      </w:r>
      <w:r w:rsidR="00320A71">
        <w:rPr>
          <w:b/>
          <w:color w:val="000000" w:themeColor="text1"/>
        </w:rPr>
        <w:t> </w:t>
      </w:r>
      <w:r w:rsidRPr="006F63D5">
        <w:rPr>
          <w:b/>
          <w:color w:val="000000" w:themeColor="text1"/>
        </w:rPr>
        <w:t>265</w:t>
      </w:r>
      <w:r w:rsidRPr="006F63D5">
        <w:rPr>
          <w:color w:val="000000" w:themeColor="text1"/>
        </w:rPr>
        <w:t xml:space="preserve"> </w:t>
      </w:r>
      <w:r w:rsidR="00320A71">
        <w:rPr>
          <w:color w:val="000000" w:themeColor="text1"/>
        </w:rPr>
        <w:t>r</w:t>
      </w:r>
      <w:r w:rsidRPr="006F63D5">
        <w:rPr>
          <w:color w:val="000000" w:themeColor="text1"/>
        </w:rPr>
        <w:t xml:space="preserve">ozhodnutí o příslibu investiční pobídky. U </w:t>
      </w:r>
      <w:r w:rsidRPr="006F63D5">
        <w:rPr>
          <w:b/>
          <w:color w:val="000000" w:themeColor="text1"/>
        </w:rPr>
        <w:t>310</w:t>
      </w:r>
      <w:r w:rsidRPr="006F63D5">
        <w:rPr>
          <w:color w:val="000000" w:themeColor="text1"/>
        </w:rPr>
        <w:t xml:space="preserve"> vydaných </w:t>
      </w:r>
      <w:r w:rsidR="00320A71">
        <w:rPr>
          <w:color w:val="000000" w:themeColor="text1"/>
        </w:rPr>
        <w:t>r</w:t>
      </w:r>
      <w:r w:rsidRPr="006F63D5">
        <w:rPr>
          <w:color w:val="000000" w:themeColor="text1"/>
        </w:rPr>
        <w:t>ozhodnutí o příslibu investiční pobídky následně došlo ke zrušení nebo pozbytí platnosti</w:t>
      </w:r>
      <w:r w:rsidR="005546D1" w:rsidRPr="006F63D5">
        <w:rPr>
          <w:color w:val="000000" w:themeColor="text1"/>
        </w:rPr>
        <w:t xml:space="preserve"> (např. na žádost společnosti z důvodu změny strategie)</w:t>
      </w:r>
      <w:r w:rsidRPr="006F63D5">
        <w:rPr>
          <w:color w:val="000000" w:themeColor="text1"/>
        </w:rPr>
        <w:t xml:space="preserve">. K 30. září 2020 MPO tedy evidovalo </w:t>
      </w:r>
      <w:r w:rsidRPr="006F63D5">
        <w:rPr>
          <w:b/>
          <w:color w:val="000000" w:themeColor="text1"/>
        </w:rPr>
        <w:t>955</w:t>
      </w:r>
      <w:r w:rsidRPr="006F63D5">
        <w:rPr>
          <w:color w:val="000000" w:themeColor="text1"/>
        </w:rPr>
        <w:t xml:space="preserve"> platných </w:t>
      </w:r>
      <w:r w:rsidR="00320A71">
        <w:rPr>
          <w:color w:val="000000" w:themeColor="text1"/>
        </w:rPr>
        <w:t>r</w:t>
      </w:r>
      <w:r w:rsidRPr="006F63D5">
        <w:rPr>
          <w:color w:val="000000" w:themeColor="text1"/>
        </w:rPr>
        <w:t>ozhodnut</w:t>
      </w:r>
      <w:r w:rsidR="00F326F7" w:rsidRPr="006F63D5">
        <w:rPr>
          <w:color w:val="000000" w:themeColor="text1"/>
        </w:rPr>
        <w:t>í o příslibu investiční pobídky</w:t>
      </w:r>
      <w:r w:rsidR="000B7DA4" w:rsidRPr="006F63D5">
        <w:rPr>
          <w:color w:val="000000" w:themeColor="text1"/>
        </w:rPr>
        <w:t xml:space="preserve"> vydaných od roku 2000</w:t>
      </w:r>
      <w:r w:rsidR="00F326F7" w:rsidRPr="006F63D5">
        <w:rPr>
          <w:color w:val="000000" w:themeColor="text1"/>
        </w:rPr>
        <w:t xml:space="preserve">, z toho </w:t>
      </w:r>
      <w:r w:rsidR="00F326F7" w:rsidRPr="006F63D5">
        <w:rPr>
          <w:b/>
          <w:color w:val="000000" w:themeColor="text1"/>
        </w:rPr>
        <w:t>508</w:t>
      </w:r>
      <w:r w:rsidR="00F326F7" w:rsidRPr="006F63D5">
        <w:rPr>
          <w:color w:val="000000" w:themeColor="text1"/>
        </w:rPr>
        <w:t xml:space="preserve"> vydaných od roku 2012.</w:t>
      </w:r>
    </w:p>
    <w:p w14:paraId="071665BF" w14:textId="59A4C472" w:rsidR="00CB419C" w:rsidRPr="006F63D5" w:rsidRDefault="00083E4E" w:rsidP="003D5278">
      <w:pPr>
        <w:pStyle w:val="Odstavecseseznamem"/>
        <w:spacing w:after="120" w:line="264" w:lineRule="auto"/>
        <w:ind w:left="0"/>
        <w:contextualSpacing w:val="0"/>
        <w:rPr>
          <w:b/>
          <w:color w:val="000000" w:themeColor="text1"/>
        </w:rPr>
      </w:pPr>
      <w:r w:rsidRPr="006F63D5">
        <w:rPr>
          <w:b/>
          <w:color w:val="000000" w:themeColor="text1"/>
        </w:rPr>
        <w:t>Od roku</w:t>
      </w:r>
      <w:r w:rsidR="002024F5" w:rsidRPr="006F63D5">
        <w:rPr>
          <w:b/>
          <w:color w:val="000000" w:themeColor="text1"/>
        </w:rPr>
        <w:t xml:space="preserve"> 2012</w:t>
      </w:r>
      <w:r w:rsidR="00EC581C" w:rsidRPr="00C05A01">
        <w:rPr>
          <w:b/>
          <w:color w:val="000000" w:themeColor="text1"/>
        </w:rPr>
        <w:t>,</w:t>
      </w:r>
      <w:r w:rsidR="00EC581C" w:rsidRPr="006F63D5">
        <w:rPr>
          <w:color w:val="000000" w:themeColor="text1"/>
        </w:rPr>
        <w:t xml:space="preserve"> </w:t>
      </w:r>
      <w:r w:rsidRPr="006F63D5">
        <w:rPr>
          <w:color w:val="000000" w:themeColor="text1"/>
        </w:rPr>
        <w:t>kdy</w:t>
      </w:r>
      <w:r w:rsidR="002024F5" w:rsidRPr="006F63D5">
        <w:rPr>
          <w:color w:val="000000" w:themeColor="text1"/>
        </w:rPr>
        <w:t xml:space="preserve"> bylo umožněno získat investiční pobídku nejen ve</w:t>
      </w:r>
      <w:r w:rsidR="00E21168" w:rsidRPr="006F63D5">
        <w:rPr>
          <w:color w:val="000000" w:themeColor="text1"/>
        </w:rPr>
        <w:t> </w:t>
      </w:r>
      <w:r w:rsidR="002024F5" w:rsidRPr="006F63D5">
        <w:rPr>
          <w:color w:val="000000" w:themeColor="text1"/>
        </w:rPr>
        <w:t xml:space="preserve">zpracovatelském průmyslu, ale i </w:t>
      </w:r>
      <w:r w:rsidR="002024F5" w:rsidRPr="006F63D5">
        <w:rPr>
          <w:b/>
          <w:color w:val="000000" w:themeColor="text1"/>
        </w:rPr>
        <w:t xml:space="preserve">v technologických centrech a centrech strategických </w:t>
      </w:r>
      <w:r w:rsidRPr="006F63D5">
        <w:rPr>
          <w:b/>
          <w:color w:val="000000" w:themeColor="text1"/>
        </w:rPr>
        <w:t>služeb</w:t>
      </w:r>
      <w:r w:rsidRPr="00C05A01">
        <w:rPr>
          <w:b/>
          <w:color w:val="000000" w:themeColor="text1"/>
        </w:rPr>
        <w:t>,</w:t>
      </w:r>
      <w:r w:rsidRPr="006F63D5">
        <w:rPr>
          <w:color w:val="000000" w:themeColor="text1"/>
        </w:rPr>
        <w:t xml:space="preserve"> </w:t>
      </w:r>
      <w:r w:rsidR="002024F5" w:rsidRPr="006F63D5">
        <w:rPr>
          <w:color w:val="000000" w:themeColor="text1"/>
        </w:rPr>
        <w:t xml:space="preserve">vydalo MPO celkem 36 </w:t>
      </w:r>
      <w:r w:rsidR="00320A71">
        <w:rPr>
          <w:color w:val="000000" w:themeColor="text1"/>
        </w:rPr>
        <w:t>r</w:t>
      </w:r>
      <w:r w:rsidR="002024F5" w:rsidRPr="006F63D5">
        <w:rPr>
          <w:color w:val="000000" w:themeColor="text1"/>
        </w:rPr>
        <w:t>ozhodnutí o příslibu investiční pobídky pro tato centra. Následně u 16 došlo ke</w:t>
      </w:r>
      <w:r w:rsidR="003877FB" w:rsidRPr="006F63D5">
        <w:rPr>
          <w:color w:val="000000" w:themeColor="text1"/>
        </w:rPr>
        <w:t> </w:t>
      </w:r>
      <w:r w:rsidR="002024F5" w:rsidRPr="006F63D5">
        <w:rPr>
          <w:color w:val="000000" w:themeColor="text1"/>
        </w:rPr>
        <w:t xml:space="preserve">zrušení nebo </w:t>
      </w:r>
      <w:r w:rsidR="000534E1" w:rsidRPr="006F63D5">
        <w:rPr>
          <w:color w:val="000000" w:themeColor="text1"/>
        </w:rPr>
        <w:t>pozbytí</w:t>
      </w:r>
      <w:r w:rsidR="003B5763">
        <w:rPr>
          <w:color w:val="000000" w:themeColor="text1"/>
        </w:rPr>
        <w:t xml:space="preserve"> platnosti. K 30. </w:t>
      </w:r>
      <w:r w:rsidR="002024F5" w:rsidRPr="006F63D5">
        <w:rPr>
          <w:color w:val="000000" w:themeColor="text1"/>
        </w:rPr>
        <w:t>září 2020 MPO tedy evidovalo</w:t>
      </w:r>
      <w:r w:rsidR="002024F5" w:rsidRPr="006F63D5">
        <w:rPr>
          <w:b/>
          <w:color w:val="000000" w:themeColor="text1"/>
        </w:rPr>
        <w:t xml:space="preserve"> 20 platných </w:t>
      </w:r>
      <w:r w:rsidR="00320A71">
        <w:rPr>
          <w:b/>
          <w:color w:val="000000" w:themeColor="text1"/>
        </w:rPr>
        <w:t>r</w:t>
      </w:r>
      <w:r w:rsidR="002024F5" w:rsidRPr="006F63D5">
        <w:rPr>
          <w:b/>
          <w:color w:val="000000" w:themeColor="text1"/>
        </w:rPr>
        <w:t>ozhodnutí o příslibu investiční pobídky pro</w:t>
      </w:r>
      <w:r w:rsidR="0026607D" w:rsidRPr="006F63D5">
        <w:rPr>
          <w:b/>
          <w:color w:val="000000" w:themeColor="text1"/>
        </w:rPr>
        <w:t xml:space="preserve"> technologická centra a </w:t>
      </w:r>
      <w:r w:rsidR="002024F5" w:rsidRPr="006F63D5">
        <w:rPr>
          <w:b/>
          <w:color w:val="000000" w:themeColor="text1"/>
        </w:rPr>
        <w:t>centra strategických služeb</w:t>
      </w:r>
      <w:r w:rsidR="002024F5" w:rsidRPr="00C05A01">
        <w:rPr>
          <w:b/>
          <w:color w:val="000000" w:themeColor="text1"/>
        </w:rPr>
        <w:t>,</w:t>
      </w:r>
      <w:r w:rsidR="002024F5" w:rsidRPr="006F63D5">
        <w:rPr>
          <w:color w:val="000000" w:themeColor="text1"/>
        </w:rPr>
        <w:t xml:space="preserve"> tj. 4 % z celkového počtu </w:t>
      </w:r>
      <w:r w:rsidR="00F326F7" w:rsidRPr="006F63D5">
        <w:rPr>
          <w:color w:val="000000" w:themeColor="text1"/>
        </w:rPr>
        <w:t xml:space="preserve">508 platných </w:t>
      </w:r>
      <w:r w:rsidR="00C25E27" w:rsidRPr="006F63D5">
        <w:rPr>
          <w:color w:val="000000" w:themeColor="text1"/>
        </w:rPr>
        <w:t>a</w:t>
      </w:r>
      <w:r w:rsidR="00F326F7" w:rsidRPr="006F63D5">
        <w:rPr>
          <w:color w:val="000000" w:themeColor="text1"/>
        </w:rPr>
        <w:t xml:space="preserve"> vydaných od roku 2012. Zbylých 488</w:t>
      </w:r>
      <w:r w:rsidR="00A342E9" w:rsidRPr="006F63D5">
        <w:rPr>
          <w:color w:val="000000" w:themeColor="text1"/>
        </w:rPr>
        <w:t>,</w:t>
      </w:r>
      <w:r w:rsidR="002024F5" w:rsidRPr="006F63D5">
        <w:rPr>
          <w:color w:val="000000" w:themeColor="text1"/>
        </w:rPr>
        <w:t xml:space="preserve"> </w:t>
      </w:r>
      <w:r w:rsidR="00A342E9" w:rsidRPr="006F63D5">
        <w:rPr>
          <w:color w:val="000000" w:themeColor="text1"/>
        </w:rPr>
        <w:t>tj.</w:t>
      </w:r>
      <w:r w:rsidR="00320A71">
        <w:rPr>
          <w:color w:val="000000" w:themeColor="text1"/>
        </w:rPr>
        <w:t> </w:t>
      </w:r>
      <w:r w:rsidR="00A342E9" w:rsidRPr="006F63D5">
        <w:rPr>
          <w:b/>
          <w:color w:val="000000" w:themeColor="text1"/>
        </w:rPr>
        <w:t>96</w:t>
      </w:r>
      <w:r w:rsidR="00320A71">
        <w:rPr>
          <w:b/>
          <w:color w:val="000000" w:themeColor="text1"/>
        </w:rPr>
        <w:t> </w:t>
      </w:r>
      <w:r w:rsidR="00A342E9" w:rsidRPr="006F63D5">
        <w:rPr>
          <w:b/>
          <w:color w:val="000000" w:themeColor="text1"/>
        </w:rPr>
        <w:t>%</w:t>
      </w:r>
      <w:r w:rsidR="00320A71">
        <w:rPr>
          <w:b/>
          <w:color w:val="000000" w:themeColor="text1"/>
        </w:rPr>
        <w:t>,</w:t>
      </w:r>
      <w:r w:rsidR="00A342E9" w:rsidRPr="006F63D5">
        <w:rPr>
          <w:b/>
          <w:color w:val="000000" w:themeColor="text1"/>
        </w:rPr>
        <w:t xml:space="preserve"> </w:t>
      </w:r>
      <w:r w:rsidR="00CE2C23" w:rsidRPr="006F63D5">
        <w:rPr>
          <w:b/>
          <w:color w:val="000000" w:themeColor="text1"/>
        </w:rPr>
        <w:t>MPO vydalo</w:t>
      </w:r>
      <w:r w:rsidR="00A1366A" w:rsidRPr="006F63D5">
        <w:rPr>
          <w:b/>
          <w:color w:val="000000" w:themeColor="text1"/>
        </w:rPr>
        <w:t xml:space="preserve"> pro zpracovatelský průmysl.</w:t>
      </w:r>
    </w:p>
    <w:p w14:paraId="014A0178" w14:textId="672F2A08" w:rsidR="00D54B44" w:rsidRPr="006F63D5" w:rsidRDefault="002024F5" w:rsidP="006867A7">
      <w:pPr>
        <w:pStyle w:val="Odstavecseseznamem"/>
        <w:keepNext/>
        <w:spacing w:after="120" w:line="264" w:lineRule="auto"/>
        <w:ind w:left="993" w:hanging="993"/>
        <w:contextualSpacing w:val="0"/>
        <w:jc w:val="left"/>
        <w:rPr>
          <w:b/>
          <w:color w:val="000000" w:themeColor="text1"/>
        </w:rPr>
      </w:pPr>
      <w:r w:rsidRPr="006F63D5">
        <w:rPr>
          <w:b/>
          <w:color w:val="000000" w:themeColor="text1"/>
        </w:rPr>
        <w:t xml:space="preserve">Graf č. 1: </w:t>
      </w:r>
      <w:r w:rsidR="003D5278">
        <w:rPr>
          <w:b/>
          <w:color w:val="000000" w:themeColor="text1"/>
        </w:rPr>
        <w:tab/>
      </w:r>
      <w:r w:rsidRPr="006F63D5">
        <w:rPr>
          <w:b/>
          <w:color w:val="000000" w:themeColor="text1"/>
        </w:rPr>
        <w:t xml:space="preserve">Počet </w:t>
      </w:r>
      <w:r w:rsidR="00D54B44" w:rsidRPr="006F63D5">
        <w:rPr>
          <w:b/>
          <w:color w:val="000000" w:themeColor="text1"/>
        </w:rPr>
        <w:t>platných</w:t>
      </w:r>
      <w:r w:rsidRPr="006F63D5">
        <w:rPr>
          <w:b/>
          <w:color w:val="000000" w:themeColor="text1"/>
        </w:rPr>
        <w:t xml:space="preserve"> </w:t>
      </w:r>
      <w:r w:rsidR="00320A71">
        <w:rPr>
          <w:b/>
          <w:color w:val="000000" w:themeColor="text1"/>
        </w:rPr>
        <w:t>r</w:t>
      </w:r>
      <w:r w:rsidRPr="006F63D5">
        <w:rPr>
          <w:b/>
          <w:color w:val="000000" w:themeColor="text1"/>
        </w:rPr>
        <w:t>ozhodnutí o příslibu investiční pobídky</w:t>
      </w:r>
      <w:r w:rsidR="00672A67" w:rsidRPr="006F63D5">
        <w:rPr>
          <w:b/>
          <w:color w:val="000000" w:themeColor="text1"/>
        </w:rPr>
        <w:t xml:space="preserve"> </w:t>
      </w:r>
      <w:r w:rsidR="00D54B44" w:rsidRPr="006F63D5">
        <w:rPr>
          <w:b/>
          <w:color w:val="000000" w:themeColor="text1"/>
        </w:rPr>
        <w:t>k 30. září 2020</w:t>
      </w:r>
      <w:r w:rsidR="003D5278">
        <w:rPr>
          <w:b/>
          <w:color w:val="000000" w:themeColor="text1"/>
        </w:rPr>
        <w:t xml:space="preserve"> </w:t>
      </w:r>
      <w:r w:rsidR="00D54B44" w:rsidRPr="006F63D5">
        <w:rPr>
          <w:b/>
          <w:color w:val="000000" w:themeColor="text1"/>
        </w:rPr>
        <w:t>(vydaných od roku 2012 do 30. září 2020)</w:t>
      </w:r>
    </w:p>
    <w:p w14:paraId="0F270B19" w14:textId="75E97869" w:rsidR="002024F5" w:rsidRPr="006F63D5" w:rsidRDefault="00E36E78" w:rsidP="003D5278">
      <w:pPr>
        <w:keepNext/>
        <w:spacing w:after="120" w:line="264" w:lineRule="auto"/>
        <w:jc w:val="center"/>
        <w:rPr>
          <w:color w:val="000000" w:themeColor="text1"/>
        </w:rPr>
      </w:pPr>
      <w:r>
        <w:rPr>
          <w:noProof/>
          <w:lang w:eastAsia="cs-CZ"/>
        </w:rPr>
        <w:drawing>
          <wp:inline distT="0" distB="0" distL="0" distR="0" wp14:anchorId="18BD4ECE" wp14:editId="659890A9">
            <wp:extent cx="5705475" cy="2756452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2024F5" w:rsidRPr="006F63D5">
        <w:rPr>
          <w:color w:val="000000" w:themeColor="text1"/>
        </w:rPr>
        <w:t xml:space="preserve">   </w:t>
      </w:r>
    </w:p>
    <w:p w14:paraId="67E181E4" w14:textId="602FD2C2" w:rsidR="00521FAF" w:rsidRPr="00F2084A" w:rsidRDefault="002024F5" w:rsidP="00F2084A">
      <w:pPr>
        <w:spacing w:after="120" w:line="264" w:lineRule="auto"/>
        <w:jc w:val="left"/>
        <w:rPr>
          <w:b/>
          <w:color w:val="000000" w:themeColor="text1"/>
          <w:sz w:val="20"/>
        </w:rPr>
      </w:pPr>
      <w:r w:rsidRPr="00F2084A">
        <w:rPr>
          <w:b/>
          <w:color w:val="000000" w:themeColor="text1"/>
          <w:sz w:val="20"/>
        </w:rPr>
        <w:t xml:space="preserve">Zdroj: </w:t>
      </w:r>
      <w:r w:rsidR="00320A71">
        <w:rPr>
          <w:color w:val="000000" w:themeColor="text1"/>
          <w:sz w:val="20"/>
        </w:rPr>
        <w:t>vypracoval</w:t>
      </w:r>
      <w:r w:rsidRPr="00F2084A">
        <w:rPr>
          <w:color w:val="000000" w:themeColor="text1"/>
          <w:sz w:val="20"/>
        </w:rPr>
        <w:t xml:space="preserve"> NKÚ na základě dat poskytnutých od MPO</w:t>
      </w:r>
      <w:r w:rsidR="00320A71">
        <w:rPr>
          <w:color w:val="000000" w:themeColor="text1"/>
          <w:sz w:val="20"/>
        </w:rPr>
        <w:t>.</w:t>
      </w:r>
    </w:p>
    <w:p w14:paraId="5140FBEE" w14:textId="176C5C3C" w:rsidR="00994A30" w:rsidRPr="006F63D5" w:rsidRDefault="00A1366A" w:rsidP="006F63D5">
      <w:pPr>
        <w:pStyle w:val="Odstavecseseznamem"/>
        <w:spacing w:after="120" w:line="264" w:lineRule="auto"/>
        <w:ind w:left="0"/>
        <w:contextualSpacing w:val="0"/>
        <w:rPr>
          <w:b/>
          <w:color w:val="000000" w:themeColor="text1"/>
        </w:rPr>
      </w:pPr>
      <w:r w:rsidRPr="006F63D5">
        <w:rPr>
          <w:color w:val="000000" w:themeColor="text1"/>
        </w:rPr>
        <w:t>Zákon do září roku 2019 neumožňoval, aby MPO při</w:t>
      </w:r>
      <w:r w:rsidR="00C25E27" w:rsidRPr="006F63D5">
        <w:rPr>
          <w:color w:val="000000" w:themeColor="text1"/>
        </w:rPr>
        <w:t xml:space="preserve"> vydávání</w:t>
      </w:r>
      <w:r w:rsidRPr="006F63D5">
        <w:rPr>
          <w:color w:val="000000" w:themeColor="text1"/>
        </w:rPr>
        <w:t xml:space="preserve"> </w:t>
      </w:r>
      <w:r w:rsidR="00320A71">
        <w:rPr>
          <w:color w:val="000000" w:themeColor="text1"/>
        </w:rPr>
        <w:t>r</w:t>
      </w:r>
      <w:r w:rsidR="0026607D" w:rsidRPr="006F63D5">
        <w:rPr>
          <w:color w:val="000000" w:themeColor="text1"/>
        </w:rPr>
        <w:t>ozhodování o </w:t>
      </w:r>
      <w:r w:rsidRPr="006F63D5">
        <w:rPr>
          <w:color w:val="000000" w:themeColor="text1"/>
        </w:rPr>
        <w:t xml:space="preserve">příslibu investiční pobídky preferovalo činnosti ve zpracovatelském průmyslu, které </w:t>
      </w:r>
      <w:r w:rsidR="000B7DA4" w:rsidRPr="006F63D5">
        <w:rPr>
          <w:color w:val="000000" w:themeColor="text1"/>
        </w:rPr>
        <w:t>např. </w:t>
      </w:r>
      <w:r w:rsidRPr="006F63D5">
        <w:rPr>
          <w:color w:val="000000" w:themeColor="text1"/>
        </w:rPr>
        <w:t xml:space="preserve">využívaly pracovní sílu s vyšší kvalifikací, prováděly výzkum a vývoj nebo spolupracovaly s výzkumnými organizacemi. </w:t>
      </w:r>
    </w:p>
    <w:p w14:paraId="450DB16D" w14:textId="6D0995F9" w:rsidR="00994A30" w:rsidRPr="00F2084A" w:rsidRDefault="007274E9" w:rsidP="006867A7">
      <w:pPr>
        <w:keepNext/>
        <w:spacing w:after="120" w:line="264" w:lineRule="auto"/>
        <w:rPr>
          <w:b/>
        </w:rPr>
      </w:pPr>
      <w:r w:rsidRPr="00F2084A">
        <w:rPr>
          <w:b/>
        </w:rPr>
        <w:lastRenderedPageBreak/>
        <w:t>Zavedení povinnosti vyšší přidané hodnoty</w:t>
      </w:r>
    </w:p>
    <w:p w14:paraId="395C85E1" w14:textId="29581971" w:rsidR="007274E9" w:rsidRPr="006F63D5" w:rsidRDefault="007274E9" w:rsidP="006F63D5">
      <w:pPr>
        <w:spacing w:after="120" w:line="264" w:lineRule="auto"/>
        <w:rPr>
          <w:b/>
          <w:color w:val="000000" w:themeColor="text1"/>
        </w:rPr>
      </w:pPr>
      <w:r w:rsidRPr="006F63D5">
        <w:rPr>
          <w:b/>
          <w:color w:val="000000" w:themeColor="text1"/>
        </w:rPr>
        <w:t>Až od 6. září 2019</w:t>
      </w:r>
      <w:r w:rsidRPr="006F63D5">
        <w:rPr>
          <w:color w:val="000000" w:themeColor="text1"/>
        </w:rPr>
        <w:t xml:space="preserve"> byla do zákona doplněna nová všeobecná podmínka pro poskytnutí investiční pobídky, a to </w:t>
      </w:r>
      <w:r w:rsidRPr="006F63D5">
        <w:rPr>
          <w:b/>
          <w:color w:val="000000" w:themeColor="text1"/>
        </w:rPr>
        <w:t>podmínka realizace investiční akce v rámci činnosti s vyšší přidanou hodnotou</w:t>
      </w:r>
      <w:r w:rsidRPr="00C05A01">
        <w:rPr>
          <w:b/>
          <w:color w:val="000000" w:themeColor="text1"/>
        </w:rPr>
        <w:t>.</w:t>
      </w:r>
      <w:r w:rsidRPr="006F63D5">
        <w:rPr>
          <w:color w:val="000000" w:themeColor="text1"/>
        </w:rPr>
        <w:t xml:space="preserve"> </w:t>
      </w:r>
      <w:r w:rsidR="00555188" w:rsidRPr="006F63D5">
        <w:rPr>
          <w:color w:val="000000" w:themeColor="text1"/>
        </w:rPr>
        <w:t>Definici vyšší přidané hodnoty</w:t>
      </w:r>
      <w:r w:rsidRPr="006F63D5">
        <w:rPr>
          <w:color w:val="000000" w:themeColor="text1"/>
        </w:rPr>
        <w:t xml:space="preserve"> </w:t>
      </w:r>
      <w:r w:rsidR="00555188" w:rsidRPr="006F63D5">
        <w:rPr>
          <w:color w:val="000000" w:themeColor="text1"/>
        </w:rPr>
        <w:t>upravuje</w:t>
      </w:r>
      <w:r w:rsidR="005A02E5" w:rsidRPr="006F63D5">
        <w:rPr>
          <w:color w:val="000000" w:themeColor="text1"/>
        </w:rPr>
        <w:t xml:space="preserve"> nařízení vlády č. </w:t>
      </w:r>
      <w:r w:rsidRPr="006F63D5">
        <w:rPr>
          <w:color w:val="000000" w:themeColor="text1"/>
        </w:rPr>
        <w:t>221/2019 Sb. Dle tohoto nařízení je v oborech zpracovatelského průmyslu činností s vyšší přidanou hodnotou činnost, kdy má alespoň 80 % zaměstnanců příjemce průměrný hrubý měsíční výdělek nejméně ve výši průměrné</w:t>
      </w:r>
      <w:r w:rsidR="005A02E5" w:rsidRPr="006F63D5">
        <w:rPr>
          <w:color w:val="000000" w:themeColor="text1"/>
        </w:rPr>
        <w:t xml:space="preserve"> měsíční hrubé mzdy v kraji, ve </w:t>
      </w:r>
      <w:r w:rsidRPr="006F63D5">
        <w:rPr>
          <w:color w:val="000000" w:themeColor="text1"/>
        </w:rPr>
        <w:t>kterém se investiční akce realizuje</w:t>
      </w:r>
      <w:r w:rsidR="00763DAA">
        <w:rPr>
          <w:color w:val="000000" w:themeColor="text1"/>
        </w:rPr>
        <w:t>,</w:t>
      </w:r>
      <w:r w:rsidRPr="006F63D5">
        <w:rPr>
          <w:color w:val="000000" w:themeColor="text1"/>
        </w:rPr>
        <w:t xml:space="preserve"> a současně příjemce investiční pobídky splní podmínky týkající se oblasti výzkumu a vývoje (uzavření smlouvy o spolupráci alespoň s jednou výzkumnou organizací, nejméně 2 % výzkumných a vývojových pracovníků ze všech zaměstnanců nebo pořízení strojního zařízení, které bude využíváno převážně v oblasti výzkumu a vývoje). </w:t>
      </w:r>
    </w:p>
    <w:p w14:paraId="02CDC171" w14:textId="77777777" w:rsidR="004F440D" w:rsidRDefault="00994A30" w:rsidP="006F63D5">
      <w:pPr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t>Vláda</w:t>
      </w:r>
      <w:r w:rsidR="00411DC2" w:rsidRPr="006F63D5">
        <w:rPr>
          <w:color w:val="000000" w:themeColor="text1"/>
        </w:rPr>
        <w:t xml:space="preserve"> ČR</w:t>
      </w:r>
      <w:r w:rsidR="000534E1" w:rsidRPr="006F63D5">
        <w:rPr>
          <w:color w:val="000000" w:themeColor="text1"/>
        </w:rPr>
        <w:t xml:space="preserve"> v nařízení č. 221/2019 Sb.</w:t>
      </w:r>
      <w:r w:rsidRPr="006F63D5">
        <w:rPr>
          <w:color w:val="000000" w:themeColor="text1"/>
        </w:rPr>
        <w:t xml:space="preserve"> stanovila, že </w:t>
      </w:r>
      <w:r w:rsidR="007C6D11" w:rsidRPr="006F63D5">
        <w:rPr>
          <w:color w:val="000000" w:themeColor="text1"/>
        </w:rPr>
        <w:t xml:space="preserve">příjemce </w:t>
      </w:r>
      <w:r w:rsidR="007C6D11" w:rsidRPr="006F63D5">
        <w:rPr>
          <w:b/>
          <w:color w:val="000000" w:themeColor="text1"/>
        </w:rPr>
        <w:t xml:space="preserve">nemusí </w:t>
      </w:r>
      <w:r w:rsidR="0066711D" w:rsidRPr="006F63D5">
        <w:rPr>
          <w:b/>
          <w:color w:val="000000" w:themeColor="text1"/>
        </w:rPr>
        <w:t>realizovat</w:t>
      </w:r>
      <w:r w:rsidR="007C6D11" w:rsidRPr="006F63D5">
        <w:rPr>
          <w:b/>
          <w:color w:val="000000" w:themeColor="text1"/>
        </w:rPr>
        <w:t xml:space="preserve"> činnost s vyšší přidanou hodnotou</w:t>
      </w:r>
      <w:r w:rsidR="007C6D11" w:rsidRPr="006F63D5">
        <w:rPr>
          <w:color w:val="000000" w:themeColor="text1"/>
        </w:rPr>
        <w:t xml:space="preserve"> v</w:t>
      </w:r>
      <w:r w:rsidR="00CD4509" w:rsidRPr="006F63D5">
        <w:rPr>
          <w:color w:val="000000" w:themeColor="text1"/>
        </w:rPr>
        <w:t xml:space="preserve"> případě, že celá investiční akce bude realizována </w:t>
      </w:r>
      <w:r w:rsidR="005A02E5" w:rsidRPr="006F63D5">
        <w:rPr>
          <w:b/>
          <w:color w:val="000000" w:themeColor="text1"/>
        </w:rPr>
        <w:t>na </w:t>
      </w:r>
      <w:r w:rsidR="00CD4509" w:rsidRPr="006F63D5">
        <w:rPr>
          <w:b/>
          <w:color w:val="000000" w:themeColor="text1"/>
        </w:rPr>
        <w:t>území státem podporovaného regionu</w:t>
      </w:r>
      <w:r w:rsidR="00A5500C" w:rsidRPr="006F63D5">
        <w:rPr>
          <w:rStyle w:val="Znakapoznpodarou"/>
          <w:b/>
          <w:color w:val="000000" w:themeColor="text1"/>
        </w:rPr>
        <w:footnoteReference w:id="12"/>
      </w:r>
      <w:r w:rsidR="00CD4509" w:rsidRPr="006F63D5">
        <w:rPr>
          <w:color w:val="000000" w:themeColor="text1"/>
        </w:rPr>
        <w:t xml:space="preserve"> vymezeného na základě zákona upravujícího podporu regionálního rozvoje. </w:t>
      </w:r>
    </w:p>
    <w:p w14:paraId="2D88D611" w14:textId="002E144F" w:rsidR="00521FAF" w:rsidRPr="006F63D5" w:rsidRDefault="00CD4509" w:rsidP="006F63D5">
      <w:pPr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t xml:space="preserve">Od 6. září 2019 do konce září 2020 </w:t>
      </w:r>
      <w:r w:rsidR="00763DAA" w:rsidRPr="006F63D5">
        <w:rPr>
          <w:color w:val="000000" w:themeColor="text1"/>
        </w:rPr>
        <w:t xml:space="preserve">předložilo </w:t>
      </w:r>
      <w:r w:rsidRPr="006F63D5">
        <w:rPr>
          <w:color w:val="000000" w:themeColor="text1"/>
        </w:rPr>
        <w:t>MPO vládě</w:t>
      </w:r>
      <w:r w:rsidR="005A02E5" w:rsidRPr="006F63D5">
        <w:rPr>
          <w:color w:val="000000" w:themeColor="text1"/>
        </w:rPr>
        <w:t xml:space="preserve"> ČR a </w:t>
      </w:r>
      <w:r w:rsidR="00411DC2" w:rsidRPr="006F63D5">
        <w:rPr>
          <w:color w:val="000000" w:themeColor="text1"/>
        </w:rPr>
        <w:t>ta</w:t>
      </w:r>
      <w:r w:rsidRPr="006F63D5">
        <w:rPr>
          <w:color w:val="000000" w:themeColor="text1"/>
        </w:rPr>
        <w:t xml:space="preserve"> schválila</w:t>
      </w:r>
      <w:r w:rsidRPr="006F63D5">
        <w:rPr>
          <w:rStyle w:val="Znakapoznpodarou"/>
          <w:color w:val="000000" w:themeColor="text1"/>
        </w:rPr>
        <w:footnoteReference w:id="13"/>
      </w:r>
      <w:r w:rsidR="0026607D" w:rsidRPr="006F63D5">
        <w:rPr>
          <w:color w:val="000000" w:themeColor="text1"/>
        </w:rPr>
        <w:t xml:space="preserve"> jeden návrh na </w:t>
      </w:r>
      <w:r w:rsidRPr="006F63D5">
        <w:rPr>
          <w:color w:val="000000" w:themeColor="text1"/>
        </w:rPr>
        <w:t>schválení investiční pobídky</w:t>
      </w:r>
      <w:r w:rsidR="008B722F" w:rsidRPr="006F63D5">
        <w:rPr>
          <w:color w:val="000000" w:themeColor="text1"/>
        </w:rPr>
        <w:t xml:space="preserve"> ve výrobě</w:t>
      </w:r>
      <w:r w:rsidRPr="006F63D5">
        <w:rPr>
          <w:color w:val="000000" w:themeColor="text1"/>
        </w:rPr>
        <w:t xml:space="preserve">, u níž žadatel podal </w:t>
      </w:r>
      <w:r w:rsidR="005A02E5" w:rsidRPr="006F63D5">
        <w:rPr>
          <w:color w:val="000000" w:themeColor="text1"/>
        </w:rPr>
        <w:t xml:space="preserve">svou </w:t>
      </w:r>
      <w:r w:rsidR="003877FB" w:rsidRPr="006F63D5">
        <w:rPr>
          <w:color w:val="000000" w:themeColor="text1"/>
        </w:rPr>
        <w:t>žádost po 6. září </w:t>
      </w:r>
      <w:r w:rsidRPr="006F63D5">
        <w:rPr>
          <w:color w:val="000000" w:themeColor="text1"/>
        </w:rPr>
        <w:t>2019. Tento žadatel</w:t>
      </w:r>
      <w:r w:rsidR="00656D0C" w:rsidRPr="006F63D5">
        <w:rPr>
          <w:color w:val="000000" w:themeColor="text1"/>
        </w:rPr>
        <w:t xml:space="preserve"> se rozhodl svou investiční akci</w:t>
      </w:r>
      <w:r w:rsidRPr="006F63D5">
        <w:rPr>
          <w:color w:val="000000" w:themeColor="text1"/>
        </w:rPr>
        <w:t xml:space="preserve"> realizovat na území státem podporovaného regionu a nevztahovala se na něj tudíž povinnost </w:t>
      </w:r>
      <w:r w:rsidR="00326A8A" w:rsidRPr="006F63D5">
        <w:rPr>
          <w:color w:val="000000" w:themeColor="text1"/>
        </w:rPr>
        <w:t>realizovat</w:t>
      </w:r>
      <w:r w:rsidRPr="006F63D5">
        <w:rPr>
          <w:color w:val="000000" w:themeColor="text1"/>
        </w:rPr>
        <w:t xml:space="preserve"> činnost s vyšší </w:t>
      </w:r>
      <w:r w:rsidR="008B722F" w:rsidRPr="006F63D5">
        <w:rPr>
          <w:color w:val="000000" w:themeColor="text1"/>
        </w:rPr>
        <w:t>přidanou hodnot</w:t>
      </w:r>
      <w:r w:rsidR="00E40926" w:rsidRPr="006F63D5">
        <w:rPr>
          <w:color w:val="000000" w:themeColor="text1"/>
        </w:rPr>
        <w:t>o</w:t>
      </w:r>
      <w:r w:rsidR="008B722F" w:rsidRPr="006F63D5">
        <w:rPr>
          <w:color w:val="000000" w:themeColor="text1"/>
        </w:rPr>
        <w:t>u.</w:t>
      </w:r>
      <w:r w:rsidR="008B722F" w:rsidRPr="006F63D5">
        <w:rPr>
          <w:b/>
          <w:color w:val="000000" w:themeColor="text1"/>
        </w:rPr>
        <w:t xml:space="preserve"> Do konce září 2020 tedy MPO nevydalo žádné </w:t>
      </w:r>
      <w:r w:rsidR="00763DAA">
        <w:rPr>
          <w:b/>
          <w:color w:val="000000" w:themeColor="text1"/>
        </w:rPr>
        <w:t>r</w:t>
      </w:r>
      <w:r w:rsidR="008B722F" w:rsidRPr="006F63D5">
        <w:rPr>
          <w:b/>
          <w:color w:val="000000" w:themeColor="text1"/>
        </w:rPr>
        <w:t>ozhodnutí o</w:t>
      </w:r>
      <w:r w:rsidR="008D2AAB" w:rsidRPr="006F63D5">
        <w:rPr>
          <w:b/>
          <w:color w:val="000000" w:themeColor="text1"/>
        </w:rPr>
        <w:t> </w:t>
      </w:r>
      <w:r w:rsidR="008B722F" w:rsidRPr="006F63D5">
        <w:rPr>
          <w:b/>
          <w:color w:val="000000" w:themeColor="text1"/>
        </w:rPr>
        <w:t>příslibu investiční p</w:t>
      </w:r>
      <w:r w:rsidR="00595EC5" w:rsidRPr="006F63D5">
        <w:rPr>
          <w:b/>
          <w:color w:val="000000" w:themeColor="text1"/>
        </w:rPr>
        <w:t>obídky ve </w:t>
      </w:r>
      <w:r w:rsidR="000B7DA4" w:rsidRPr="006F63D5">
        <w:rPr>
          <w:b/>
          <w:color w:val="000000" w:themeColor="text1"/>
        </w:rPr>
        <w:t>zpracovatelském průmyslu s povinností realizovat investiční akci</w:t>
      </w:r>
      <w:r w:rsidR="005A02E5" w:rsidRPr="006F63D5">
        <w:rPr>
          <w:b/>
          <w:color w:val="000000" w:themeColor="text1"/>
        </w:rPr>
        <w:t xml:space="preserve"> v </w:t>
      </w:r>
      <w:r w:rsidR="000B7DA4" w:rsidRPr="006F63D5">
        <w:rPr>
          <w:b/>
          <w:color w:val="000000" w:themeColor="text1"/>
        </w:rPr>
        <w:t>rámci činnosti s vyšší přidanou hodnotou</w:t>
      </w:r>
      <w:r w:rsidR="008B722F" w:rsidRPr="006F63D5">
        <w:rPr>
          <w:b/>
          <w:color w:val="000000" w:themeColor="text1"/>
        </w:rPr>
        <w:t>.</w:t>
      </w:r>
    </w:p>
    <w:p w14:paraId="75890F08" w14:textId="0A0CAFB7" w:rsidR="00161F79" w:rsidRPr="00F2084A" w:rsidRDefault="00161F79" w:rsidP="006867A7">
      <w:pPr>
        <w:keepNext/>
        <w:spacing w:after="120" w:line="264" w:lineRule="auto"/>
        <w:rPr>
          <w:b/>
        </w:rPr>
      </w:pPr>
      <w:r w:rsidRPr="00F2084A">
        <w:rPr>
          <w:b/>
        </w:rPr>
        <w:t xml:space="preserve">S novou povinností </w:t>
      </w:r>
      <w:r w:rsidR="00326A8A" w:rsidRPr="00F2084A">
        <w:rPr>
          <w:b/>
        </w:rPr>
        <w:t>realizovat</w:t>
      </w:r>
      <w:r w:rsidRPr="00F2084A">
        <w:rPr>
          <w:b/>
        </w:rPr>
        <w:t xml:space="preserve"> vyšší přidanou</w:t>
      </w:r>
      <w:r w:rsidR="008B722F" w:rsidRPr="00F2084A">
        <w:rPr>
          <w:b/>
        </w:rPr>
        <w:t xml:space="preserve"> hodnotu klesl zájem o získání </w:t>
      </w:r>
      <w:r w:rsidRPr="00F2084A">
        <w:rPr>
          <w:b/>
        </w:rPr>
        <w:t>pobídky</w:t>
      </w:r>
    </w:p>
    <w:p w14:paraId="2612A357" w14:textId="77777777" w:rsidR="00161F79" w:rsidRPr="006F63D5" w:rsidRDefault="00161F79" w:rsidP="006F63D5">
      <w:pPr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</w:rPr>
        <w:t>Během jednoho roku od nabytí účinnosti novely</w:t>
      </w:r>
      <w:r w:rsidR="006E435A" w:rsidRPr="006F63D5">
        <w:rPr>
          <w:color w:val="000000" w:themeColor="text1"/>
        </w:rPr>
        <w:t xml:space="preserve"> zákona, která zavedla povinnost </w:t>
      </w:r>
      <w:r w:rsidR="00326A8A" w:rsidRPr="006F63D5">
        <w:rPr>
          <w:color w:val="000000" w:themeColor="text1"/>
        </w:rPr>
        <w:t>realizovat</w:t>
      </w:r>
      <w:r w:rsidR="006E435A" w:rsidRPr="006F63D5">
        <w:rPr>
          <w:color w:val="000000" w:themeColor="text1"/>
        </w:rPr>
        <w:t xml:space="preserve"> vyšší přidanou hodnotu</w:t>
      </w:r>
      <w:r w:rsidRPr="006F63D5">
        <w:rPr>
          <w:color w:val="000000" w:themeColor="text1"/>
        </w:rPr>
        <w:t xml:space="preserve"> (tj. od 6. září 2019 do 10. září 2020) přijala Agentura CzechInvest </w:t>
      </w:r>
      <w:r w:rsidR="003877FB" w:rsidRPr="006F63D5">
        <w:rPr>
          <w:b/>
          <w:color w:val="000000" w:themeColor="text1"/>
        </w:rPr>
        <w:t>11 </w:t>
      </w:r>
      <w:r w:rsidRPr="006F63D5">
        <w:rPr>
          <w:b/>
          <w:color w:val="000000" w:themeColor="text1"/>
        </w:rPr>
        <w:t>záměrů</w:t>
      </w:r>
      <w:r w:rsidRPr="006F63D5">
        <w:rPr>
          <w:color w:val="000000" w:themeColor="text1"/>
        </w:rPr>
        <w:t xml:space="preserve"> získat investiční pobídku.</w:t>
      </w:r>
      <w:r w:rsidR="0026607D" w:rsidRPr="006F63D5">
        <w:rPr>
          <w:color w:val="000000" w:themeColor="text1"/>
        </w:rPr>
        <w:t xml:space="preserve"> V roce 2019 se jednalo pouze o </w:t>
      </w:r>
      <w:r w:rsidRPr="006F63D5">
        <w:rPr>
          <w:color w:val="000000" w:themeColor="text1"/>
        </w:rPr>
        <w:t>jeden takový záměr z celkového počtu 76 podaných záměrů a v roce 2020 o 10 záměrů.</w:t>
      </w:r>
    </w:p>
    <w:p w14:paraId="3410F6C8" w14:textId="77777777" w:rsidR="00161F79" w:rsidRPr="006F63D5" w:rsidRDefault="00F1312E" w:rsidP="006F63D5">
      <w:pPr>
        <w:spacing w:after="120" w:line="264" w:lineRule="auto"/>
        <w:rPr>
          <w:b/>
          <w:color w:val="000000" w:themeColor="text1"/>
        </w:rPr>
      </w:pPr>
      <w:r w:rsidRPr="006F63D5">
        <w:rPr>
          <w:b/>
          <w:color w:val="000000" w:themeColor="text1"/>
        </w:rPr>
        <w:t>Tabulka č. 1</w:t>
      </w:r>
      <w:r w:rsidR="00161F79" w:rsidRPr="006F63D5">
        <w:rPr>
          <w:b/>
          <w:color w:val="000000" w:themeColor="text1"/>
        </w:rPr>
        <w:t>: Počet záměrů získat investiční pobídku přijatých Agenturou CzechInvest</w:t>
      </w:r>
    </w:p>
    <w:tbl>
      <w:tblPr>
        <w:tblStyle w:val="Mkatabulky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907"/>
        <w:gridCol w:w="907"/>
        <w:gridCol w:w="907"/>
        <w:gridCol w:w="907"/>
        <w:gridCol w:w="907"/>
        <w:gridCol w:w="2268"/>
      </w:tblGrid>
      <w:tr w:rsidR="00F2084A" w:rsidRPr="00F2084A" w14:paraId="4E062E39" w14:textId="77777777" w:rsidTr="0058367B">
        <w:trPr>
          <w:trHeight w:val="433"/>
          <w:jc w:val="center"/>
        </w:trPr>
        <w:tc>
          <w:tcPr>
            <w:tcW w:w="2268" w:type="dxa"/>
            <w:shd w:val="clear" w:color="auto" w:fill="E5F1FF"/>
            <w:vAlign w:val="center"/>
          </w:tcPr>
          <w:p w14:paraId="09D816A6" w14:textId="77777777" w:rsidR="00161F79" w:rsidRPr="00F2084A" w:rsidRDefault="00161F79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Rok</w:t>
            </w:r>
          </w:p>
        </w:tc>
        <w:tc>
          <w:tcPr>
            <w:tcW w:w="907" w:type="dxa"/>
            <w:shd w:val="clear" w:color="auto" w:fill="E5F1FF"/>
            <w:vAlign w:val="center"/>
          </w:tcPr>
          <w:p w14:paraId="41E9966D" w14:textId="77777777" w:rsidR="00161F79" w:rsidRPr="00F2084A" w:rsidRDefault="00161F79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7" w:type="dxa"/>
            <w:shd w:val="clear" w:color="auto" w:fill="E5F1FF"/>
            <w:vAlign w:val="center"/>
          </w:tcPr>
          <w:p w14:paraId="393CAF50" w14:textId="77777777" w:rsidR="00161F79" w:rsidRPr="00F2084A" w:rsidRDefault="00161F79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7" w:type="dxa"/>
            <w:shd w:val="clear" w:color="auto" w:fill="E5F1FF"/>
            <w:vAlign w:val="center"/>
          </w:tcPr>
          <w:p w14:paraId="681E5020" w14:textId="77777777" w:rsidR="00161F79" w:rsidRPr="00F2084A" w:rsidRDefault="00161F79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7" w:type="dxa"/>
            <w:shd w:val="clear" w:color="auto" w:fill="E5F1FF"/>
            <w:vAlign w:val="center"/>
          </w:tcPr>
          <w:p w14:paraId="6DF4C113" w14:textId="77777777" w:rsidR="00161F79" w:rsidRPr="00F2084A" w:rsidRDefault="00161F79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7" w:type="dxa"/>
            <w:shd w:val="clear" w:color="auto" w:fill="E5F1FF"/>
            <w:vAlign w:val="center"/>
          </w:tcPr>
          <w:p w14:paraId="619FF3DB" w14:textId="77777777" w:rsidR="00161F79" w:rsidRPr="00F2084A" w:rsidRDefault="00161F79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2268" w:type="dxa"/>
            <w:shd w:val="clear" w:color="auto" w:fill="E5F1FF"/>
            <w:vAlign w:val="center"/>
          </w:tcPr>
          <w:p w14:paraId="505AFF6F" w14:textId="77777777" w:rsidR="00161F79" w:rsidRPr="00F2084A" w:rsidRDefault="008B722F" w:rsidP="00F2084A">
            <w:pPr>
              <w:spacing w:line="264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1. leden</w:t>
            </w:r>
            <w:r w:rsidR="00161F79" w:rsidRPr="00F2084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2084A">
              <w:rPr>
                <w:b/>
                <w:color w:val="000000" w:themeColor="text1"/>
                <w:sz w:val="20"/>
                <w:szCs w:val="20"/>
              </w:rPr>
              <w:br/>
            </w:r>
            <w:r w:rsidR="00161F79" w:rsidRPr="00F2084A">
              <w:rPr>
                <w:b/>
                <w:color w:val="000000" w:themeColor="text1"/>
                <w:sz w:val="20"/>
                <w:szCs w:val="20"/>
              </w:rPr>
              <w:t>až 10.</w:t>
            </w:r>
            <w:r w:rsidR="00F2084A" w:rsidRPr="00F2084A">
              <w:rPr>
                <w:b/>
                <w:color w:val="000000" w:themeColor="text1"/>
                <w:sz w:val="20"/>
                <w:szCs w:val="20"/>
              </w:rPr>
              <w:t> </w:t>
            </w:r>
            <w:r w:rsidR="00161F79" w:rsidRPr="00F2084A">
              <w:rPr>
                <w:b/>
                <w:color w:val="000000" w:themeColor="text1"/>
                <w:sz w:val="20"/>
                <w:szCs w:val="20"/>
              </w:rPr>
              <w:t>září 2020</w:t>
            </w:r>
          </w:p>
        </w:tc>
      </w:tr>
      <w:tr w:rsidR="00F2084A" w:rsidRPr="00F2084A" w14:paraId="36BA3B34" w14:textId="77777777" w:rsidTr="0058367B">
        <w:trPr>
          <w:trHeight w:val="400"/>
          <w:jc w:val="center"/>
        </w:trPr>
        <w:tc>
          <w:tcPr>
            <w:tcW w:w="2268" w:type="dxa"/>
            <w:vAlign w:val="center"/>
          </w:tcPr>
          <w:p w14:paraId="5E2825EF" w14:textId="77777777" w:rsidR="00161F79" w:rsidRPr="00F2084A" w:rsidRDefault="00161F79" w:rsidP="00F2084A">
            <w:pPr>
              <w:spacing w:line="264" w:lineRule="auto"/>
              <w:rPr>
                <w:b/>
                <w:color w:val="000000" w:themeColor="text1"/>
                <w:sz w:val="20"/>
                <w:szCs w:val="20"/>
              </w:rPr>
            </w:pPr>
            <w:r w:rsidRPr="00F2084A">
              <w:rPr>
                <w:b/>
                <w:color w:val="000000" w:themeColor="text1"/>
                <w:sz w:val="20"/>
                <w:szCs w:val="20"/>
              </w:rPr>
              <w:t>Počet záměrů</w:t>
            </w:r>
          </w:p>
        </w:tc>
        <w:tc>
          <w:tcPr>
            <w:tcW w:w="907" w:type="dxa"/>
            <w:vAlign w:val="center"/>
          </w:tcPr>
          <w:p w14:paraId="45442AE0" w14:textId="77777777" w:rsidR="00161F79" w:rsidRPr="00F2084A" w:rsidRDefault="00161F79" w:rsidP="00F2084A">
            <w:pPr>
              <w:spacing w:line="26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084A">
              <w:rPr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907" w:type="dxa"/>
            <w:vAlign w:val="center"/>
          </w:tcPr>
          <w:p w14:paraId="632DA02D" w14:textId="77777777" w:rsidR="00161F79" w:rsidRPr="00F2084A" w:rsidRDefault="00161F79" w:rsidP="00F2084A">
            <w:pPr>
              <w:spacing w:line="26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084A">
              <w:rPr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907" w:type="dxa"/>
            <w:vAlign w:val="center"/>
          </w:tcPr>
          <w:p w14:paraId="6866BF27" w14:textId="77777777" w:rsidR="00161F79" w:rsidRPr="00F2084A" w:rsidRDefault="00161F79" w:rsidP="00F2084A">
            <w:pPr>
              <w:spacing w:line="26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084A">
              <w:rPr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907" w:type="dxa"/>
            <w:vAlign w:val="center"/>
          </w:tcPr>
          <w:p w14:paraId="48C02F15" w14:textId="77777777" w:rsidR="00161F79" w:rsidRPr="00F2084A" w:rsidRDefault="00161F79" w:rsidP="00F2084A">
            <w:pPr>
              <w:spacing w:line="26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084A">
              <w:rPr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907" w:type="dxa"/>
            <w:vAlign w:val="center"/>
          </w:tcPr>
          <w:p w14:paraId="0FDB1265" w14:textId="77777777" w:rsidR="00161F79" w:rsidRPr="00F2084A" w:rsidRDefault="00161F79" w:rsidP="00F2084A">
            <w:pPr>
              <w:spacing w:line="264" w:lineRule="auto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F2084A">
              <w:rPr>
                <w:color w:val="000000" w:themeColor="text1"/>
                <w:sz w:val="20"/>
                <w:szCs w:val="20"/>
              </w:rPr>
              <w:t>76</w:t>
            </w:r>
            <w:r w:rsidRPr="00F2084A">
              <w:rPr>
                <w:color w:val="000000" w:themeColor="text1"/>
                <w:sz w:val="20"/>
                <w:szCs w:val="20"/>
                <w:lang w:val="en-GB"/>
              </w:rPr>
              <w:t>*</w:t>
            </w:r>
          </w:p>
        </w:tc>
        <w:tc>
          <w:tcPr>
            <w:tcW w:w="2268" w:type="dxa"/>
            <w:vAlign w:val="center"/>
          </w:tcPr>
          <w:p w14:paraId="625D7765" w14:textId="77777777" w:rsidR="00161F79" w:rsidRPr="00F2084A" w:rsidRDefault="00161F79" w:rsidP="00F2084A">
            <w:pPr>
              <w:spacing w:line="26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F2084A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217E07BE" w14:textId="424F636C" w:rsidR="00161F79" w:rsidRPr="0058367B" w:rsidRDefault="00161F79" w:rsidP="0058367B">
      <w:pPr>
        <w:spacing w:before="40" w:line="264" w:lineRule="auto"/>
        <w:ind w:left="567" w:hanging="567"/>
        <w:rPr>
          <w:color w:val="000000" w:themeColor="text1"/>
          <w:sz w:val="20"/>
        </w:rPr>
      </w:pPr>
      <w:r w:rsidRPr="0058367B">
        <w:rPr>
          <w:b/>
          <w:color w:val="000000" w:themeColor="text1"/>
          <w:sz w:val="20"/>
        </w:rPr>
        <w:t xml:space="preserve">Zdroj: </w:t>
      </w:r>
      <w:r w:rsidR="0058367B" w:rsidRPr="0058367B">
        <w:rPr>
          <w:b/>
          <w:color w:val="000000" w:themeColor="text1"/>
          <w:sz w:val="20"/>
        </w:rPr>
        <w:tab/>
      </w:r>
      <w:r w:rsidR="00763DAA">
        <w:rPr>
          <w:color w:val="000000" w:themeColor="text1"/>
          <w:sz w:val="20"/>
        </w:rPr>
        <w:t>v</w:t>
      </w:r>
      <w:r w:rsidRPr="0058367B">
        <w:rPr>
          <w:color w:val="000000" w:themeColor="text1"/>
          <w:sz w:val="20"/>
        </w:rPr>
        <w:t>ýroční zprávy Agentury CzechInvest za rok</w:t>
      </w:r>
      <w:r w:rsidR="00763DAA">
        <w:rPr>
          <w:color w:val="000000" w:themeColor="text1"/>
          <w:sz w:val="20"/>
        </w:rPr>
        <w:t>y</w:t>
      </w:r>
      <w:r w:rsidRPr="0058367B">
        <w:rPr>
          <w:color w:val="000000" w:themeColor="text1"/>
          <w:sz w:val="20"/>
        </w:rPr>
        <w:t xml:space="preserve"> 2015 až 2019 a data poskytnutá Agenturou CzechInvest.</w:t>
      </w:r>
    </w:p>
    <w:p w14:paraId="7AFBD34B" w14:textId="4D94481E" w:rsidR="0058367B" w:rsidRPr="0058367B" w:rsidRDefault="0058367B" w:rsidP="0058367B">
      <w:pPr>
        <w:spacing w:after="120" w:line="264" w:lineRule="auto"/>
        <w:rPr>
          <w:color w:val="000000" w:themeColor="text1"/>
          <w:sz w:val="20"/>
        </w:rPr>
      </w:pPr>
      <w:r w:rsidRPr="0058367B">
        <w:rPr>
          <w:color w:val="000000" w:themeColor="text1"/>
          <w:sz w:val="20"/>
        </w:rPr>
        <w:t xml:space="preserve">*Z tohoto 75 záměrů přijatých do 5. září 2019 a </w:t>
      </w:r>
      <w:r w:rsidR="00763DAA">
        <w:rPr>
          <w:color w:val="000000" w:themeColor="text1"/>
          <w:sz w:val="20"/>
        </w:rPr>
        <w:t>jeden</w:t>
      </w:r>
      <w:r w:rsidRPr="0058367B">
        <w:rPr>
          <w:color w:val="000000" w:themeColor="text1"/>
          <w:sz w:val="20"/>
        </w:rPr>
        <w:t xml:space="preserve"> záměr přijatý </w:t>
      </w:r>
      <w:r w:rsidR="00763DAA">
        <w:rPr>
          <w:color w:val="000000" w:themeColor="text1"/>
          <w:sz w:val="20"/>
        </w:rPr>
        <w:t>po</w:t>
      </w:r>
      <w:r w:rsidRPr="0058367B">
        <w:rPr>
          <w:color w:val="000000" w:themeColor="text1"/>
          <w:sz w:val="20"/>
        </w:rPr>
        <w:t xml:space="preserve"> 6. září 2019.</w:t>
      </w:r>
    </w:p>
    <w:p w14:paraId="7EDF2DFB" w14:textId="095327C4" w:rsidR="004E6283" w:rsidRPr="00D20D33" w:rsidRDefault="00161F79" w:rsidP="00D20D33">
      <w:pPr>
        <w:spacing w:after="120" w:line="264" w:lineRule="auto"/>
        <w:rPr>
          <w:b/>
          <w:color w:val="000000" w:themeColor="text1"/>
        </w:rPr>
      </w:pPr>
      <w:r w:rsidRPr="006F63D5">
        <w:rPr>
          <w:color w:val="000000" w:themeColor="text1"/>
        </w:rPr>
        <w:t xml:space="preserve">V letech 2015 až 2019 přijímala Agentura CzechInvest </w:t>
      </w:r>
      <w:r w:rsidR="003B5763" w:rsidRPr="003B5763">
        <w:rPr>
          <w:b/>
          <w:color w:val="000000" w:themeColor="text1"/>
        </w:rPr>
        <w:t>ročně</w:t>
      </w:r>
      <w:r w:rsidR="003B5763">
        <w:rPr>
          <w:color w:val="000000" w:themeColor="text1"/>
        </w:rPr>
        <w:t xml:space="preserve"> </w:t>
      </w:r>
      <w:r w:rsidRPr="006F63D5">
        <w:rPr>
          <w:b/>
          <w:color w:val="000000" w:themeColor="text1"/>
        </w:rPr>
        <w:t>v průměru 75 záměrů</w:t>
      </w:r>
      <w:r w:rsidRPr="006F63D5">
        <w:rPr>
          <w:color w:val="000000" w:themeColor="text1"/>
        </w:rPr>
        <w:t xml:space="preserve"> získat investiční pobídku. </w:t>
      </w:r>
      <w:r w:rsidR="003B5763">
        <w:rPr>
          <w:color w:val="000000" w:themeColor="text1"/>
        </w:rPr>
        <w:t>O</w:t>
      </w:r>
      <w:r w:rsidRPr="006F63D5">
        <w:rPr>
          <w:color w:val="000000" w:themeColor="text1"/>
        </w:rPr>
        <w:t xml:space="preserve">d nabytí účinnosti novely zákona </w:t>
      </w:r>
      <w:r w:rsidR="00B02DE3" w:rsidRPr="006F63D5">
        <w:rPr>
          <w:color w:val="000000" w:themeColor="text1"/>
        </w:rPr>
        <w:t>dne 6. září 2019</w:t>
      </w:r>
      <w:r w:rsidRPr="006F63D5">
        <w:rPr>
          <w:color w:val="000000" w:themeColor="text1"/>
        </w:rPr>
        <w:t xml:space="preserve"> je zřejmé, že</w:t>
      </w:r>
      <w:r w:rsidR="00326A8A" w:rsidRPr="006F63D5">
        <w:rPr>
          <w:color w:val="000000" w:themeColor="text1"/>
        </w:rPr>
        <w:t xml:space="preserve"> po </w:t>
      </w:r>
      <w:r w:rsidR="00326A8A" w:rsidRPr="006F63D5">
        <w:rPr>
          <w:color w:val="000000" w:themeColor="text1"/>
        </w:rPr>
        <w:lastRenderedPageBreak/>
        <w:t>zavedení podmínky realizovat</w:t>
      </w:r>
      <w:r w:rsidR="000534E1" w:rsidRPr="006F63D5">
        <w:rPr>
          <w:color w:val="000000" w:themeColor="text1"/>
        </w:rPr>
        <w:t xml:space="preserve"> vyšší přidanou hodnotu</w:t>
      </w:r>
      <w:r w:rsidR="006E435A" w:rsidRPr="006F63D5">
        <w:rPr>
          <w:color w:val="000000" w:themeColor="text1"/>
        </w:rPr>
        <w:t xml:space="preserve"> </w:t>
      </w:r>
      <w:r w:rsidRPr="006F63D5">
        <w:rPr>
          <w:b/>
          <w:color w:val="000000" w:themeColor="text1"/>
        </w:rPr>
        <w:t>došlo k poklesu zájmu o</w:t>
      </w:r>
      <w:r w:rsidR="00F40B21">
        <w:rPr>
          <w:b/>
          <w:color w:val="000000" w:themeColor="text1"/>
        </w:rPr>
        <w:t> </w:t>
      </w:r>
      <w:r w:rsidRPr="006F63D5">
        <w:rPr>
          <w:b/>
          <w:color w:val="000000" w:themeColor="text1"/>
        </w:rPr>
        <w:t>získ</w:t>
      </w:r>
      <w:r w:rsidR="008B722F" w:rsidRPr="006F63D5">
        <w:rPr>
          <w:b/>
          <w:color w:val="000000" w:themeColor="text1"/>
        </w:rPr>
        <w:t>ání investiční pobídky.</w:t>
      </w:r>
    </w:p>
    <w:p w14:paraId="52F3E381" w14:textId="7ECD03AC" w:rsidR="008757A2" w:rsidRPr="00383794" w:rsidRDefault="00CE27D1" w:rsidP="00B131EB">
      <w:pPr>
        <w:keepNext/>
        <w:spacing w:after="120" w:line="264" w:lineRule="auto"/>
        <w:rPr>
          <w:b/>
        </w:rPr>
      </w:pPr>
      <w:r w:rsidRPr="00383794">
        <w:rPr>
          <w:b/>
        </w:rPr>
        <w:t>Nejčastější formou čerpání pobídek byla sleva na dani z příjmů</w:t>
      </w:r>
    </w:p>
    <w:p w14:paraId="716BA64D" w14:textId="77777777" w:rsidR="00D5258B" w:rsidRPr="006F63D5" w:rsidRDefault="008757A2" w:rsidP="006F63D5">
      <w:pPr>
        <w:spacing w:after="120" w:line="264" w:lineRule="auto"/>
        <w:rPr>
          <w:color w:val="000000" w:themeColor="text1"/>
        </w:rPr>
      </w:pPr>
      <w:r w:rsidRPr="006F63D5">
        <w:rPr>
          <w:color w:val="000000" w:themeColor="text1"/>
          <w:lang w:eastAsia="cs-CZ"/>
        </w:rPr>
        <w:t xml:space="preserve">MPO sledovalo každoroční čerpání investičních pobídek. </w:t>
      </w:r>
      <w:r w:rsidR="002F7FC6" w:rsidRPr="006F63D5">
        <w:rPr>
          <w:color w:val="000000" w:themeColor="text1"/>
        </w:rPr>
        <w:t xml:space="preserve">Od nabytí účinnosti zákona </w:t>
      </w:r>
      <w:r w:rsidR="004E17FE" w:rsidRPr="006F63D5">
        <w:rPr>
          <w:color w:val="000000" w:themeColor="text1"/>
        </w:rPr>
        <w:t>dne 1. </w:t>
      </w:r>
      <w:r w:rsidRPr="006F63D5">
        <w:rPr>
          <w:color w:val="000000" w:themeColor="text1"/>
        </w:rPr>
        <w:t xml:space="preserve">května 2000 do 31. prosince 2019 </w:t>
      </w:r>
      <w:r w:rsidRPr="006F63D5">
        <w:rPr>
          <w:b/>
          <w:color w:val="000000" w:themeColor="text1"/>
        </w:rPr>
        <w:t>příjemci vyčerpali více než 75 071 mil. Kč</w:t>
      </w:r>
      <w:r w:rsidRPr="00C05A01">
        <w:rPr>
          <w:b/>
          <w:color w:val="000000" w:themeColor="text1"/>
        </w:rPr>
        <w:t>,</w:t>
      </w:r>
      <w:r w:rsidRPr="006F63D5">
        <w:rPr>
          <w:color w:val="000000" w:themeColor="text1"/>
        </w:rPr>
        <w:t xml:space="preserve"> z toho </w:t>
      </w:r>
      <w:r w:rsidR="00455ED4" w:rsidRPr="006F63D5">
        <w:rPr>
          <w:color w:val="000000" w:themeColor="text1"/>
        </w:rPr>
        <w:t xml:space="preserve">více než 64 014 mil. Kč </w:t>
      </w:r>
      <w:r w:rsidR="00CE2C23" w:rsidRPr="006F63D5">
        <w:rPr>
          <w:color w:val="000000" w:themeColor="text1"/>
        </w:rPr>
        <w:t>čerpali</w:t>
      </w:r>
      <w:r w:rsidRPr="006F63D5">
        <w:rPr>
          <w:color w:val="000000" w:themeColor="text1"/>
        </w:rPr>
        <w:t xml:space="preserve"> formou slevy na dani z příjm</w:t>
      </w:r>
      <w:r w:rsidR="004E17FE" w:rsidRPr="006F63D5">
        <w:rPr>
          <w:color w:val="000000" w:themeColor="text1"/>
        </w:rPr>
        <w:t>ů. V tomto případě se nejedná o </w:t>
      </w:r>
      <w:r w:rsidRPr="006F63D5">
        <w:rPr>
          <w:color w:val="000000" w:themeColor="text1"/>
        </w:rPr>
        <w:t xml:space="preserve">výdaj státního rozpočtu, ale </w:t>
      </w:r>
      <w:r w:rsidR="00455ED4" w:rsidRPr="006F63D5">
        <w:rPr>
          <w:color w:val="000000" w:themeColor="text1"/>
        </w:rPr>
        <w:t>jedná</w:t>
      </w:r>
      <w:r w:rsidRPr="006F63D5">
        <w:rPr>
          <w:color w:val="000000" w:themeColor="text1"/>
        </w:rPr>
        <w:t xml:space="preserve"> </w:t>
      </w:r>
      <w:r w:rsidR="00455ED4" w:rsidRPr="006F63D5">
        <w:rPr>
          <w:color w:val="000000" w:themeColor="text1"/>
        </w:rPr>
        <w:t>se</w:t>
      </w:r>
      <w:r w:rsidR="00656D0C" w:rsidRPr="006F63D5">
        <w:rPr>
          <w:color w:val="000000" w:themeColor="text1"/>
        </w:rPr>
        <w:t xml:space="preserve"> o</w:t>
      </w:r>
      <w:r w:rsidR="005A02E5" w:rsidRPr="006F63D5">
        <w:rPr>
          <w:color w:val="000000" w:themeColor="text1"/>
        </w:rPr>
        <w:t> </w:t>
      </w:r>
      <w:r w:rsidR="00455ED4" w:rsidRPr="006F63D5">
        <w:rPr>
          <w:color w:val="000000" w:themeColor="text1"/>
        </w:rPr>
        <w:t xml:space="preserve">nerealizovaný příjem z daní </w:t>
      </w:r>
      <w:r w:rsidRPr="006F63D5">
        <w:rPr>
          <w:color w:val="000000" w:themeColor="text1"/>
        </w:rPr>
        <w:t xml:space="preserve">na straně příjmů státního rozpočtu.  </w:t>
      </w:r>
    </w:p>
    <w:p w14:paraId="49D7BB07" w14:textId="740B673B" w:rsidR="008757A2" w:rsidRPr="006F63D5" w:rsidRDefault="00403F7B" w:rsidP="00594C73">
      <w:pPr>
        <w:keepNext/>
        <w:spacing w:after="120" w:line="264" w:lineRule="auto"/>
        <w:rPr>
          <w:b/>
          <w:color w:val="000000" w:themeColor="text1"/>
        </w:rPr>
      </w:pPr>
      <w:r>
        <w:rPr>
          <w:b/>
          <w:color w:val="000000" w:themeColor="text1"/>
        </w:rPr>
        <w:t>Graf</w:t>
      </w:r>
      <w:r w:rsidR="0012184A">
        <w:rPr>
          <w:b/>
          <w:color w:val="000000" w:themeColor="text1"/>
        </w:rPr>
        <w:t xml:space="preserve"> č. 1</w:t>
      </w:r>
      <w:r w:rsidR="008757A2" w:rsidRPr="006F63D5">
        <w:rPr>
          <w:b/>
          <w:color w:val="000000" w:themeColor="text1"/>
        </w:rPr>
        <w:t>: Čerpání investičních pobídek v letech 2000 až 2019 (mil. Kč)</w:t>
      </w:r>
    </w:p>
    <w:p w14:paraId="742EDA79" w14:textId="77777777" w:rsidR="008757A2" w:rsidRPr="006F63D5" w:rsidRDefault="008757A2" w:rsidP="00594C73">
      <w:pPr>
        <w:keepNext/>
        <w:spacing w:after="120" w:line="264" w:lineRule="auto"/>
        <w:jc w:val="center"/>
        <w:rPr>
          <w:color w:val="000000" w:themeColor="text1"/>
        </w:rPr>
      </w:pPr>
      <w:r w:rsidRPr="006F63D5">
        <w:rPr>
          <w:noProof/>
          <w:color w:val="000000" w:themeColor="text1"/>
          <w:lang w:eastAsia="cs-CZ"/>
        </w:rPr>
        <w:drawing>
          <wp:inline distT="0" distB="0" distL="0" distR="0" wp14:anchorId="2F5ADFFD" wp14:editId="4C4FCC98">
            <wp:extent cx="5694680" cy="2584450"/>
            <wp:effectExtent l="0" t="0" r="0" b="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480597B" w14:textId="5FA87FE8" w:rsidR="00594C73" w:rsidRPr="00B843C9" w:rsidRDefault="00594C73" w:rsidP="00594C73">
      <w:pPr>
        <w:keepNext/>
        <w:spacing w:after="120" w:line="264" w:lineRule="auto"/>
        <w:ind w:left="567" w:hanging="567"/>
        <w:rPr>
          <w:bCs/>
          <w:color w:val="000000" w:themeColor="text1"/>
          <w:sz w:val="20"/>
        </w:rPr>
      </w:pPr>
      <w:r w:rsidRPr="00B843C9">
        <w:rPr>
          <w:b/>
          <w:bCs/>
          <w:color w:val="000000" w:themeColor="text1"/>
          <w:sz w:val="20"/>
        </w:rPr>
        <w:t>Zdroj:</w:t>
      </w:r>
      <w:r w:rsidRPr="00B843C9">
        <w:rPr>
          <w:bCs/>
          <w:color w:val="000000" w:themeColor="text1"/>
          <w:sz w:val="20"/>
        </w:rPr>
        <w:t xml:space="preserve"> </w:t>
      </w:r>
      <w:r w:rsidR="00962269">
        <w:rPr>
          <w:bCs/>
          <w:color w:val="000000" w:themeColor="text1"/>
          <w:sz w:val="20"/>
        </w:rPr>
        <w:t>vypracoval</w:t>
      </w:r>
      <w:r w:rsidRPr="00B843C9">
        <w:rPr>
          <w:bCs/>
          <w:color w:val="000000" w:themeColor="text1"/>
          <w:sz w:val="20"/>
        </w:rPr>
        <w:t xml:space="preserve"> NKÚ na základě dat poskytnutých od MPO</w:t>
      </w:r>
      <w:r w:rsidR="00962269">
        <w:rPr>
          <w:bCs/>
          <w:color w:val="000000" w:themeColor="text1"/>
          <w:sz w:val="20"/>
        </w:rPr>
        <w:t>.</w:t>
      </w:r>
    </w:p>
    <w:p w14:paraId="0AF5918A" w14:textId="27638744" w:rsidR="008757A2" w:rsidRPr="00594C73" w:rsidRDefault="008757A2" w:rsidP="00B131EB">
      <w:pPr>
        <w:spacing w:after="120" w:line="264" w:lineRule="auto"/>
        <w:ind w:left="142" w:hanging="142"/>
        <w:rPr>
          <w:bCs/>
          <w:color w:val="000000" w:themeColor="text1"/>
          <w:sz w:val="20"/>
        </w:rPr>
      </w:pPr>
      <w:r w:rsidRPr="00A9107D">
        <w:rPr>
          <w:bCs/>
          <w:color w:val="000000" w:themeColor="text1"/>
          <w:sz w:val="20"/>
        </w:rPr>
        <w:t>*</w:t>
      </w:r>
      <w:r w:rsidRPr="00A9107D">
        <w:rPr>
          <w:bCs/>
          <w:color w:val="000000" w:themeColor="text1"/>
          <w:sz w:val="20"/>
        </w:rPr>
        <w:tab/>
      </w:r>
      <w:r w:rsidRPr="00594C73">
        <w:rPr>
          <w:bCs/>
          <w:color w:val="000000" w:themeColor="text1"/>
          <w:sz w:val="20"/>
        </w:rPr>
        <w:t>Čer</w:t>
      </w:r>
      <w:r w:rsidR="00D20D33">
        <w:rPr>
          <w:bCs/>
          <w:color w:val="000000" w:themeColor="text1"/>
          <w:sz w:val="20"/>
        </w:rPr>
        <w:t>pání za rok 2019 není kompletní</w:t>
      </w:r>
      <w:r w:rsidRPr="00594C73">
        <w:rPr>
          <w:bCs/>
          <w:color w:val="000000" w:themeColor="text1"/>
          <w:sz w:val="20"/>
        </w:rPr>
        <w:t>.</w:t>
      </w:r>
    </w:p>
    <w:p w14:paraId="7FB93E74" w14:textId="23441FBA" w:rsidR="00564866" w:rsidRPr="00594C73" w:rsidRDefault="00564866" w:rsidP="00B131EB">
      <w:pPr>
        <w:keepNext/>
        <w:spacing w:after="120" w:line="264" w:lineRule="auto"/>
        <w:rPr>
          <w:b/>
        </w:rPr>
      </w:pPr>
      <w:r w:rsidRPr="00594C73">
        <w:rPr>
          <w:b/>
        </w:rPr>
        <w:t xml:space="preserve">Příjemci byly zejména velké české </w:t>
      </w:r>
      <w:r w:rsidR="008527CE" w:rsidRPr="00594C73">
        <w:rPr>
          <w:b/>
        </w:rPr>
        <w:t>společnosti</w:t>
      </w:r>
    </w:p>
    <w:p w14:paraId="06C01F2A" w14:textId="628523DB" w:rsidR="001525E4" w:rsidRDefault="00D54B44" w:rsidP="006F63D5">
      <w:pPr>
        <w:spacing w:after="120" w:line="264" w:lineRule="auto"/>
        <w:rPr>
          <w:b/>
          <w:color w:val="000000" w:themeColor="text1"/>
        </w:rPr>
      </w:pPr>
      <w:r w:rsidRPr="006F63D5">
        <w:rPr>
          <w:color w:val="000000" w:themeColor="text1"/>
        </w:rPr>
        <w:t xml:space="preserve">V roce 2020 MPO evidovalo 305 </w:t>
      </w:r>
      <w:r w:rsidR="00E6337D">
        <w:rPr>
          <w:color w:val="000000" w:themeColor="text1"/>
        </w:rPr>
        <w:t>r</w:t>
      </w:r>
      <w:r w:rsidRPr="006F63D5">
        <w:rPr>
          <w:color w:val="000000" w:themeColor="text1"/>
        </w:rPr>
        <w:t xml:space="preserve">ozhodnutí o příslibu investiční pobídky vydaných v </w:t>
      </w:r>
      <w:r w:rsidR="00D102C7" w:rsidRPr="006F63D5">
        <w:rPr>
          <w:color w:val="000000" w:themeColor="text1"/>
        </w:rPr>
        <w:t xml:space="preserve">období od 1. července 2014 do 31. prosince 2019 </w:t>
      </w:r>
      <w:r w:rsidRPr="006F63D5">
        <w:rPr>
          <w:color w:val="000000" w:themeColor="text1"/>
        </w:rPr>
        <w:t>ve prospěch</w:t>
      </w:r>
      <w:r w:rsidR="00D102C7" w:rsidRPr="006F63D5">
        <w:rPr>
          <w:color w:val="000000" w:themeColor="text1"/>
        </w:rPr>
        <w:t xml:space="preserve"> 289 společností. V hodnot</w:t>
      </w:r>
      <w:r w:rsidR="00E6337D">
        <w:rPr>
          <w:color w:val="000000" w:themeColor="text1"/>
        </w:rPr>
        <w:t>i</w:t>
      </w:r>
      <w:r w:rsidR="00D102C7" w:rsidRPr="006F63D5">
        <w:rPr>
          <w:color w:val="000000" w:themeColor="text1"/>
        </w:rPr>
        <w:t>cí zprávě zpracované v roce 2020 bylo u těchto příjemců například vyhodnoceno</w:t>
      </w:r>
      <w:r w:rsidR="00273193" w:rsidRPr="006F63D5">
        <w:rPr>
          <w:color w:val="000000" w:themeColor="text1"/>
        </w:rPr>
        <w:t xml:space="preserve">, že </w:t>
      </w:r>
      <w:r w:rsidR="00273193" w:rsidRPr="006F63D5">
        <w:rPr>
          <w:color w:val="000000" w:themeColor="text1"/>
          <w:lang w:eastAsia="cs-CZ"/>
        </w:rPr>
        <w:t xml:space="preserve">mezi příjemci značně </w:t>
      </w:r>
      <w:r w:rsidR="00273193" w:rsidRPr="006F63D5">
        <w:rPr>
          <w:b/>
          <w:color w:val="000000" w:themeColor="text1"/>
          <w:lang w:eastAsia="cs-CZ"/>
        </w:rPr>
        <w:t>převažují velké podniky</w:t>
      </w:r>
      <w:r w:rsidR="00273193" w:rsidRPr="006F63D5">
        <w:rPr>
          <w:color w:val="000000" w:themeColor="text1"/>
          <w:lang w:eastAsia="cs-CZ"/>
        </w:rPr>
        <w:t xml:space="preserve"> nad malými a středními podniky (z 289 společností bylo velkých podniků 241), struktura </w:t>
      </w:r>
      <w:r w:rsidR="0028711E" w:rsidRPr="006F63D5">
        <w:rPr>
          <w:color w:val="000000" w:themeColor="text1"/>
          <w:lang w:eastAsia="cs-CZ"/>
        </w:rPr>
        <w:t>příjemců</w:t>
      </w:r>
      <w:r w:rsidR="00273193" w:rsidRPr="006F63D5">
        <w:rPr>
          <w:color w:val="000000" w:themeColor="text1"/>
          <w:lang w:eastAsia="cs-CZ"/>
        </w:rPr>
        <w:t xml:space="preserve"> podl</w:t>
      </w:r>
      <w:r w:rsidR="009F21B8" w:rsidRPr="006F63D5">
        <w:rPr>
          <w:color w:val="000000" w:themeColor="text1"/>
          <w:lang w:eastAsia="cs-CZ"/>
        </w:rPr>
        <w:t xml:space="preserve">e původu země žadatele ukazuje </w:t>
      </w:r>
      <w:r w:rsidR="00273193" w:rsidRPr="006F63D5">
        <w:rPr>
          <w:color w:val="000000" w:themeColor="text1"/>
          <w:lang w:eastAsia="cs-CZ"/>
        </w:rPr>
        <w:t xml:space="preserve">na výraznou </w:t>
      </w:r>
      <w:r w:rsidR="00273193" w:rsidRPr="006F63D5">
        <w:rPr>
          <w:b/>
          <w:color w:val="000000" w:themeColor="text1"/>
          <w:lang w:eastAsia="cs-CZ"/>
        </w:rPr>
        <w:t xml:space="preserve">převahu českých </w:t>
      </w:r>
      <w:r w:rsidR="008527CE" w:rsidRPr="006F63D5">
        <w:rPr>
          <w:b/>
          <w:color w:val="000000" w:themeColor="text1"/>
          <w:lang w:eastAsia="cs-CZ"/>
        </w:rPr>
        <w:t>společností</w:t>
      </w:r>
      <w:r w:rsidR="00273193" w:rsidRPr="006F63D5">
        <w:rPr>
          <w:color w:val="000000" w:themeColor="text1"/>
          <w:lang w:eastAsia="cs-CZ"/>
        </w:rPr>
        <w:t xml:space="preserve"> (z 289 společností bylo 251 společností z ČR), nejvíce investičních akcí bylo</w:t>
      </w:r>
      <w:r w:rsidR="00595EC5" w:rsidRPr="006F63D5">
        <w:rPr>
          <w:color w:val="000000" w:themeColor="text1"/>
          <w:lang w:eastAsia="cs-CZ"/>
        </w:rPr>
        <w:t xml:space="preserve"> situovaných v </w:t>
      </w:r>
      <w:r w:rsidR="00273193" w:rsidRPr="006F63D5">
        <w:rPr>
          <w:b/>
          <w:color w:val="000000" w:themeColor="text1"/>
          <w:lang w:eastAsia="cs-CZ"/>
        </w:rPr>
        <w:t>Moravskoslezském, Ústeckém, Středočeském a Plzeňském kraji</w:t>
      </w:r>
      <w:r w:rsidR="005A02E5" w:rsidRPr="00C05A01">
        <w:rPr>
          <w:b/>
          <w:color w:val="000000" w:themeColor="text1"/>
          <w:lang w:eastAsia="cs-CZ"/>
        </w:rPr>
        <w:t>.</w:t>
      </w:r>
      <w:r w:rsidR="005A02E5" w:rsidRPr="006F63D5">
        <w:rPr>
          <w:color w:val="000000" w:themeColor="text1"/>
          <w:lang w:eastAsia="cs-CZ"/>
        </w:rPr>
        <w:t xml:space="preserve"> A</w:t>
      </w:r>
      <w:r w:rsidR="00273193" w:rsidRPr="006F63D5">
        <w:rPr>
          <w:color w:val="000000" w:themeColor="text1"/>
          <w:lang w:eastAsia="cs-CZ"/>
        </w:rPr>
        <w:t xml:space="preserve">bsolutní většina </w:t>
      </w:r>
      <w:r w:rsidR="0028711E" w:rsidRPr="006F63D5">
        <w:rPr>
          <w:color w:val="000000" w:themeColor="text1"/>
          <w:lang w:eastAsia="cs-CZ"/>
        </w:rPr>
        <w:t>příjemců</w:t>
      </w:r>
      <w:r w:rsidR="00273193" w:rsidRPr="006F63D5">
        <w:rPr>
          <w:color w:val="000000" w:themeColor="text1"/>
          <w:lang w:eastAsia="cs-CZ"/>
        </w:rPr>
        <w:t xml:space="preserve"> žádala o investiční pobídku </w:t>
      </w:r>
      <w:r w:rsidR="005A02E5" w:rsidRPr="006F63D5">
        <w:rPr>
          <w:b/>
          <w:color w:val="000000" w:themeColor="text1"/>
          <w:lang w:eastAsia="cs-CZ"/>
        </w:rPr>
        <w:t>v </w:t>
      </w:r>
      <w:r w:rsidR="00273193" w:rsidRPr="006F63D5">
        <w:rPr>
          <w:b/>
          <w:color w:val="000000" w:themeColor="text1"/>
          <w:lang w:eastAsia="cs-CZ"/>
        </w:rPr>
        <w:t>oblasti výroby</w:t>
      </w:r>
      <w:r w:rsidR="00273193" w:rsidRPr="006F63D5">
        <w:rPr>
          <w:color w:val="000000" w:themeColor="text1"/>
          <w:lang w:eastAsia="cs-CZ"/>
        </w:rPr>
        <w:t xml:space="preserve"> (z</w:t>
      </w:r>
      <w:r w:rsidR="00B131EB">
        <w:rPr>
          <w:color w:val="000000" w:themeColor="text1"/>
          <w:lang w:eastAsia="cs-CZ"/>
        </w:rPr>
        <w:t> </w:t>
      </w:r>
      <w:r w:rsidR="00273193" w:rsidRPr="006F63D5">
        <w:rPr>
          <w:color w:val="000000" w:themeColor="text1"/>
          <w:lang w:eastAsia="cs-CZ"/>
        </w:rPr>
        <w:t>celkového počtu 305 investičních ak</w:t>
      </w:r>
      <w:r w:rsidR="005A02E5" w:rsidRPr="006F63D5">
        <w:rPr>
          <w:color w:val="000000" w:themeColor="text1"/>
          <w:lang w:eastAsia="cs-CZ"/>
        </w:rPr>
        <w:t>cí bylo 290 v oblasti výroby) a </w:t>
      </w:r>
      <w:r w:rsidR="00273193" w:rsidRPr="006F63D5">
        <w:rPr>
          <w:color w:val="000000" w:themeColor="text1"/>
          <w:lang w:eastAsia="cs-CZ"/>
        </w:rPr>
        <w:t xml:space="preserve">v odvětvové struktuře </w:t>
      </w:r>
      <w:r w:rsidR="00273193" w:rsidRPr="006F63D5">
        <w:rPr>
          <w:b/>
          <w:color w:val="000000" w:themeColor="text1"/>
          <w:lang w:eastAsia="cs-CZ"/>
        </w:rPr>
        <w:t>převládaly především tři odvětví</w:t>
      </w:r>
      <w:r w:rsidR="00273193" w:rsidRPr="00C05A01">
        <w:rPr>
          <w:b/>
          <w:color w:val="000000" w:themeColor="text1"/>
          <w:lang w:eastAsia="cs-CZ"/>
        </w:rPr>
        <w:t>,</w:t>
      </w:r>
      <w:r w:rsidR="00273193" w:rsidRPr="006F63D5">
        <w:rPr>
          <w:color w:val="000000" w:themeColor="text1"/>
          <w:lang w:eastAsia="cs-CZ"/>
        </w:rPr>
        <w:t xml:space="preserve"> a to CZ-NACE</w:t>
      </w:r>
      <w:r w:rsidR="006F61F9" w:rsidRPr="006F63D5">
        <w:rPr>
          <w:color w:val="000000" w:themeColor="text1"/>
          <w:lang w:eastAsia="cs-CZ"/>
        </w:rPr>
        <w:t xml:space="preserve"> 29 (</w:t>
      </w:r>
      <w:r w:rsidR="00E6337D">
        <w:rPr>
          <w:color w:val="000000" w:themeColor="text1"/>
          <w:lang w:eastAsia="cs-CZ"/>
        </w:rPr>
        <w:t>v</w:t>
      </w:r>
      <w:r w:rsidR="006F61F9" w:rsidRPr="006F63D5">
        <w:rPr>
          <w:color w:val="000000" w:themeColor="text1"/>
          <w:lang w:eastAsia="cs-CZ"/>
        </w:rPr>
        <w:t xml:space="preserve">ýroba motorových vozidel </w:t>
      </w:r>
      <w:r w:rsidR="00E6337D">
        <w:rPr>
          <w:color w:val="000000" w:themeColor="text1"/>
          <w:lang w:eastAsia="cs-CZ"/>
        </w:rPr>
        <w:t>/</w:t>
      </w:r>
      <w:r w:rsidR="00273193" w:rsidRPr="006F63D5">
        <w:rPr>
          <w:color w:val="000000" w:themeColor="text1"/>
          <w:lang w:eastAsia="cs-CZ"/>
        </w:rPr>
        <w:t>kromě motocyklů</w:t>
      </w:r>
      <w:r w:rsidR="00E6337D">
        <w:rPr>
          <w:color w:val="000000" w:themeColor="text1"/>
          <w:lang w:eastAsia="cs-CZ"/>
        </w:rPr>
        <w:t>/</w:t>
      </w:r>
      <w:r w:rsidR="00273193" w:rsidRPr="006F63D5">
        <w:rPr>
          <w:color w:val="000000" w:themeColor="text1"/>
          <w:lang w:eastAsia="cs-CZ"/>
        </w:rPr>
        <w:t>, přívěsů a návěsů</w:t>
      </w:r>
      <w:r w:rsidR="0020750D" w:rsidRPr="006F63D5">
        <w:rPr>
          <w:color w:val="000000" w:themeColor="text1"/>
          <w:lang w:eastAsia="cs-CZ"/>
        </w:rPr>
        <w:t>)</w:t>
      </w:r>
      <w:r w:rsidR="00273193" w:rsidRPr="006F63D5">
        <w:rPr>
          <w:color w:val="000000" w:themeColor="text1"/>
          <w:lang w:eastAsia="cs-CZ"/>
        </w:rPr>
        <w:t>, CZ-NACE 25 (</w:t>
      </w:r>
      <w:r w:rsidR="00E6337D">
        <w:rPr>
          <w:color w:val="000000" w:themeColor="text1"/>
          <w:lang w:eastAsia="cs-CZ"/>
        </w:rPr>
        <w:t>v</w:t>
      </w:r>
      <w:r w:rsidR="00273193" w:rsidRPr="006F63D5">
        <w:rPr>
          <w:color w:val="000000" w:themeColor="text1"/>
          <w:lang w:eastAsia="cs-CZ"/>
        </w:rPr>
        <w:t>ýroba kovových konstrukcí a kovodělných výrobků, kromě strojů a zař</w:t>
      </w:r>
      <w:r w:rsidR="0028711E" w:rsidRPr="006F63D5">
        <w:rPr>
          <w:color w:val="000000" w:themeColor="text1"/>
          <w:lang w:eastAsia="cs-CZ"/>
        </w:rPr>
        <w:t>ízení) a </w:t>
      </w:r>
      <w:r w:rsidR="00273193" w:rsidRPr="006F63D5">
        <w:rPr>
          <w:color w:val="000000" w:themeColor="text1"/>
          <w:lang w:eastAsia="cs-CZ"/>
        </w:rPr>
        <w:t>CZ-NACE 22 (</w:t>
      </w:r>
      <w:r w:rsidR="00E6337D">
        <w:rPr>
          <w:color w:val="000000" w:themeColor="text1"/>
          <w:lang w:eastAsia="cs-CZ"/>
        </w:rPr>
        <w:t>v</w:t>
      </w:r>
      <w:r w:rsidR="00273193" w:rsidRPr="006F63D5">
        <w:rPr>
          <w:color w:val="000000" w:themeColor="text1"/>
          <w:lang w:eastAsia="cs-CZ"/>
        </w:rPr>
        <w:t>ýroba pryžových a plastových výrobků).</w:t>
      </w:r>
      <w:r w:rsidR="00AC33BD" w:rsidRPr="006F63D5">
        <w:rPr>
          <w:b/>
          <w:color w:val="000000" w:themeColor="text1"/>
        </w:rPr>
        <w:t xml:space="preserve"> </w:t>
      </w:r>
    </w:p>
    <w:p w14:paraId="27C21A97" w14:textId="37A34820" w:rsidR="003B5763" w:rsidRDefault="003B5763" w:rsidP="006F63D5">
      <w:pPr>
        <w:spacing w:after="120" w:line="264" w:lineRule="auto"/>
        <w:rPr>
          <w:b/>
          <w:color w:val="000000" w:themeColor="text1"/>
        </w:rPr>
      </w:pPr>
      <w:r>
        <w:rPr>
          <w:b/>
          <w:color w:val="000000" w:themeColor="text1"/>
        </w:rPr>
        <w:t>S</w:t>
      </w:r>
      <w:r w:rsidR="00CB6A07">
        <w:rPr>
          <w:b/>
          <w:color w:val="000000" w:themeColor="text1"/>
        </w:rPr>
        <w:t>amostatná P</w:t>
      </w:r>
      <w:r>
        <w:rPr>
          <w:b/>
          <w:color w:val="000000" w:themeColor="text1"/>
        </w:rPr>
        <w:t>říloha</w:t>
      </w:r>
      <w:r w:rsidR="00CB6A07">
        <w:rPr>
          <w:b/>
          <w:color w:val="000000" w:themeColor="text1"/>
        </w:rPr>
        <w:t xml:space="preserve"> 1</w:t>
      </w:r>
      <w:r>
        <w:rPr>
          <w:b/>
          <w:color w:val="000000" w:themeColor="text1"/>
        </w:rPr>
        <w:t xml:space="preserve"> – Přehled investičních pobídek poskytnutých od 2012 (s filtrem: technologická centra)</w:t>
      </w:r>
    </w:p>
    <w:p w14:paraId="5A8CE96B" w14:textId="28706B70" w:rsidR="003B5763" w:rsidRPr="00CB6A07" w:rsidRDefault="003B5763" w:rsidP="006F63D5">
      <w:pPr>
        <w:spacing w:after="120" w:line="264" w:lineRule="auto"/>
        <w:rPr>
          <w:i/>
          <w:color w:val="000000" w:themeColor="text1"/>
        </w:rPr>
      </w:pPr>
      <w:r w:rsidRPr="00CB6A07">
        <w:rPr>
          <w:i/>
          <w:color w:val="000000" w:themeColor="text1"/>
        </w:rPr>
        <w:t xml:space="preserve">V tabulce lze mimo jiné vyčíst míru veřejné </w:t>
      </w:r>
      <w:r w:rsidR="00CB6A07">
        <w:rPr>
          <w:i/>
          <w:color w:val="000000" w:themeColor="text1"/>
        </w:rPr>
        <w:t>podpory a strop veřejné podpory</w:t>
      </w:r>
      <w:r w:rsidRPr="00CB6A07">
        <w:rPr>
          <w:i/>
          <w:color w:val="000000" w:themeColor="text1"/>
        </w:rPr>
        <w:t>.</w:t>
      </w:r>
    </w:p>
    <w:p w14:paraId="1B8AF5E8" w14:textId="089FC2CF" w:rsidR="003B5763" w:rsidRPr="00CB6A07" w:rsidRDefault="003B5763" w:rsidP="006F63D5">
      <w:pPr>
        <w:spacing w:after="120" w:line="264" w:lineRule="auto"/>
        <w:rPr>
          <w:i/>
          <w:color w:val="000000" w:themeColor="text1"/>
        </w:rPr>
      </w:pPr>
      <w:r w:rsidRPr="00CB6A07">
        <w:rPr>
          <w:i/>
          <w:color w:val="000000" w:themeColor="text1"/>
        </w:rPr>
        <w:lastRenderedPageBreak/>
        <w:t xml:space="preserve">Přehled o </w:t>
      </w:r>
      <w:r w:rsidRPr="00CB6A07">
        <w:rPr>
          <w:b/>
          <w:i/>
          <w:color w:val="000000" w:themeColor="text1"/>
        </w:rPr>
        <w:t>skutečné podpoře má</w:t>
      </w:r>
      <w:r w:rsidRPr="00CB6A07">
        <w:rPr>
          <w:i/>
          <w:color w:val="000000" w:themeColor="text1"/>
        </w:rPr>
        <w:t xml:space="preserve"> </w:t>
      </w:r>
      <w:r w:rsidRPr="00CB6A07">
        <w:rPr>
          <w:b/>
          <w:i/>
          <w:color w:val="000000" w:themeColor="text1"/>
        </w:rPr>
        <w:t xml:space="preserve">Ministerstvo financí, které tato data ale nesdílí – </w:t>
      </w:r>
      <w:r w:rsidR="0012184A">
        <w:rPr>
          <w:b/>
          <w:i/>
          <w:color w:val="000000" w:themeColor="text1"/>
        </w:rPr>
        <w:t>dle informací, které máme k dispozici, je odmítlo postoupit jak ČSÚ, tak i</w:t>
      </w:r>
      <w:r w:rsidRPr="00CB6A07">
        <w:rPr>
          <w:b/>
          <w:i/>
          <w:color w:val="000000" w:themeColor="text1"/>
        </w:rPr>
        <w:t xml:space="preserve"> OECD</w:t>
      </w:r>
      <w:r w:rsidRPr="00CB6A07">
        <w:rPr>
          <w:i/>
          <w:color w:val="000000" w:themeColor="text1"/>
        </w:rPr>
        <w:t xml:space="preserve">, které v minulém roce začalo sbírat údaje o daňových pobídkách pro výzkum, vývoj a inovace založených na příjmech, s odůvodněním, že se jedná o velmi malý počet subjektů čerpajících tuto formu daňové podpory. </w:t>
      </w:r>
    </w:p>
    <w:p w14:paraId="32AC2EC8" w14:textId="31D346F4" w:rsidR="003B5763" w:rsidRDefault="003B5763" w:rsidP="006F63D5">
      <w:pPr>
        <w:spacing w:after="120" w:line="264" w:lineRule="auto"/>
        <w:rPr>
          <w:b/>
          <w:color w:val="000000" w:themeColor="text1"/>
        </w:rPr>
      </w:pPr>
      <w:r w:rsidRPr="003B5763">
        <w:rPr>
          <w:b/>
          <w:color w:val="000000" w:themeColor="text1"/>
        </w:rPr>
        <w:t xml:space="preserve">Tudíž tento typ </w:t>
      </w:r>
      <w:r w:rsidR="000916B4">
        <w:rPr>
          <w:b/>
          <w:color w:val="000000" w:themeColor="text1"/>
        </w:rPr>
        <w:t xml:space="preserve">nepřímé </w:t>
      </w:r>
      <w:bookmarkStart w:id="0" w:name="_GoBack"/>
      <w:bookmarkEnd w:id="0"/>
      <w:r w:rsidRPr="003B5763">
        <w:rPr>
          <w:b/>
          <w:color w:val="000000" w:themeColor="text1"/>
        </w:rPr>
        <w:t>podpory není ve statistikách ČSÚ k nepřímé veřejné podpoře zahrnut.</w:t>
      </w:r>
    </w:p>
    <w:p w14:paraId="4303D9D4" w14:textId="33FA8396" w:rsidR="00CB6A07" w:rsidRDefault="00CB6A07">
      <w:pPr>
        <w:spacing w:after="160" w:line="259" w:lineRule="auto"/>
        <w:jc w:val="left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034F0130" w14:textId="5AB49C77" w:rsidR="00CB6A07" w:rsidRPr="00CB6A07" w:rsidRDefault="00CB6A07" w:rsidP="00CB6A07">
      <w:pPr>
        <w:pStyle w:val="Nadpis2"/>
        <w:numPr>
          <w:ilvl w:val="0"/>
          <w:numId w:val="0"/>
        </w:numPr>
        <w:spacing w:before="0" w:after="0"/>
        <w:ind w:left="113" w:hanging="113"/>
        <w:rPr>
          <w:rFonts w:asciiTheme="minorHAnsi" w:hAnsiTheme="minorHAnsi" w:cstheme="minorHAnsi"/>
          <w:color w:val="000000"/>
          <w:sz w:val="36"/>
          <w:szCs w:val="36"/>
          <w:u w:val="none"/>
        </w:rPr>
      </w:pPr>
      <w:r w:rsidRPr="00CB6A07">
        <w:rPr>
          <w:rFonts w:asciiTheme="minorHAnsi" w:hAnsiTheme="minorHAnsi" w:cstheme="minorHAnsi"/>
          <w:bCs/>
          <w:color w:val="000000"/>
          <w:u w:val="none"/>
        </w:rPr>
        <w:lastRenderedPageBreak/>
        <w:t>Vybrané aspekty tří typů podpory – dotací, investičních pobídek a odpočtu na VaV</w:t>
      </w:r>
    </w:p>
    <w:p w14:paraId="54636046" w14:textId="3A48C032" w:rsidR="00CB6A07" w:rsidRPr="00CB6A07" w:rsidRDefault="0012184A" w:rsidP="006F63D5">
      <w:pPr>
        <w:spacing w:after="120" w:line="264" w:lineRule="auto"/>
        <w:rPr>
          <w:rFonts w:asciiTheme="minorHAnsi" w:hAnsiTheme="minorHAnsi" w:cstheme="minorHAnsi"/>
          <w:color w:val="000000" w:themeColor="text1"/>
        </w:rPr>
      </w:pPr>
      <w:r w:rsidRPr="00677D5E">
        <w:rPr>
          <w:rFonts w:ascii="Helvetica" w:hAnsi="Helvetica" w:cs="Helvetica"/>
          <w:noProof/>
          <w:color w:val="97999B"/>
          <w:sz w:val="21"/>
          <w:szCs w:val="21"/>
          <w:lang w:eastAsia="cs-CZ"/>
        </w:rPr>
        <w:drawing>
          <wp:anchor distT="0" distB="0" distL="114300" distR="114300" simplePos="0" relativeHeight="251659264" behindDoc="1" locked="0" layoutInCell="1" allowOverlap="1" wp14:anchorId="262E8504" wp14:editId="1110E1C4">
            <wp:simplePos x="0" y="0"/>
            <wp:positionH relativeFrom="column">
              <wp:posOffset>-68579</wp:posOffset>
            </wp:positionH>
            <wp:positionV relativeFrom="paragraph">
              <wp:posOffset>151765</wp:posOffset>
            </wp:positionV>
            <wp:extent cx="5607050" cy="8709981"/>
            <wp:effectExtent l="0" t="0" r="0" b="0"/>
            <wp:wrapNone/>
            <wp:docPr id="2" name="Obrázek 2" descr="https://www.dreport.cz/wp-content/uploads/VaV_c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report.cz/wp-content/uploads/VaV_cz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09" cy="871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6A07" w:rsidRPr="00CB6A07">
        <w:rPr>
          <w:rFonts w:asciiTheme="minorHAnsi" w:hAnsiTheme="minorHAnsi" w:cstheme="minorHAnsi"/>
          <w:color w:val="000000" w:themeColor="text1"/>
        </w:rPr>
        <w:t>(</w:t>
      </w:r>
      <w:hyperlink r:id="rId11" w:history="1">
        <w:r w:rsidR="00CB6A07" w:rsidRPr="00CB6A07">
          <w:rPr>
            <w:rStyle w:val="Hypertextovodkaz"/>
            <w:rFonts w:asciiTheme="minorHAnsi" w:hAnsiTheme="minorHAnsi" w:cstheme="minorHAnsi"/>
            <w:u w:val="none"/>
          </w:rPr>
          <w:t>https://www.dreport.cz/blog/podpora-vyzkumu-a-vyvoje-v-cr-prilezitosti-ale-i-rizika/</w:t>
        </w:r>
      </w:hyperlink>
      <w:r w:rsidR="00CB6A07" w:rsidRPr="00CB6A07">
        <w:rPr>
          <w:rFonts w:asciiTheme="minorHAnsi" w:hAnsiTheme="minorHAnsi" w:cstheme="minorHAnsi"/>
          <w:color w:val="000000" w:themeColor="text1"/>
        </w:rPr>
        <w:t>)</w:t>
      </w:r>
    </w:p>
    <w:p w14:paraId="2C96D0F5" w14:textId="1DA411BA" w:rsidR="00CB6A07" w:rsidRPr="003B5763" w:rsidRDefault="00CB6A07" w:rsidP="006F63D5">
      <w:pPr>
        <w:spacing w:after="120" w:line="264" w:lineRule="auto"/>
        <w:rPr>
          <w:b/>
          <w:color w:val="000000" w:themeColor="text1"/>
        </w:rPr>
      </w:pPr>
    </w:p>
    <w:sectPr w:rsidR="00CB6A07" w:rsidRPr="003B5763" w:rsidSect="007E21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359AA" w14:textId="77777777" w:rsidR="00C50D2F" w:rsidRDefault="00C50D2F" w:rsidP="00D0493E">
      <w:r>
        <w:separator/>
      </w:r>
    </w:p>
  </w:endnote>
  <w:endnote w:type="continuationSeparator" w:id="0">
    <w:p w14:paraId="11088A1A" w14:textId="77777777" w:rsidR="00C50D2F" w:rsidRDefault="00C50D2F" w:rsidP="00D0493E">
      <w:r>
        <w:continuationSeparator/>
      </w:r>
    </w:p>
  </w:endnote>
  <w:endnote w:type="continuationNotice" w:id="1">
    <w:p w14:paraId="0C632A22" w14:textId="77777777" w:rsidR="00C50D2F" w:rsidRDefault="00C50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76FEB" w14:textId="77777777" w:rsidR="00E130B9" w:rsidRDefault="00E130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372727"/>
      <w:docPartObj>
        <w:docPartGallery w:val="Page Numbers (Bottom of Page)"/>
        <w:docPartUnique/>
      </w:docPartObj>
    </w:sdtPr>
    <w:sdtEndPr/>
    <w:sdtContent>
      <w:p w14:paraId="74F21189" w14:textId="1559D985" w:rsidR="00241F14" w:rsidRDefault="00473F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6B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84BC5" w14:textId="77777777" w:rsidR="00E130B9" w:rsidRDefault="00E130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0AD8E" w14:textId="77777777" w:rsidR="00C50D2F" w:rsidRDefault="00C50D2F" w:rsidP="00D0493E">
      <w:r>
        <w:separator/>
      </w:r>
    </w:p>
  </w:footnote>
  <w:footnote w:type="continuationSeparator" w:id="0">
    <w:p w14:paraId="2DC0CEA0" w14:textId="77777777" w:rsidR="00C50D2F" w:rsidRDefault="00C50D2F" w:rsidP="00D0493E">
      <w:r>
        <w:continuationSeparator/>
      </w:r>
    </w:p>
  </w:footnote>
  <w:footnote w:type="continuationNotice" w:id="1">
    <w:p w14:paraId="64B581E7" w14:textId="77777777" w:rsidR="00C50D2F" w:rsidRDefault="00C50D2F"/>
  </w:footnote>
  <w:footnote w:id="2">
    <w:p w14:paraId="4E6137BD" w14:textId="034062DD" w:rsidR="00CB6A07" w:rsidRDefault="00CB6A07">
      <w:pPr>
        <w:pStyle w:val="Textpoznpodarou"/>
      </w:pPr>
      <w:r>
        <w:rPr>
          <w:rStyle w:val="Znakapoznpodarou"/>
        </w:rPr>
        <w:footnoteRef/>
      </w:r>
      <w:r>
        <w:t xml:space="preserve">     Text představuje zkrácenou verzi Kontrolní akce NKÚ 20/13.</w:t>
      </w:r>
    </w:p>
  </w:footnote>
  <w:footnote w:id="3">
    <w:p w14:paraId="46DF12AE" w14:textId="77777777" w:rsidR="00241F14" w:rsidRDefault="00241F14" w:rsidP="00BC5A0B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="00BC5A0B">
        <w:tab/>
      </w:r>
      <w:r>
        <w:t>Zákon č. 210/2019 Sb., kterým se mění zákon č. 72/2000 Sb., o investičních pobídkách a o změně některých zákonů (zákon o investičních pobídkách), ve znění pozdějších předpisů, a zákon č. 435/2004 Sb., o</w:t>
      </w:r>
      <w:r w:rsidR="00BC5A0B">
        <w:t> </w:t>
      </w:r>
      <w:r>
        <w:t>zaměstnanosti, ve znění pozdějších předpisů.</w:t>
      </w:r>
    </w:p>
  </w:footnote>
  <w:footnote w:id="4">
    <w:p w14:paraId="7682BCC0" w14:textId="77777777" w:rsidR="00241F14" w:rsidRPr="00A4188B" w:rsidRDefault="00241F14" w:rsidP="006D4E62">
      <w:pPr>
        <w:pStyle w:val="Textpoznpod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="006D4E62">
        <w:tab/>
      </w:r>
      <w:r>
        <w:rPr>
          <w:rFonts w:asciiTheme="minorHAnsi" w:hAnsiTheme="minorHAnsi" w:cstheme="minorHAnsi"/>
        </w:rPr>
        <w:t>U</w:t>
      </w:r>
      <w:r w:rsidRPr="00AD3F08">
        <w:rPr>
          <w:rFonts w:asciiTheme="minorHAnsi" w:hAnsiTheme="minorHAnsi" w:cstheme="minorHAnsi"/>
        </w:rPr>
        <w:t xml:space="preserve">snesení vlády </w:t>
      </w:r>
      <w:r>
        <w:rPr>
          <w:rFonts w:asciiTheme="minorHAnsi" w:hAnsiTheme="minorHAnsi" w:cstheme="minorHAnsi"/>
        </w:rPr>
        <w:t xml:space="preserve">České republiky </w:t>
      </w:r>
      <w:r w:rsidRPr="00AD3F08">
        <w:rPr>
          <w:rFonts w:asciiTheme="minorHAnsi" w:hAnsiTheme="minorHAnsi" w:cstheme="minorHAnsi"/>
        </w:rPr>
        <w:t>ze dne 29. dubna 1998 č. 298</w:t>
      </w:r>
      <w:r>
        <w:rPr>
          <w:rFonts w:asciiTheme="minorHAnsi" w:hAnsiTheme="minorHAnsi" w:cstheme="minorHAnsi"/>
        </w:rPr>
        <w:t>,</w:t>
      </w:r>
      <w:r w:rsidRPr="00AD3F08">
        <w:rPr>
          <w:rFonts w:asciiTheme="minorHAnsi" w:hAnsiTheme="minorHAnsi" w:cstheme="minorHAnsi"/>
        </w:rPr>
        <w:t xml:space="preserve"> </w:t>
      </w:r>
      <w:r w:rsidRPr="00C05A01">
        <w:rPr>
          <w:rFonts w:asciiTheme="minorHAnsi" w:hAnsiTheme="minorHAnsi" w:cstheme="minorHAnsi"/>
          <w:i/>
        </w:rPr>
        <w:t>k návrhu investičních pobídek pro investory v České republice</w:t>
      </w:r>
      <w:r>
        <w:rPr>
          <w:rFonts w:asciiTheme="minorHAnsi" w:hAnsiTheme="minorHAnsi" w:cstheme="minorHAnsi"/>
        </w:rPr>
        <w:t>.</w:t>
      </w:r>
    </w:p>
  </w:footnote>
  <w:footnote w:id="5">
    <w:p w14:paraId="2094B13C" w14:textId="1928F071" w:rsidR="00CB6A07" w:rsidRPr="00CB6A07" w:rsidRDefault="00CB6A07" w:rsidP="008D7817">
      <w:pPr>
        <w:pStyle w:val="Textpoznpodarou"/>
        <w:ind w:left="284" w:hanging="284"/>
        <w:jc w:val="both"/>
        <w:rPr>
          <w:b/>
        </w:rPr>
      </w:pPr>
      <w:r>
        <w:rPr>
          <w:rStyle w:val="Znakapoznpodarou"/>
        </w:rPr>
        <w:footnoteRef/>
      </w:r>
      <w:r>
        <w:t xml:space="preserve"> </w:t>
      </w:r>
      <w:r w:rsidR="008D7817">
        <w:t xml:space="preserve"> </w:t>
      </w:r>
      <w:r w:rsidR="008D7817" w:rsidRPr="008D7817">
        <w:rPr>
          <w:b/>
        </w:rPr>
        <w:t>AKTUÁLNĚ:</w:t>
      </w:r>
      <w:r w:rsidR="008D7817">
        <w:t xml:space="preserve"> </w:t>
      </w:r>
      <w:r w:rsidRPr="00CB6A07">
        <w:rPr>
          <w:b/>
        </w:rPr>
        <w:t xml:space="preserve">U novely </w:t>
      </w:r>
      <w:r w:rsidR="008D7817">
        <w:rPr>
          <w:b/>
        </w:rPr>
        <w:t xml:space="preserve">zákona bylo </w:t>
      </w:r>
      <w:r w:rsidRPr="00CB6A07">
        <w:rPr>
          <w:b/>
        </w:rPr>
        <w:t xml:space="preserve">ukončeno meziresortní připomínkové řízení a vypořádávají se </w:t>
      </w:r>
      <w:r w:rsidR="008D7817">
        <w:rPr>
          <w:b/>
        </w:rPr>
        <w:t xml:space="preserve">      </w:t>
      </w:r>
      <w:r w:rsidRPr="00CB6A07">
        <w:rPr>
          <w:b/>
        </w:rPr>
        <w:t>připomínky.</w:t>
      </w:r>
    </w:p>
  </w:footnote>
  <w:footnote w:id="6">
    <w:p w14:paraId="7EF124BB" w14:textId="77ACA318" w:rsidR="004F440D" w:rsidRDefault="004F440D" w:rsidP="004F440D">
      <w:pPr>
        <w:pStyle w:val="Textpoznpodarou"/>
        <w:ind w:left="284" w:hanging="284"/>
      </w:pPr>
      <w:r>
        <w:rPr>
          <w:rStyle w:val="Znakapoznpodarou"/>
        </w:rPr>
        <w:footnoteRef/>
      </w:r>
      <w:r>
        <w:t xml:space="preserve">     </w:t>
      </w:r>
      <w:r w:rsidRPr="004F440D">
        <w:t xml:space="preserve">Dalšími orgány a subjekty dotčenými zákonem jsou Ministerstvo práce </w:t>
      </w:r>
      <w:r>
        <w:t xml:space="preserve">a sociálních věcí, Ministerstvo </w:t>
      </w:r>
      <w:r w:rsidRPr="004F440D">
        <w:t>financí, Ministerstvo zemědělství, Ministerstvo životního prostředí a obce.</w:t>
      </w:r>
    </w:p>
  </w:footnote>
  <w:footnote w:id="7">
    <w:p w14:paraId="10900B49" w14:textId="197F9FC6" w:rsidR="00241F14" w:rsidRDefault="00241F14" w:rsidP="006D4E62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="006D4E62">
        <w:tab/>
      </w:r>
      <w:r>
        <w:t>Jedná se o s</w:t>
      </w:r>
      <w:r w:rsidRPr="00796127">
        <w:t>trategickou prům</w:t>
      </w:r>
      <w:r>
        <w:t>yslovou zónu Ostrava</w:t>
      </w:r>
      <w:r w:rsidR="00C66541">
        <w:t>-</w:t>
      </w:r>
      <w:r>
        <w:t>Mošnov, s</w:t>
      </w:r>
      <w:r w:rsidRPr="00796127">
        <w:t>trategic</w:t>
      </w:r>
      <w:r>
        <w:t>kou průmyslovou zónu Holešov a s</w:t>
      </w:r>
      <w:r w:rsidRPr="00796127">
        <w:t>trategickou průmyslovou</w:t>
      </w:r>
      <w:r>
        <w:t xml:space="preserve"> zónu SPZ Joseph</w:t>
      </w:r>
      <w:r w:rsidR="00C66541">
        <w:t xml:space="preserve"> u Mostu</w:t>
      </w:r>
      <w:r>
        <w:t xml:space="preserve">. </w:t>
      </w:r>
    </w:p>
  </w:footnote>
  <w:footnote w:id="8">
    <w:p w14:paraId="010DBAFA" w14:textId="77777777" w:rsidR="00241F14" w:rsidRDefault="00241F14" w:rsidP="007362C2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="006D4E62">
        <w:tab/>
      </w:r>
      <w:r>
        <w:t xml:space="preserve">Zaměřením technologického centra je </w:t>
      </w:r>
      <w:r w:rsidRPr="004F440D">
        <w:rPr>
          <w:b/>
        </w:rPr>
        <w:t>aplikovaný výzkum, vývoj a inovace</w:t>
      </w:r>
      <w:r>
        <w:t xml:space="preserve"> technicky či jinak vyspělých výrobků, technologií a výrobních procesů.</w:t>
      </w:r>
    </w:p>
  </w:footnote>
  <w:footnote w:id="9">
    <w:p w14:paraId="06CAB8EE" w14:textId="77777777" w:rsidR="00241F14" w:rsidRDefault="00241F14" w:rsidP="00711407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="006D4E62">
        <w:tab/>
      </w:r>
      <w:r>
        <w:t>Centrum strategických služeb může být realizováno ve formě centra pro tvorbu softwaru se zaměřením na </w:t>
      </w:r>
      <w:r w:rsidRPr="004F440D">
        <w:rPr>
          <w:b/>
        </w:rPr>
        <w:t>tvorbu nového nebo inovace stávajícího softwaru</w:t>
      </w:r>
      <w:r>
        <w:t>, datového centra se zaměřením na ukládání, třídění a</w:t>
      </w:r>
      <w:r w:rsidR="006D4E62">
        <w:t> </w:t>
      </w:r>
      <w:r>
        <w:t>správu dat, opravárenského centra se zaměřením na opravu technicky vyspělých zařízení nebo centra sdílených služeb se zaměřením na převzetí řízení, provozu a administrace vnitřních činností od ovládající nebo ovládané osoby nebo od smluvních partnerů, pro které nejsou tyto činnosti předmětem podnikání.</w:t>
      </w:r>
    </w:p>
  </w:footnote>
  <w:footnote w:id="10">
    <w:p w14:paraId="2A25271B" w14:textId="271FD479" w:rsidR="00241F14" w:rsidRDefault="00241F14" w:rsidP="006D4E62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="006D4E62">
        <w:tab/>
      </w:r>
      <w:r>
        <w:t xml:space="preserve">Od roku 2008 byly investiční pobídky povoleny na základě blokové výjimky </w:t>
      </w:r>
      <w:r w:rsidRPr="00197B19">
        <w:t>v souladu s</w:t>
      </w:r>
      <w:r>
        <w:t> </w:t>
      </w:r>
      <w:r w:rsidR="000E67E0">
        <w:t>n</w:t>
      </w:r>
      <w:r>
        <w:t>ařízením Komise (ES) č. 800/2008 ze dne 6. srpna 2008, kterým se v souladu s články 87 a 88 Smlouvy o ES prohlašují určité kategorie podpory za slučitelné se společným trhem (obecné nařízení o blokových výjimkách) a od roku 2014 v souladu s </w:t>
      </w:r>
      <w:r w:rsidR="000E67E0">
        <w:t>n</w:t>
      </w:r>
      <w:r>
        <w:t>ařízením komise (EU) č. 651/2014 ze dne 17. června 2014, kterým se v souladu s články 107 a 108 Smlouvy prohlašují určité kategorie podpory za slučitelné s vnitřním trhem.</w:t>
      </w:r>
    </w:p>
  </w:footnote>
  <w:footnote w:id="11">
    <w:p w14:paraId="6167D083" w14:textId="65B3ADCA" w:rsidR="0012184A" w:rsidRDefault="0012184A" w:rsidP="000916B4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Pr="0012184A">
        <w:t>Plán hodnocení obsahuje vymezení cílů podpory, hodnoticí otázky, ukazatele výstupů, výsledků a dopadů, metodiku zpracování hodnocení, způsob sběru dat, harmonogram předložení jednotlivých hodnoticích zpráv, určení subjektu, který bude provádět hodnocení a způsob zveřejnění hodnocení.</w:t>
      </w:r>
    </w:p>
  </w:footnote>
  <w:footnote w:id="12">
    <w:p w14:paraId="020D3F79" w14:textId="77777777" w:rsidR="00241F14" w:rsidRDefault="00241F14" w:rsidP="008D2AAB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 w:rsidR="008D2AAB">
        <w:tab/>
      </w:r>
      <w:r w:rsidRPr="000F2499">
        <w:rPr>
          <w:rFonts w:asciiTheme="minorHAnsi" w:hAnsiTheme="minorHAnsi" w:cstheme="minorHAnsi"/>
        </w:rPr>
        <w:t>Pro období 2014</w:t>
      </w:r>
      <w:r w:rsidR="008D2AAB">
        <w:rPr>
          <w:rFonts w:asciiTheme="minorHAnsi" w:hAnsiTheme="minorHAnsi" w:cstheme="minorHAnsi"/>
        </w:rPr>
        <w:t>–</w:t>
      </w:r>
      <w:r w:rsidRPr="000F2499">
        <w:rPr>
          <w:rFonts w:asciiTheme="minorHAnsi" w:hAnsiTheme="minorHAnsi" w:cstheme="minorHAnsi"/>
        </w:rPr>
        <w:t xml:space="preserve">2020 se jedná o hospodářsky problémové regiony, které jsou tvořeny územím </w:t>
      </w:r>
      <w:r>
        <w:rPr>
          <w:rFonts w:asciiTheme="minorHAnsi" w:hAnsiTheme="minorHAnsi" w:cstheme="minorHAnsi"/>
        </w:rPr>
        <w:t>57 obcí s </w:t>
      </w:r>
      <w:r w:rsidRPr="000F2499">
        <w:rPr>
          <w:rFonts w:asciiTheme="minorHAnsi" w:hAnsiTheme="minorHAnsi" w:cstheme="minorHAnsi"/>
        </w:rPr>
        <w:t>rozšířenou působnost</w:t>
      </w:r>
      <w:r w:rsidRPr="00B47C1E">
        <w:rPr>
          <w:rFonts w:asciiTheme="minorHAnsi" w:hAnsiTheme="minorHAnsi" w:cstheme="minorHAnsi"/>
        </w:rPr>
        <w:t xml:space="preserve">í. </w:t>
      </w:r>
      <w:r w:rsidRPr="000F2499">
        <w:rPr>
          <w:rFonts w:asciiTheme="minorHAnsi" w:hAnsiTheme="minorHAnsi" w:cstheme="minorHAnsi"/>
        </w:rPr>
        <w:t>Tyto regiony vymezuje Ministe</w:t>
      </w:r>
      <w:r>
        <w:rPr>
          <w:rFonts w:asciiTheme="minorHAnsi" w:hAnsiTheme="minorHAnsi" w:cstheme="minorHAnsi"/>
        </w:rPr>
        <w:t>r</w:t>
      </w:r>
      <w:r w:rsidRPr="000F2499">
        <w:rPr>
          <w:rFonts w:asciiTheme="minorHAnsi" w:hAnsiTheme="minorHAnsi" w:cstheme="minorHAnsi"/>
        </w:rPr>
        <w:t>stvo pro mís</w:t>
      </w:r>
      <w:r>
        <w:rPr>
          <w:rFonts w:asciiTheme="minorHAnsi" w:hAnsiTheme="minorHAnsi" w:cstheme="minorHAnsi"/>
        </w:rPr>
        <w:t>tní rozvoj na základě zákona č. </w:t>
      </w:r>
      <w:r w:rsidRPr="000F2499">
        <w:rPr>
          <w:rFonts w:asciiTheme="minorHAnsi" w:hAnsiTheme="minorHAnsi" w:cstheme="minorHAnsi"/>
        </w:rPr>
        <w:t xml:space="preserve">248/2000 Sb., o podpoře regionálního rozvoje. </w:t>
      </w:r>
      <w:r>
        <w:rPr>
          <w:rFonts w:asciiTheme="minorHAnsi" w:hAnsiTheme="minorHAnsi" w:cstheme="minorHAnsi"/>
        </w:rPr>
        <w:t xml:space="preserve">Vláda ČR uložila MPO </w:t>
      </w:r>
      <w:r>
        <w:t>z</w:t>
      </w:r>
      <w:r w:rsidRPr="004D000E">
        <w:t>výhodnění těchto regionů v r</w:t>
      </w:r>
      <w:r>
        <w:t>ámci programů veřejné podpory.</w:t>
      </w:r>
    </w:p>
  </w:footnote>
  <w:footnote w:id="13">
    <w:p w14:paraId="5148BB81" w14:textId="77777777" w:rsidR="00241F14" w:rsidRDefault="00241F14" w:rsidP="008D2AAB">
      <w:pPr>
        <w:pStyle w:val="Textpoznpodarou"/>
        <w:ind w:left="284" w:hanging="284"/>
      </w:pPr>
      <w:r>
        <w:rPr>
          <w:rStyle w:val="Znakapoznpodarou"/>
        </w:rPr>
        <w:footnoteRef/>
      </w:r>
      <w:r>
        <w:t xml:space="preserve"> </w:t>
      </w:r>
      <w:r w:rsidR="008D2AAB">
        <w:tab/>
      </w:r>
      <w:r>
        <w:t xml:space="preserve">Usnesení vlády České republiky ze dne 20. července 2020 č. 767, </w:t>
      </w:r>
      <w:r w:rsidRPr="00C05A01">
        <w:rPr>
          <w:i/>
        </w:rPr>
        <w:t>o souhlasu s poskytnutím investiční pobídky pro společnost Shimano Czech Republic, s.r.o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B1C22" w14:textId="77777777" w:rsidR="00E130B9" w:rsidRDefault="00E130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70DE" w14:textId="77777777" w:rsidR="002426BD" w:rsidRDefault="002426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7AA8C" w14:textId="77777777" w:rsidR="00241F14" w:rsidRPr="006F63D5" w:rsidRDefault="00241F14" w:rsidP="00972D3C">
    <w:pPr>
      <w:pStyle w:val="Zhlav"/>
      <w:jc w:val="right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904"/>
    <w:multiLevelType w:val="hybridMultilevel"/>
    <w:tmpl w:val="5BB461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6D31"/>
    <w:multiLevelType w:val="hybridMultilevel"/>
    <w:tmpl w:val="7D86D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4FB8"/>
    <w:multiLevelType w:val="hybridMultilevel"/>
    <w:tmpl w:val="BE704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E59D1"/>
    <w:multiLevelType w:val="hybridMultilevel"/>
    <w:tmpl w:val="EB2E00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562AF"/>
    <w:multiLevelType w:val="hybridMultilevel"/>
    <w:tmpl w:val="F482E3A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333901"/>
    <w:multiLevelType w:val="hybridMultilevel"/>
    <w:tmpl w:val="17E02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91894"/>
    <w:multiLevelType w:val="hybridMultilevel"/>
    <w:tmpl w:val="4E4AF01E"/>
    <w:lvl w:ilvl="0" w:tplc="823EF330">
      <w:start w:val="1"/>
      <w:numFmt w:val="decimal"/>
      <w:pStyle w:val="Nadpis2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 w15:restartNumberingAfterBreak="0">
    <w:nsid w:val="16A14B21"/>
    <w:multiLevelType w:val="hybridMultilevel"/>
    <w:tmpl w:val="39666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B7C76"/>
    <w:multiLevelType w:val="hybridMultilevel"/>
    <w:tmpl w:val="F5509D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24AF1"/>
    <w:multiLevelType w:val="hybridMultilevel"/>
    <w:tmpl w:val="73249DFA"/>
    <w:lvl w:ilvl="0" w:tplc="1A266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5441F"/>
    <w:multiLevelType w:val="hybridMultilevel"/>
    <w:tmpl w:val="D43A2C8A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D86C95"/>
    <w:multiLevelType w:val="hybridMultilevel"/>
    <w:tmpl w:val="CC4C2E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55B40"/>
    <w:multiLevelType w:val="hybridMultilevel"/>
    <w:tmpl w:val="F14A5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D59F0"/>
    <w:multiLevelType w:val="hybridMultilevel"/>
    <w:tmpl w:val="8E8406BE"/>
    <w:lvl w:ilvl="0" w:tplc="46E2C65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54E24"/>
    <w:multiLevelType w:val="hybridMultilevel"/>
    <w:tmpl w:val="12C45C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C0641"/>
    <w:multiLevelType w:val="hybridMultilevel"/>
    <w:tmpl w:val="45F66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011AD"/>
    <w:multiLevelType w:val="hybridMultilevel"/>
    <w:tmpl w:val="87F675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1911"/>
    <w:multiLevelType w:val="hybridMultilevel"/>
    <w:tmpl w:val="F68E3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E3CD4"/>
    <w:multiLevelType w:val="hybridMultilevel"/>
    <w:tmpl w:val="AA4492B6"/>
    <w:lvl w:ilvl="0" w:tplc="5822614E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C7709"/>
    <w:multiLevelType w:val="hybridMultilevel"/>
    <w:tmpl w:val="EC1EEAD2"/>
    <w:lvl w:ilvl="0" w:tplc="0405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F013A"/>
    <w:multiLevelType w:val="hybridMultilevel"/>
    <w:tmpl w:val="57408920"/>
    <w:lvl w:ilvl="0" w:tplc="190AD8DE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C2625"/>
    <w:multiLevelType w:val="hybridMultilevel"/>
    <w:tmpl w:val="3EACB0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A11DA"/>
    <w:multiLevelType w:val="hybridMultilevel"/>
    <w:tmpl w:val="2884C8BA"/>
    <w:lvl w:ilvl="0" w:tplc="03EE13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28E41E">
      <w:start w:val="1"/>
      <w:numFmt w:val="lowerLetter"/>
      <w:lvlText w:val="%2."/>
      <w:lvlJc w:val="left"/>
      <w:pPr>
        <w:ind w:left="1440" w:hanging="360"/>
      </w:pPr>
    </w:lvl>
    <w:lvl w:ilvl="2" w:tplc="D0E2FFC0" w:tentative="1">
      <w:start w:val="1"/>
      <w:numFmt w:val="lowerRoman"/>
      <w:lvlText w:val="%3."/>
      <w:lvlJc w:val="right"/>
      <w:pPr>
        <w:ind w:left="2160" w:hanging="180"/>
      </w:pPr>
    </w:lvl>
    <w:lvl w:ilvl="3" w:tplc="382E955E" w:tentative="1">
      <w:start w:val="1"/>
      <w:numFmt w:val="decimal"/>
      <w:lvlText w:val="%4."/>
      <w:lvlJc w:val="left"/>
      <w:pPr>
        <w:ind w:left="2880" w:hanging="360"/>
      </w:pPr>
    </w:lvl>
    <w:lvl w:ilvl="4" w:tplc="E638B3A0" w:tentative="1">
      <w:start w:val="1"/>
      <w:numFmt w:val="lowerLetter"/>
      <w:lvlText w:val="%5."/>
      <w:lvlJc w:val="left"/>
      <w:pPr>
        <w:ind w:left="3600" w:hanging="360"/>
      </w:pPr>
    </w:lvl>
    <w:lvl w:ilvl="5" w:tplc="743E0ECC" w:tentative="1">
      <w:start w:val="1"/>
      <w:numFmt w:val="lowerRoman"/>
      <w:lvlText w:val="%6."/>
      <w:lvlJc w:val="right"/>
      <w:pPr>
        <w:ind w:left="4320" w:hanging="180"/>
      </w:pPr>
    </w:lvl>
    <w:lvl w:ilvl="6" w:tplc="00D082E2" w:tentative="1">
      <w:start w:val="1"/>
      <w:numFmt w:val="decimal"/>
      <w:lvlText w:val="%7."/>
      <w:lvlJc w:val="left"/>
      <w:pPr>
        <w:ind w:left="5040" w:hanging="360"/>
      </w:pPr>
    </w:lvl>
    <w:lvl w:ilvl="7" w:tplc="BC14C158" w:tentative="1">
      <w:start w:val="1"/>
      <w:numFmt w:val="lowerLetter"/>
      <w:lvlText w:val="%8."/>
      <w:lvlJc w:val="left"/>
      <w:pPr>
        <w:ind w:left="5760" w:hanging="360"/>
      </w:pPr>
    </w:lvl>
    <w:lvl w:ilvl="8" w:tplc="FC68AA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91997"/>
    <w:multiLevelType w:val="hybridMultilevel"/>
    <w:tmpl w:val="99889F98"/>
    <w:lvl w:ilvl="0" w:tplc="1A56ADFE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B0848"/>
    <w:multiLevelType w:val="hybridMultilevel"/>
    <w:tmpl w:val="E46A4E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67B62"/>
    <w:multiLevelType w:val="hybridMultilevel"/>
    <w:tmpl w:val="80B085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90A7C"/>
    <w:multiLevelType w:val="hybridMultilevel"/>
    <w:tmpl w:val="CE481EA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87E3F"/>
    <w:multiLevelType w:val="hybridMultilevel"/>
    <w:tmpl w:val="208A9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E4AC0"/>
    <w:multiLevelType w:val="hybridMultilevel"/>
    <w:tmpl w:val="CDE2D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85890"/>
    <w:multiLevelType w:val="hybridMultilevel"/>
    <w:tmpl w:val="BAC80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55A1E"/>
    <w:multiLevelType w:val="hybridMultilevel"/>
    <w:tmpl w:val="D8EEDF42"/>
    <w:lvl w:ilvl="0" w:tplc="D8806946">
      <w:numFmt w:val="bullet"/>
      <w:lvlText w:val="-"/>
      <w:lvlJc w:val="left"/>
      <w:pPr>
        <w:ind w:left="77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1B52C32"/>
    <w:multiLevelType w:val="hybridMultilevel"/>
    <w:tmpl w:val="84BED5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33983"/>
    <w:multiLevelType w:val="hybridMultilevel"/>
    <w:tmpl w:val="8722928E"/>
    <w:lvl w:ilvl="0" w:tplc="45EE0C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92696"/>
    <w:multiLevelType w:val="hybridMultilevel"/>
    <w:tmpl w:val="053A018C"/>
    <w:lvl w:ilvl="0" w:tplc="46E2C6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75949"/>
    <w:multiLevelType w:val="hybridMultilevel"/>
    <w:tmpl w:val="31502E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A5264"/>
    <w:multiLevelType w:val="hybridMultilevel"/>
    <w:tmpl w:val="25323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6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15"/>
  </w:num>
  <w:num w:numId="7">
    <w:abstractNumId w:val="12"/>
  </w:num>
  <w:num w:numId="8">
    <w:abstractNumId w:val="25"/>
  </w:num>
  <w:num w:numId="9">
    <w:abstractNumId w:val="34"/>
  </w:num>
  <w:num w:numId="10">
    <w:abstractNumId w:val="29"/>
  </w:num>
  <w:num w:numId="11">
    <w:abstractNumId w:val="14"/>
  </w:num>
  <w:num w:numId="12">
    <w:abstractNumId w:val="22"/>
  </w:num>
  <w:num w:numId="13">
    <w:abstractNumId w:val="27"/>
  </w:num>
  <w:num w:numId="14">
    <w:abstractNumId w:val="20"/>
  </w:num>
  <w:num w:numId="15">
    <w:abstractNumId w:val="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8"/>
  </w:num>
  <w:num w:numId="20">
    <w:abstractNumId w:val="24"/>
  </w:num>
  <w:num w:numId="21">
    <w:abstractNumId w:val="5"/>
  </w:num>
  <w:num w:numId="22">
    <w:abstractNumId w:val="4"/>
  </w:num>
  <w:num w:numId="23">
    <w:abstractNumId w:val="32"/>
  </w:num>
  <w:num w:numId="24">
    <w:abstractNumId w:val="21"/>
  </w:num>
  <w:num w:numId="25">
    <w:abstractNumId w:val="9"/>
  </w:num>
  <w:num w:numId="26">
    <w:abstractNumId w:val="7"/>
  </w:num>
  <w:num w:numId="27">
    <w:abstractNumId w:val="30"/>
  </w:num>
  <w:num w:numId="28">
    <w:abstractNumId w:val="31"/>
  </w:num>
  <w:num w:numId="29">
    <w:abstractNumId w:val="6"/>
    <w:lvlOverride w:ilvl="0">
      <w:startOverride w:val="1"/>
    </w:lvlOverride>
  </w:num>
  <w:num w:numId="30">
    <w:abstractNumId w:val="0"/>
  </w:num>
  <w:num w:numId="31">
    <w:abstractNumId w:val="2"/>
  </w:num>
  <w:num w:numId="32">
    <w:abstractNumId w:val="11"/>
  </w:num>
  <w:num w:numId="33">
    <w:abstractNumId w:val="23"/>
  </w:num>
  <w:num w:numId="34">
    <w:abstractNumId w:val="18"/>
  </w:num>
  <w:num w:numId="35">
    <w:abstractNumId w:val="1"/>
  </w:num>
  <w:num w:numId="36">
    <w:abstractNumId w:val="19"/>
  </w:num>
  <w:num w:numId="37">
    <w:abstractNumId w:val="33"/>
  </w:num>
  <w:num w:numId="38">
    <w:abstractNumId w:val="26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2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24"/>
    <w:rsid w:val="00000330"/>
    <w:rsid w:val="00000BCF"/>
    <w:rsid w:val="0000251F"/>
    <w:rsid w:val="00002599"/>
    <w:rsid w:val="00003288"/>
    <w:rsid w:val="000056A2"/>
    <w:rsid w:val="000128B2"/>
    <w:rsid w:val="00015B0A"/>
    <w:rsid w:val="00016254"/>
    <w:rsid w:val="0001658D"/>
    <w:rsid w:val="00016AFF"/>
    <w:rsid w:val="00016CAB"/>
    <w:rsid w:val="00020393"/>
    <w:rsid w:val="00020D87"/>
    <w:rsid w:val="00021654"/>
    <w:rsid w:val="0002404E"/>
    <w:rsid w:val="00024651"/>
    <w:rsid w:val="0002611C"/>
    <w:rsid w:val="00026AE9"/>
    <w:rsid w:val="00027EB2"/>
    <w:rsid w:val="000302B5"/>
    <w:rsid w:val="0003724A"/>
    <w:rsid w:val="000425B6"/>
    <w:rsid w:val="0004637C"/>
    <w:rsid w:val="000534E1"/>
    <w:rsid w:val="0005647F"/>
    <w:rsid w:val="000566DC"/>
    <w:rsid w:val="00056FDA"/>
    <w:rsid w:val="00063B25"/>
    <w:rsid w:val="000715F7"/>
    <w:rsid w:val="00073940"/>
    <w:rsid w:val="00073B70"/>
    <w:rsid w:val="00080C46"/>
    <w:rsid w:val="00082A4F"/>
    <w:rsid w:val="00083E4E"/>
    <w:rsid w:val="000847FB"/>
    <w:rsid w:val="000849EF"/>
    <w:rsid w:val="000856B7"/>
    <w:rsid w:val="00090A4D"/>
    <w:rsid w:val="0009161F"/>
    <w:rsid w:val="000916B4"/>
    <w:rsid w:val="00092573"/>
    <w:rsid w:val="00092EF1"/>
    <w:rsid w:val="0009379F"/>
    <w:rsid w:val="00093BFE"/>
    <w:rsid w:val="000945B7"/>
    <w:rsid w:val="000945E8"/>
    <w:rsid w:val="00094621"/>
    <w:rsid w:val="000974DE"/>
    <w:rsid w:val="000A123C"/>
    <w:rsid w:val="000A312F"/>
    <w:rsid w:val="000B0AC1"/>
    <w:rsid w:val="000B3E62"/>
    <w:rsid w:val="000B518E"/>
    <w:rsid w:val="000B674B"/>
    <w:rsid w:val="000B7DA4"/>
    <w:rsid w:val="000C013D"/>
    <w:rsid w:val="000C1B1A"/>
    <w:rsid w:val="000C215A"/>
    <w:rsid w:val="000D00F5"/>
    <w:rsid w:val="000D187D"/>
    <w:rsid w:val="000D19A3"/>
    <w:rsid w:val="000D38B6"/>
    <w:rsid w:val="000D4F90"/>
    <w:rsid w:val="000E0037"/>
    <w:rsid w:val="000E04EB"/>
    <w:rsid w:val="000E31DB"/>
    <w:rsid w:val="000E67E0"/>
    <w:rsid w:val="000E73F7"/>
    <w:rsid w:val="000E7D3B"/>
    <w:rsid w:val="000F4C22"/>
    <w:rsid w:val="000F619C"/>
    <w:rsid w:val="00100BD7"/>
    <w:rsid w:val="00103F25"/>
    <w:rsid w:val="00107907"/>
    <w:rsid w:val="00110F83"/>
    <w:rsid w:val="0011228B"/>
    <w:rsid w:val="001122ED"/>
    <w:rsid w:val="00115B23"/>
    <w:rsid w:val="00116B75"/>
    <w:rsid w:val="00117528"/>
    <w:rsid w:val="00117FD9"/>
    <w:rsid w:val="00121499"/>
    <w:rsid w:val="0012184A"/>
    <w:rsid w:val="00121B98"/>
    <w:rsid w:val="0012264D"/>
    <w:rsid w:val="001266AE"/>
    <w:rsid w:val="001269DF"/>
    <w:rsid w:val="00126B2F"/>
    <w:rsid w:val="00126CF8"/>
    <w:rsid w:val="00136E6D"/>
    <w:rsid w:val="0013799D"/>
    <w:rsid w:val="00145DE8"/>
    <w:rsid w:val="00147093"/>
    <w:rsid w:val="001502F0"/>
    <w:rsid w:val="001525E4"/>
    <w:rsid w:val="00152C0C"/>
    <w:rsid w:val="001579EC"/>
    <w:rsid w:val="00161F79"/>
    <w:rsid w:val="001622C4"/>
    <w:rsid w:val="00163C52"/>
    <w:rsid w:val="00164B71"/>
    <w:rsid w:val="001659D3"/>
    <w:rsid w:val="00165ECB"/>
    <w:rsid w:val="00166798"/>
    <w:rsid w:val="00166C24"/>
    <w:rsid w:val="001722C0"/>
    <w:rsid w:val="00173C33"/>
    <w:rsid w:val="00176E0F"/>
    <w:rsid w:val="00180440"/>
    <w:rsid w:val="001814FA"/>
    <w:rsid w:val="00194DC5"/>
    <w:rsid w:val="00196471"/>
    <w:rsid w:val="001A3136"/>
    <w:rsid w:val="001A34F4"/>
    <w:rsid w:val="001A775E"/>
    <w:rsid w:val="001B0B82"/>
    <w:rsid w:val="001B0BAD"/>
    <w:rsid w:val="001B16BD"/>
    <w:rsid w:val="001B18BE"/>
    <w:rsid w:val="001B239B"/>
    <w:rsid w:val="001B3FB7"/>
    <w:rsid w:val="001B5F3D"/>
    <w:rsid w:val="001B71ED"/>
    <w:rsid w:val="001B72B7"/>
    <w:rsid w:val="001C01D2"/>
    <w:rsid w:val="001C2EDF"/>
    <w:rsid w:val="001C35A0"/>
    <w:rsid w:val="001C47C9"/>
    <w:rsid w:val="001C6951"/>
    <w:rsid w:val="001C6F1C"/>
    <w:rsid w:val="001C7EC9"/>
    <w:rsid w:val="001D1C04"/>
    <w:rsid w:val="001D2BC9"/>
    <w:rsid w:val="001D2EE2"/>
    <w:rsid w:val="001D5D98"/>
    <w:rsid w:val="001D6CB6"/>
    <w:rsid w:val="001E05E8"/>
    <w:rsid w:val="001E449A"/>
    <w:rsid w:val="001E5D44"/>
    <w:rsid w:val="001E630A"/>
    <w:rsid w:val="001E6FC4"/>
    <w:rsid w:val="001E7E6C"/>
    <w:rsid w:val="001F1614"/>
    <w:rsid w:val="001F552E"/>
    <w:rsid w:val="001F607A"/>
    <w:rsid w:val="001F6704"/>
    <w:rsid w:val="00201D5A"/>
    <w:rsid w:val="002023AE"/>
    <w:rsid w:val="002024F5"/>
    <w:rsid w:val="00203177"/>
    <w:rsid w:val="00206ED9"/>
    <w:rsid w:val="0020750D"/>
    <w:rsid w:val="002105E0"/>
    <w:rsid w:val="002118FF"/>
    <w:rsid w:val="002132E1"/>
    <w:rsid w:val="00214767"/>
    <w:rsid w:val="002157FF"/>
    <w:rsid w:val="002158A7"/>
    <w:rsid w:val="00217248"/>
    <w:rsid w:val="002173F7"/>
    <w:rsid w:val="00217429"/>
    <w:rsid w:val="0021759B"/>
    <w:rsid w:val="002200F7"/>
    <w:rsid w:val="00223FC7"/>
    <w:rsid w:val="00223FF7"/>
    <w:rsid w:val="0022448C"/>
    <w:rsid w:val="00224676"/>
    <w:rsid w:val="0022689B"/>
    <w:rsid w:val="00227A2F"/>
    <w:rsid w:val="00232C82"/>
    <w:rsid w:val="0023307A"/>
    <w:rsid w:val="00235FBE"/>
    <w:rsid w:val="00237172"/>
    <w:rsid w:val="0024184E"/>
    <w:rsid w:val="00241F14"/>
    <w:rsid w:val="002426BD"/>
    <w:rsid w:val="002429E5"/>
    <w:rsid w:val="002433BF"/>
    <w:rsid w:val="00243E20"/>
    <w:rsid w:val="00244BF1"/>
    <w:rsid w:val="00246E02"/>
    <w:rsid w:val="00246ED7"/>
    <w:rsid w:val="00250958"/>
    <w:rsid w:val="00251457"/>
    <w:rsid w:val="002524CD"/>
    <w:rsid w:val="00254663"/>
    <w:rsid w:val="00255BF4"/>
    <w:rsid w:val="00261133"/>
    <w:rsid w:val="0026124B"/>
    <w:rsid w:val="0026163E"/>
    <w:rsid w:val="00261F2C"/>
    <w:rsid w:val="0026607D"/>
    <w:rsid w:val="00266632"/>
    <w:rsid w:val="00267E99"/>
    <w:rsid w:val="00271055"/>
    <w:rsid w:val="00272348"/>
    <w:rsid w:val="00272463"/>
    <w:rsid w:val="00272D08"/>
    <w:rsid w:val="00273193"/>
    <w:rsid w:val="00274719"/>
    <w:rsid w:val="00274A6C"/>
    <w:rsid w:val="00275D8B"/>
    <w:rsid w:val="00277B4A"/>
    <w:rsid w:val="00277BD8"/>
    <w:rsid w:val="00281496"/>
    <w:rsid w:val="002835F3"/>
    <w:rsid w:val="00285AFC"/>
    <w:rsid w:val="00286791"/>
    <w:rsid w:val="0028711E"/>
    <w:rsid w:val="002877D5"/>
    <w:rsid w:val="002926C0"/>
    <w:rsid w:val="002945A6"/>
    <w:rsid w:val="002A0F98"/>
    <w:rsid w:val="002A1D99"/>
    <w:rsid w:val="002A1E7A"/>
    <w:rsid w:val="002A40C6"/>
    <w:rsid w:val="002A439F"/>
    <w:rsid w:val="002B0E05"/>
    <w:rsid w:val="002B0F62"/>
    <w:rsid w:val="002B31DB"/>
    <w:rsid w:val="002B465B"/>
    <w:rsid w:val="002B4DBD"/>
    <w:rsid w:val="002C0736"/>
    <w:rsid w:val="002C0F54"/>
    <w:rsid w:val="002C5CBB"/>
    <w:rsid w:val="002C65BE"/>
    <w:rsid w:val="002C6951"/>
    <w:rsid w:val="002D61D5"/>
    <w:rsid w:val="002E0C5E"/>
    <w:rsid w:val="002E1BEA"/>
    <w:rsid w:val="002E39AF"/>
    <w:rsid w:val="002E5F2D"/>
    <w:rsid w:val="002E7028"/>
    <w:rsid w:val="002E70D5"/>
    <w:rsid w:val="002E7E81"/>
    <w:rsid w:val="002F238A"/>
    <w:rsid w:val="002F3884"/>
    <w:rsid w:val="002F4B90"/>
    <w:rsid w:val="002F5F79"/>
    <w:rsid w:val="002F632D"/>
    <w:rsid w:val="002F7FC6"/>
    <w:rsid w:val="0030010D"/>
    <w:rsid w:val="00301C60"/>
    <w:rsid w:val="0030214E"/>
    <w:rsid w:val="00303C45"/>
    <w:rsid w:val="003064CE"/>
    <w:rsid w:val="003100F8"/>
    <w:rsid w:val="00312788"/>
    <w:rsid w:val="00313BAD"/>
    <w:rsid w:val="00313CD3"/>
    <w:rsid w:val="00316136"/>
    <w:rsid w:val="00320A71"/>
    <w:rsid w:val="0032569C"/>
    <w:rsid w:val="00326A8A"/>
    <w:rsid w:val="00327F42"/>
    <w:rsid w:val="00332553"/>
    <w:rsid w:val="00333158"/>
    <w:rsid w:val="003410FA"/>
    <w:rsid w:val="00344627"/>
    <w:rsid w:val="00346600"/>
    <w:rsid w:val="00355CEA"/>
    <w:rsid w:val="003566A8"/>
    <w:rsid w:val="003568E9"/>
    <w:rsid w:val="003571BA"/>
    <w:rsid w:val="00360E01"/>
    <w:rsid w:val="003639C6"/>
    <w:rsid w:val="003716A0"/>
    <w:rsid w:val="003723CF"/>
    <w:rsid w:val="00373BB6"/>
    <w:rsid w:val="003745FB"/>
    <w:rsid w:val="00374C56"/>
    <w:rsid w:val="003750ED"/>
    <w:rsid w:val="0037582E"/>
    <w:rsid w:val="00375B58"/>
    <w:rsid w:val="00375C28"/>
    <w:rsid w:val="00376252"/>
    <w:rsid w:val="00377CE5"/>
    <w:rsid w:val="00381F21"/>
    <w:rsid w:val="00383794"/>
    <w:rsid w:val="00384C3C"/>
    <w:rsid w:val="0038594F"/>
    <w:rsid w:val="00385BE9"/>
    <w:rsid w:val="00386D7A"/>
    <w:rsid w:val="003877FB"/>
    <w:rsid w:val="00393DFB"/>
    <w:rsid w:val="00396FDB"/>
    <w:rsid w:val="003A01D5"/>
    <w:rsid w:val="003A0D9F"/>
    <w:rsid w:val="003A566D"/>
    <w:rsid w:val="003B045C"/>
    <w:rsid w:val="003B2877"/>
    <w:rsid w:val="003B5763"/>
    <w:rsid w:val="003B64DE"/>
    <w:rsid w:val="003B7857"/>
    <w:rsid w:val="003B7B69"/>
    <w:rsid w:val="003C13E3"/>
    <w:rsid w:val="003C6987"/>
    <w:rsid w:val="003C79DE"/>
    <w:rsid w:val="003D0C6D"/>
    <w:rsid w:val="003D2390"/>
    <w:rsid w:val="003D35A2"/>
    <w:rsid w:val="003D5278"/>
    <w:rsid w:val="003D633D"/>
    <w:rsid w:val="003E17A7"/>
    <w:rsid w:val="003E20E0"/>
    <w:rsid w:val="003E336F"/>
    <w:rsid w:val="003E3A70"/>
    <w:rsid w:val="003E3DE0"/>
    <w:rsid w:val="003F35DE"/>
    <w:rsid w:val="003F4B01"/>
    <w:rsid w:val="003F4BD9"/>
    <w:rsid w:val="003F514B"/>
    <w:rsid w:val="003F6E58"/>
    <w:rsid w:val="00401892"/>
    <w:rsid w:val="00402948"/>
    <w:rsid w:val="00403F7B"/>
    <w:rsid w:val="0040425A"/>
    <w:rsid w:val="00404AEC"/>
    <w:rsid w:val="00406F7F"/>
    <w:rsid w:val="00407605"/>
    <w:rsid w:val="0040796A"/>
    <w:rsid w:val="00411DC2"/>
    <w:rsid w:val="00412AE3"/>
    <w:rsid w:val="00423CB0"/>
    <w:rsid w:val="00425FEA"/>
    <w:rsid w:val="0042731F"/>
    <w:rsid w:val="00432168"/>
    <w:rsid w:val="0043216F"/>
    <w:rsid w:val="00433642"/>
    <w:rsid w:val="00433785"/>
    <w:rsid w:val="00435AB3"/>
    <w:rsid w:val="00436B83"/>
    <w:rsid w:val="0044094F"/>
    <w:rsid w:val="00445C6C"/>
    <w:rsid w:val="00445F96"/>
    <w:rsid w:val="00446055"/>
    <w:rsid w:val="004460BB"/>
    <w:rsid w:val="0044728A"/>
    <w:rsid w:val="00447769"/>
    <w:rsid w:val="00451E2F"/>
    <w:rsid w:val="004553E4"/>
    <w:rsid w:val="00455ED4"/>
    <w:rsid w:val="00455FB5"/>
    <w:rsid w:val="00456D5E"/>
    <w:rsid w:val="0046016A"/>
    <w:rsid w:val="00461DCF"/>
    <w:rsid w:val="00462D2C"/>
    <w:rsid w:val="00467972"/>
    <w:rsid w:val="00470A0A"/>
    <w:rsid w:val="0047159B"/>
    <w:rsid w:val="00473FAE"/>
    <w:rsid w:val="00474D1E"/>
    <w:rsid w:val="00475D0F"/>
    <w:rsid w:val="00477CAD"/>
    <w:rsid w:val="00481431"/>
    <w:rsid w:val="00484816"/>
    <w:rsid w:val="00487F83"/>
    <w:rsid w:val="004901C2"/>
    <w:rsid w:val="00490B20"/>
    <w:rsid w:val="0049337D"/>
    <w:rsid w:val="0049365C"/>
    <w:rsid w:val="0049583F"/>
    <w:rsid w:val="004A0926"/>
    <w:rsid w:val="004A2C8C"/>
    <w:rsid w:val="004A46D7"/>
    <w:rsid w:val="004A6F6E"/>
    <w:rsid w:val="004B3911"/>
    <w:rsid w:val="004B52CF"/>
    <w:rsid w:val="004B5D78"/>
    <w:rsid w:val="004B6193"/>
    <w:rsid w:val="004B7B94"/>
    <w:rsid w:val="004C13CA"/>
    <w:rsid w:val="004C299C"/>
    <w:rsid w:val="004C66D5"/>
    <w:rsid w:val="004C7442"/>
    <w:rsid w:val="004C7AC3"/>
    <w:rsid w:val="004C7D5B"/>
    <w:rsid w:val="004C7FD2"/>
    <w:rsid w:val="004D0460"/>
    <w:rsid w:val="004D1443"/>
    <w:rsid w:val="004D2C87"/>
    <w:rsid w:val="004D3996"/>
    <w:rsid w:val="004D44FA"/>
    <w:rsid w:val="004D6AA5"/>
    <w:rsid w:val="004D7FFC"/>
    <w:rsid w:val="004E17FE"/>
    <w:rsid w:val="004E3B42"/>
    <w:rsid w:val="004E4466"/>
    <w:rsid w:val="004E6283"/>
    <w:rsid w:val="004F230F"/>
    <w:rsid w:val="004F25AD"/>
    <w:rsid w:val="004F440D"/>
    <w:rsid w:val="004F616C"/>
    <w:rsid w:val="00502687"/>
    <w:rsid w:val="00507C8E"/>
    <w:rsid w:val="00511EA7"/>
    <w:rsid w:val="00521FAF"/>
    <w:rsid w:val="00522AB8"/>
    <w:rsid w:val="00523B4D"/>
    <w:rsid w:val="00524CC3"/>
    <w:rsid w:val="00527BC1"/>
    <w:rsid w:val="00527CF8"/>
    <w:rsid w:val="00530866"/>
    <w:rsid w:val="00533E99"/>
    <w:rsid w:val="005357C2"/>
    <w:rsid w:val="00536360"/>
    <w:rsid w:val="00536B15"/>
    <w:rsid w:val="0053745A"/>
    <w:rsid w:val="005379C8"/>
    <w:rsid w:val="00537BA1"/>
    <w:rsid w:val="00540F9E"/>
    <w:rsid w:val="00542005"/>
    <w:rsid w:val="0054621C"/>
    <w:rsid w:val="005470F0"/>
    <w:rsid w:val="005477D2"/>
    <w:rsid w:val="005500D7"/>
    <w:rsid w:val="00552B18"/>
    <w:rsid w:val="00553DC2"/>
    <w:rsid w:val="0055409B"/>
    <w:rsid w:val="005546D1"/>
    <w:rsid w:val="00555188"/>
    <w:rsid w:val="005556AD"/>
    <w:rsid w:val="00555C3C"/>
    <w:rsid w:val="00556425"/>
    <w:rsid w:val="005567CE"/>
    <w:rsid w:val="005616B2"/>
    <w:rsid w:val="0056295A"/>
    <w:rsid w:val="00564866"/>
    <w:rsid w:val="00565AC8"/>
    <w:rsid w:val="005664FC"/>
    <w:rsid w:val="00567C29"/>
    <w:rsid w:val="00567F50"/>
    <w:rsid w:val="00570605"/>
    <w:rsid w:val="00575078"/>
    <w:rsid w:val="005762DD"/>
    <w:rsid w:val="005808FF"/>
    <w:rsid w:val="0058367B"/>
    <w:rsid w:val="00585CE7"/>
    <w:rsid w:val="00590FC2"/>
    <w:rsid w:val="00594C73"/>
    <w:rsid w:val="00594E2F"/>
    <w:rsid w:val="00595646"/>
    <w:rsid w:val="00595B69"/>
    <w:rsid w:val="00595EC5"/>
    <w:rsid w:val="00596197"/>
    <w:rsid w:val="005962DA"/>
    <w:rsid w:val="005A02E5"/>
    <w:rsid w:val="005A3093"/>
    <w:rsid w:val="005A6C26"/>
    <w:rsid w:val="005A7429"/>
    <w:rsid w:val="005A752E"/>
    <w:rsid w:val="005A7950"/>
    <w:rsid w:val="005B0830"/>
    <w:rsid w:val="005B0857"/>
    <w:rsid w:val="005B1EE7"/>
    <w:rsid w:val="005C1191"/>
    <w:rsid w:val="005C464A"/>
    <w:rsid w:val="005C5421"/>
    <w:rsid w:val="005C6B18"/>
    <w:rsid w:val="005D040D"/>
    <w:rsid w:val="005D162F"/>
    <w:rsid w:val="005D2A69"/>
    <w:rsid w:val="005D6774"/>
    <w:rsid w:val="005D6C59"/>
    <w:rsid w:val="005D766A"/>
    <w:rsid w:val="005D78E5"/>
    <w:rsid w:val="005E0CE4"/>
    <w:rsid w:val="005E529E"/>
    <w:rsid w:val="005E5C07"/>
    <w:rsid w:val="005E6B58"/>
    <w:rsid w:val="005E749D"/>
    <w:rsid w:val="005F1608"/>
    <w:rsid w:val="005F3D8A"/>
    <w:rsid w:val="006066D8"/>
    <w:rsid w:val="00607083"/>
    <w:rsid w:val="006120D0"/>
    <w:rsid w:val="006139B0"/>
    <w:rsid w:val="006157F4"/>
    <w:rsid w:val="00622C3E"/>
    <w:rsid w:val="00630C8A"/>
    <w:rsid w:val="00630D4D"/>
    <w:rsid w:val="0063105E"/>
    <w:rsid w:val="006315FC"/>
    <w:rsid w:val="00631AFB"/>
    <w:rsid w:val="00635236"/>
    <w:rsid w:val="00637795"/>
    <w:rsid w:val="00637AFC"/>
    <w:rsid w:val="00640D07"/>
    <w:rsid w:val="00641468"/>
    <w:rsid w:val="00642057"/>
    <w:rsid w:val="00642528"/>
    <w:rsid w:val="00644B17"/>
    <w:rsid w:val="00644DB7"/>
    <w:rsid w:val="0065095C"/>
    <w:rsid w:val="0065341E"/>
    <w:rsid w:val="00656D0C"/>
    <w:rsid w:val="0066073D"/>
    <w:rsid w:val="00662E1F"/>
    <w:rsid w:val="00664008"/>
    <w:rsid w:val="00665266"/>
    <w:rsid w:val="0066711D"/>
    <w:rsid w:val="00670865"/>
    <w:rsid w:val="00672A67"/>
    <w:rsid w:val="006774BE"/>
    <w:rsid w:val="00680633"/>
    <w:rsid w:val="00681F55"/>
    <w:rsid w:val="00682195"/>
    <w:rsid w:val="00683B95"/>
    <w:rsid w:val="00684789"/>
    <w:rsid w:val="006855F5"/>
    <w:rsid w:val="006867A7"/>
    <w:rsid w:val="00691432"/>
    <w:rsid w:val="006938FF"/>
    <w:rsid w:val="006944B1"/>
    <w:rsid w:val="00695231"/>
    <w:rsid w:val="006A4507"/>
    <w:rsid w:val="006A5AF5"/>
    <w:rsid w:val="006B37FE"/>
    <w:rsid w:val="006B38BC"/>
    <w:rsid w:val="006B5078"/>
    <w:rsid w:val="006B5FDB"/>
    <w:rsid w:val="006B67F7"/>
    <w:rsid w:val="006C2FF2"/>
    <w:rsid w:val="006C3BA9"/>
    <w:rsid w:val="006C4DD0"/>
    <w:rsid w:val="006C50A3"/>
    <w:rsid w:val="006C59BC"/>
    <w:rsid w:val="006C680D"/>
    <w:rsid w:val="006C75ED"/>
    <w:rsid w:val="006D0F1B"/>
    <w:rsid w:val="006D2564"/>
    <w:rsid w:val="006D2634"/>
    <w:rsid w:val="006D47A0"/>
    <w:rsid w:val="006D4881"/>
    <w:rsid w:val="006D4E62"/>
    <w:rsid w:val="006D4EAE"/>
    <w:rsid w:val="006E0CFA"/>
    <w:rsid w:val="006E0DB4"/>
    <w:rsid w:val="006E435A"/>
    <w:rsid w:val="006E5709"/>
    <w:rsid w:val="006E6786"/>
    <w:rsid w:val="006E6C8A"/>
    <w:rsid w:val="006F012D"/>
    <w:rsid w:val="006F12EB"/>
    <w:rsid w:val="006F19CF"/>
    <w:rsid w:val="006F322D"/>
    <w:rsid w:val="006F3676"/>
    <w:rsid w:val="006F5D64"/>
    <w:rsid w:val="006F61F9"/>
    <w:rsid w:val="006F63D5"/>
    <w:rsid w:val="006F754E"/>
    <w:rsid w:val="00701E7C"/>
    <w:rsid w:val="00704481"/>
    <w:rsid w:val="007049B9"/>
    <w:rsid w:val="00707DE4"/>
    <w:rsid w:val="00711407"/>
    <w:rsid w:val="00711662"/>
    <w:rsid w:val="00711E96"/>
    <w:rsid w:val="00713526"/>
    <w:rsid w:val="007142DA"/>
    <w:rsid w:val="007145E9"/>
    <w:rsid w:val="0071466C"/>
    <w:rsid w:val="007163A7"/>
    <w:rsid w:val="00720A3E"/>
    <w:rsid w:val="00721695"/>
    <w:rsid w:val="00721774"/>
    <w:rsid w:val="007274E9"/>
    <w:rsid w:val="00731587"/>
    <w:rsid w:val="0073163C"/>
    <w:rsid w:val="00734605"/>
    <w:rsid w:val="0073550F"/>
    <w:rsid w:val="007362C2"/>
    <w:rsid w:val="00736858"/>
    <w:rsid w:val="00740BF8"/>
    <w:rsid w:val="0074104D"/>
    <w:rsid w:val="00741AC2"/>
    <w:rsid w:val="00747BA2"/>
    <w:rsid w:val="007502FE"/>
    <w:rsid w:val="007520C7"/>
    <w:rsid w:val="00752881"/>
    <w:rsid w:val="00755F90"/>
    <w:rsid w:val="00756D4B"/>
    <w:rsid w:val="00761B26"/>
    <w:rsid w:val="00763CD6"/>
    <w:rsid w:val="00763DAA"/>
    <w:rsid w:val="00764C68"/>
    <w:rsid w:val="00764D7A"/>
    <w:rsid w:val="00765885"/>
    <w:rsid w:val="00767275"/>
    <w:rsid w:val="007715AA"/>
    <w:rsid w:val="00772D7D"/>
    <w:rsid w:val="007776F4"/>
    <w:rsid w:val="00780EFE"/>
    <w:rsid w:val="00781729"/>
    <w:rsid w:val="00786D59"/>
    <w:rsid w:val="007938BA"/>
    <w:rsid w:val="007A0287"/>
    <w:rsid w:val="007A1A20"/>
    <w:rsid w:val="007A31A8"/>
    <w:rsid w:val="007A3D1C"/>
    <w:rsid w:val="007A5AB2"/>
    <w:rsid w:val="007A7743"/>
    <w:rsid w:val="007A7911"/>
    <w:rsid w:val="007B0F7F"/>
    <w:rsid w:val="007B14ED"/>
    <w:rsid w:val="007B5EB9"/>
    <w:rsid w:val="007C0FA7"/>
    <w:rsid w:val="007C123B"/>
    <w:rsid w:val="007C22CD"/>
    <w:rsid w:val="007C5AF0"/>
    <w:rsid w:val="007C6D11"/>
    <w:rsid w:val="007C7B5A"/>
    <w:rsid w:val="007D5B21"/>
    <w:rsid w:val="007D5EFD"/>
    <w:rsid w:val="007E0457"/>
    <w:rsid w:val="007E0A1C"/>
    <w:rsid w:val="007E1F73"/>
    <w:rsid w:val="007E21AB"/>
    <w:rsid w:val="007E28E0"/>
    <w:rsid w:val="007E377F"/>
    <w:rsid w:val="007E42F4"/>
    <w:rsid w:val="007E4B0C"/>
    <w:rsid w:val="007F16B4"/>
    <w:rsid w:val="007F5141"/>
    <w:rsid w:val="007F5FA8"/>
    <w:rsid w:val="007F651F"/>
    <w:rsid w:val="008009BC"/>
    <w:rsid w:val="008012C4"/>
    <w:rsid w:val="00801FBA"/>
    <w:rsid w:val="008023FE"/>
    <w:rsid w:val="00802B46"/>
    <w:rsid w:val="008066E6"/>
    <w:rsid w:val="0080704C"/>
    <w:rsid w:val="008079C5"/>
    <w:rsid w:val="00807A1E"/>
    <w:rsid w:val="00810407"/>
    <w:rsid w:val="00812DFF"/>
    <w:rsid w:val="008138E0"/>
    <w:rsid w:val="0081468C"/>
    <w:rsid w:val="008207D4"/>
    <w:rsid w:val="00820DB5"/>
    <w:rsid w:val="00822A89"/>
    <w:rsid w:val="00832056"/>
    <w:rsid w:val="008326F9"/>
    <w:rsid w:val="008336FE"/>
    <w:rsid w:val="008349BF"/>
    <w:rsid w:val="00834D41"/>
    <w:rsid w:val="00840681"/>
    <w:rsid w:val="00840E83"/>
    <w:rsid w:val="00841AFC"/>
    <w:rsid w:val="00842803"/>
    <w:rsid w:val="008454D2"/>
    <w:rsid w:val="0084758C"/>
    <w:rsid w:val="00847DA5"/>
    <w:rsid w:val="00850270"/>
    <w:rsid w:val="0085172A"/>
    <w:rsid w:val="008527CE"/>
    <w:rsid w:val="00854199"/>
    <w:rsid w:val="00854793"/>
    <w:rsid w:val="00864EC0"/>
    <w:rsid w:val="00866F39"/>
    <w:rsid w:val="00871A3A"/>
    <w:rsid w:val="00874FC3"/>
    <w:rsid w:val="008757A2"/>
    <w:rsid w:val="00882845"/>
    <w:rsid w:val="0088303A"/>
    <w:rsid w:val="00887E21"/>
    <w:rsid w:val="00893DBA"/>
    <w:rsid w:val="00894561"/>
    <w:rsid w:val="008952C0"/>
    <w:rsid w:val="008A248F"/>
    <w:rsid w:val="008A329C"/>
    <w:rsid w:val="008A391A"/>
    <w:rsid w:val="008A3B12"/>
    <w:rsid w:val="008A5519"/>
    <w:rsid w:val="008A74C3"/>
    <w:rsid w:val="008B0ECA"/>
    <w:rsid w:val="008B4E00"/>
    <w:rsid w:val="008B50CB"/>
    <w:rsid w:val="008B5B5A"/>
    <w:rsid w:val="008B722F"/>
    <w:rsid w:val="008C6419"/>
    <w:rsid w:val="008C686C"/>
    <w:rsid w:val="008D012F"/>
    <w:rsid w:val="008D128E"/>
    <w:rsid w:val="008D1D83"/>
    <w:rsid w:val="008D2AAB"/>
    <w:rsid w:val="008D5BA6"/>
    <w:rsid w:val="008D605F"/>
    <w:rsid w:val="008D68B9"/>
    <w:rsid w:val="008D7817"/>
    <w:rsid w:val="008E0252"/>
    <w:rsid w:val="008E05F6"/>
    <w:rsid w:val="008E07F7"/>
    <w:rsid w:val="008E272E"/>
    <w:rsid w:val="008E7E2B"/>
    <w:rsid w:val="008E7F25"/>
    <w:rsid w:val="008F20BE"/>
    <w:rsid w:val="008F221E"/>
    <w:rsid w:val="008F38E6"/>
    <w:rsid w:val="008F593B"/>
    <w:rsid w:val="00900023"/>
    <w:rsid w:val="00906895"/>
    <w:rsid w:val="00911BC3"/>
    <w:rsid w:val="00917F28"/>
    <w:rsid w:val="00922E32"/>
    <w:rsid w:val="00924439"/>
    <w:rsid w:val="009253F0"/>
    <w:rsid w:val="009262B5"/>
    <w:rsid w:val="009270E7"/>
    <w:rsid w:val="009272D1"/>
    <w:rsid w:val="00927EB6"/>
    <w:rsid w:val="00930F39"/>
    <w:rsid w:val="009324F6"/>
    <w:rsid w:val="00933078"/>
    <w:rsid w:val="009331B9"/>
    <w:rsid w:val="00934B51"/>
    <w:rsid w:val="00935A49"/>
    <w:rsid w:val="0093666A"/>
    <w:rsid w:val="00946E72"/>
    <w:rsid w:val="00955891"/>
    <w:rsid w:val="009567C9"/>
    <w:rsid w:val="0096071C"/>
    <w:rsid w:val="00961010"/>
    <w:rsid w:val="00962269"/>
    <w:rsid w:val="0096632E"/>
    <w:rsid w:val="00972D3C"/>
    <w:rsid w:val="009777CB"/>
    <w:rsid w:val="00980BC7"/>
    <w:rsid w:val="00980BE7"/>
    <w:rsid w:val="00982CEC"/>
    <w:rsid w:val="0098663C"/>
    <w:rsid w:val="009906D2"/>
    <w:rsid w:val="0099102A"/>
    <w:rsid w:val="00991D5F"/>
    <w:rsid w:val="00994A30"/>
    <w:rsid w:val="00997408"/>
    <w:rsid w:val="009A0980"/>
    <w:rsid w:val="009A2A3A"/>
    <w:rsid w:val="009A7EB9"/>
    <w:rsid w:val="009B2435"/>
    <w:rsid w:val="009B2B4C"/>
    <w:rsid w:val="009B3F22"/>
    <w:rsid w:val="009B4F22"/>
    <w:rsid w:val="009B5634"/>
    <w:rsid w:val="009B6C68"/>
    <w:rsid w:val="009B7CFD"/>
    <w:rsid w:val="009C0BBE"/>
    <w:rsid w:val="009C1BD3"/>
    <w:rsid w:val="009C22B3"/>
    <w:rsid w:val="009C2D5D"/>
    <w:rsid w:val="009C3079"/>
    <w:rsid w:val="009C3411"/>
    <w:rsid w:val="009C3503"/>
    <w:rsid w:val="009C4535"/>
    <w:rsid w:val="009C51BF"/>
    <w:rsid w:val="009C53B2"/>
    <w:rsid w:val="009C650F"/>
    <w:rsid w:val="009D366A"/>
    <w:rsid w:val="009D3FBB"/>
    <w:rsid w:val="009D52E0"/>
    <w:rsid w:val="009E0298"/>
    <w:rsid w:val="009E0499"/>
    <w:rsid w:val="009E0A08"/>
    <w:rsid w:val="009E1B6B"/>
    <w:rsid w:val="009E1D66"/>
    <w:rsid w:val="009E458D"/>
    <w:rsid w:val="009F193E"/>
    <w:rsid w:val="009F21B8"/>
    <w:rsid w:val="009F319A"/>
    <w:rsid w:val="009F54C8"/>
    <w:rsid w:val="009F5768"/>
    <w:rsid w:val="009F5A36"/>
    <w:rsid w:val="009F72A0"/>
    <w:rsid w:val="009F7707"/>
    <w:rsid w:val="009F77E9"/>
    <w:rsid w:val="009F7DCE"/>
    <w:rsid w:val="00A0037E"/>
    <w:rsid w:val="00A01AFE"/>
    <w:rsid w:val="00A02C6E"/>
    <w:rsid w:val="00A03514"/>
    <w:rsid w:val="00A04B85"/>
    <w:rsid w:val="00A115A0"/>
    <w:rsid w:val="00A12C51"/>
    <w:rsid w:val="00A1366A"/>
    <w:rsid w:val="00A14B10"/>
    <w:rsid w:val="00A16DC6"/>
    <w:rsid w:val="00A16DEA"/>
    <w:rsid w:val="00A1730A"/>
    <w:rsid w:val="00A25236"/>
    <w:rsid w:val="00A30CDC"/>
    <w:rsid w:val="00A317AD"/>
    <w:rsid w:val="00A32818"/>
    <w:rsid w:val="00A3388A"/>
    <w:rsid w:val="00A3409F"/>
    <w:rsid w:val="00A342E9"/>
    <w:rsid w:val="00A350DF"/>
    <w:rsid w:val="00A44258"/>
    <w:rsid w:val="00A461B8"/>
    <w:rsid w:val="00A46504"/>
    <w:rsid w:val="00A46599"/>
    <w:rsid w:val="00A47AC8"/>
    <w:rsid w:val="00A47D0A"/>
    <w:rsid w:val="00A50168"/>
    <w:rsid w:val="00A50C26"/>
    <w:rsid w:val="00A53DAE"/>
    <w:rsid w:val="00A54876"/>
    <w:rsid w:val="00A5500C"/>
    <w:rsid w:val="00A55731"/>
    <w:rsid w:val="00A5646F"/>
    <w:rsid w:val="00A56A43"/>
    <w:rsid w:val="00A57AE9"/>
    <w:rsid w:val="00A62576"/>
    <w:rsid w:val="00A63650"/>
    <w:rsid w:val="00A63F7C"/>
    <w:rsid w:val="00A65FDA"/>
    <w:rsid w:val="00A66C7B"/>
    <w:rsid w:val="00A67B3C"/>
    <w:rsid w:val="00A77C4F"/>
    <w:rsid w:val="00A77D88"/>
    <w:rsid w:val="00A80D59"/>
    <w:rsid w:val="00A8137A"/>
    <w:rsid w:val="00A841EB"/>
    <w:rsid w:val="00A86A57"/>
    <w:rsid w:val="00A87210"/>
    <w:rsid w:val="00A91015"/>
    <w:rsid w:val="00A9107D"/>
    <w:rsid w:val="00A91549"/>
    <w:rsid w:val="00A9241C"/>
    <w:rsid w:val="00A92862"/>
    <w:rsid w:val="00A93362"/>
    <w:rsid w:val="00A93A92"/>
    <w:rsid w:val="00A97CD9"/>
    <w:rsid w:val="00A97D29"/>
    <w:rsid w:val="00AA48F2"/>
    <w:rsid w:val="00AA5307"/>
    <w:rsid w:val="00AA6907"/>
    <w:rsid w:val="00AB3724"/>
    <w:rsid w:val="00AB4524"/>
    <w:rsid w:val="00AB4D34"/>
    <w:rsid w:val="00AB53E7"/>
    <w:rsid w:val="00AB6891"/>
    <w:rsid w:val="00AB7755"/>
    <w:rsid w:val="00AC2933"/>
    <w:rsid w:val="00AC33BD"/>
    <w:rsid w:val="00AD1855"/>
    <w:rsid w:val="00AD1DD2"/>
    <w:rsid w:val="00AD3063"/>
    <w:rsid w:val="00AE361F"/>
    <w:rsid w:val="00AE49F2"/>
    <w:rsid w:val="00AE4E9E"/>
    <w:rsid w:val="00AE554B"/>
    <w:rsid w:val="00AE5D85"/>
    <w:rsid w:val="00AE5FF0"/>
    <w:rsid w:val="00AE604E"/>
    <w:rsid w:val="00AF65C3"/>
    <w:rsid w:val="00B01DD6"/>
    <w:rsid w:val="00B02DE3"/>
    <w:rsid w:val="00B05E7D"/>
    <w:rsid w:val="00B06227"/>
    <w:rsid w:val="00B1091D"/>
    <w:rsid w:val="00B130D2"/>
    <w:rsid w:val="00B131EB"/>
    <w:rsid w:val="00B1369D"/>
    <w:rsid w:val="00B1427D"/>
    <w:rsid w:val="00B1516A"/>
    <w:rsid w:val="00B15594"/>
    <w:rsid w:val="00B21E32"/>
    <w:rsid w:val="00B22405"/>
    <w:rsid w:val="00B2343F"/>
    <w:rsid w:val="00B23BA3"/>
    <w:rsid w:val="00B25AAC"/>
    <w:rsid w:val="00B2741A"/>
    <w:rsid w:val="00B30AC8"/>
    <w:rsid w:val="00B31921"/>
    <w:rsid w:val="00B31C04"/>
    <w:rsid w:val="00B328B9"/>
    <w:rsid w:val="00B33C5C"/>
    <w:rsid w:val="00B3415F"/>
    <w:rsid w:val="00B3494C"/>
    <w:rsid w:val="00B35ADC"/>
    <w:rsid w:val="00B3626F"/>
    <w:rsid w:val="00B362F4"/>
    <w:rsid w:val="00B37011"/>
    <w:rsid w:val="00B37929"/>
    <w:rsid w:val="00B400F7"/>
    <w:rsid w:val="00B410F4"/>
    <w:rsid w:val="00B4263A"/>
    <w:rsid w:val="00B42BEB"/>
    <w:rsid w:val="00B518B7"/>
    <w:rsid w:val="00B51BBC"/>
    <w:rsid w:val="00B52287"/>
    <w:rsid w:val="00B5311A"/>
    <w:rsid w:val="00B550B1"/>
    <w:rsid w:val="00B55990"/>
    <w:rsid w:val="00B60B47"/>
    <w:rsid w:val="00B6583B"/>
    <w:rsid w:val="00B670B8"/>
    <w:rsid w:val="00B7297E"/>
    <w:rsid w:val="00B73E4C"/>
    <w:rsid w:val="00B77270"/>
    <w:rsid w:val="00B80A38"/>
    <w:rsid w:val="00B80A3A"/>
    <w:rsid w:val="00B80C2E"/>
    <w:rsid w:val="00B81530"/>
    <w:rsid w:val="00B83C9F"/>
    <w:rsid w:val="00B843C9"/>
    <w:rsid w:val="00B85F4D"/>
    <w:rsid w:val="00B91248"/>
    <w:rsid w:val="00B92A7B"/>
    <w:rsid w:val="00B948A6"/>
    <w:rsid w:val="00B94ED9"/>
    <w:rsid w:val="00B960B5"/>
    <w:rsid w:val="00B97578"/>
    <w:rsid w:val="00BA09C7"/>
    <w:rsid w:val="00BA1A2C"/>
    <w:rsid w:val="00BA396D"/>
    <w:rsid w:val="00BB117B"/>
    <w:rsid w:val="00BB2B91"/>
    <w:rsid w:val="00BB2F43"/>
    <w:rsid w:val="00BB37BE"/>
    <w:rsid w:val="00BB3A86"/>
    <w:rsid w:val="00BB430B"/>
    <w:rsid w:val="00BB4F82"/>
    <w:rsid w:val="00BB5A63"/>
    <w:rsid w:val="00BC2CCF"/>
    <w:rsid w:val="00BC3232"/>
    <w:rsid w:val="00BC5A0B"/>
    <w:rsid w:val="00BD0987"/>
    <w:rsid w:val="00BD1260"/>
    <w:rsid w:val="00BE2F61"/>
    <w:rsid w:val="00BE59FA"/>
    <w:rsid w:val="00BE6519"/>
    <w:rsid w:val="00BF245D"/>
    <w:rsid w:val="00BF368E"/>
    <w:rsid w:val="00BF3805"/>
    <w:rsid w:val="00BF4ED3"/>
    <w:rsid w:val="00BF5A29"/>
    <w:rsid w:val="00BF6CEE"/>
    <w:rsid w:val="00C01D13"/>
    <w:rsid w:val="00C020B4"/>
    <w:rsid w:val="00C04F7A"/>
    <w:rsid w:val="00C05102"/>
    <w:rsid w:val="00C05951"/>
    <w:rsid w:val="00C05A01"/>
    <w:rsid w:val="00C067EB"/>
    <w:rsid w:val="00C068B5"/>
    <w:rsid w:val="00C14EE7"/>
    <w:rsid w:val="00C15DD9"/>
    <w:rsid w:val="00C20CA8"/>
    <w:rsid w:val="00C23E19"/>
    <w:rsid w:val="00C25E27"/>
    <w:rsid w:val="00C26877"/>
    <w:rsid w:val="00C26FB7"/>
    <w:rsid w:val="00C27737"/>
    <w:rsid w:val="00C27BD0"/>
    <w:rsid w:val="00C30B8E"/>
    <w:rsid w:val="00C30FBC"/>
    <w:rsid w:val="00C31412"/>
    <w:rsid w:val="00C32916"/>
    <w:rsid w:val="00C32D17"/>
    <w:rsid w:val="00C336EE"/>
    <w:rsid w:val="00C36A1B"/>
    <w:rsid w:val="00C37114"/>
    <w:rsid w:val="00C42F8A"/>
    <w:rsid w:val="00C46260"/>
    <w:rsid w:val="00C47CCC"/>
    <w:rsid w:val="00C50D2F"/>
    <w:rsid w:val="00C52B71"/>
    <w:rsid w:val="00C53B74"/>
    <w:rsid w:val="00C53E4C"/>
    <w:rsid w:val="00C56075"/>
    <w:rsid w:val="00C573CE"/>
    <w:rsid w:val="00C57D97"/>
    <w:rsid w:val="00C61904"/>
    <w:rsid w:val="00C63958"/>
    <w:rsid w:val="00C64030"/>
    <w:rsid w:val="00C649AE"/>
    <w:rsid w:val="00C64CFD"/>
    <w:rsid w:val="00C64F87"/>
    <w:rsid w:val="00C652CA"/>
    <w:rsid w:val="00C66541"/>
    <w:rsid w:val="00C66DC8"/>
    <w:rsid w:val="00C72894"/>
    <w:rsid w:val="00C74AB8"/>
    <w:rsid w:val="00C7762C"/>
    <w:rsid w:val="00C80FE4"/>
    <w:rsid w:val="00C84C57"/>
    <w:rsid w:val="00C862E2"/>
    <w:rsid w:val="00C92515"/>
    <w:rsid w:val="00C946D3"/>
    <w:rsid w:val="00C9599B"/>
    <w:rsid w:val="00CA01AA"/>
    <w:rsid w:val="00CA0778"/>
    <w:rsid w:val="00CA1F1A"/>
    <w:rsid w:val="00CA4016"/>
    <w:rsid w:val="00CA779B"/>
    <w:rsid w:val="00CA7F33"/>
    <w:rsid w:val="00CB2A3A"/>
    <w:rsid w:val="00CB419C"/>
    <w:rsid w:val="00CB53B2"/>
    <w:rsid w:val="00CB6A07"/>
    <w:rsid w:val="00CB7510"/>
    <w:rsid w:val="00CB7FE8"/>
    <w:rsid w:val="00CC00C0"/>
    <w:rsid w:val="00CC4136"/>
    <w:rsid w:val="00CC4E15"/>
    <w:rsid w:val="00CC5450"/>
    <w:rsid w:val="00CC773E"/>
    <w:rsid w:val="00CC7FC7"/>
    <w:rsid w:val="00CD216E"/>
    <w:rsid w:val="00CD34C9"/>
    <w:rsid w:val="00CD4509"/>
    <w:rsid w:val="00CD46CC"/>
    <w:rsid w:val="00CD5F23"/>
    <w:rsid w:val="00CD5FEE"/>
    <w:rsid w:val="00CD7666"/>
    <w:rsid w:val="00CE0607"/>
    <w:rsid w:val="00CE11DE"/>
    <w:rsid w:val="00CE1BCE"/>
    <w:rsid w:val="00CE27D1"/>
    <w:rsid w:val="00CE2C23"/>
    <w:rsid w:val="00CF456D"/>
    <w:rsid w:val="00CF4BDC"/>
    <w:rsid w:val="00CF4F55"/>
    <w:rsid w:val="00CF553B"/>
    <w:rsid w:val="00CF5832"/>
    <w:rsid w:val="00D0493E"/>
    <w:rsid w:val="00D04C66"/>
    <w:rsid w:val="00D07FA0"/>
    <w:rsid w:val="00D102C7"/>
    <w:rsid w:val="00D115CC"/>
    <w:rsid w:val="00D12EEE"/>
    <w:rsid w:val="00D15B08"/>
    <w:rsid w:val="00D20A25"/>
    <w:rsid w:val="00D20D33"/>
    <w:rsid w:val="00D20EC3"/>
    <w:rsid w:val="00D21D0D"/>
    <w:rsid w:val="00D2329F"/>
    <w:rsid w:val="00D236E2"/>
    <w:rsid w:val="00D3212C"/>
    <w:rsid w:val="00D34751"/>
    <w:rsid w:val="00D348CC"/>
    <w:rsid w:val="00D351A9"/>
    <w:rsid w:val="00D3712D"/>
    <w:rsid w:val="00D40960"/>
    <w:rsid w:val="00D40DF3"/>
    <w:rsid w:val="00D41732"/>
    <w:rsid w:val="00D4243B"/>
    <w:rsid w:val="00D42E55"/>
    <w:rsid w:val="00D43822"/>
    <w:rsid w:val="00D47D98"/>
    <w:rsid w:val="00D5258B"/>
    <w:rsid w:val="00D54364"/>
    <w:rsid w:val="00D54B44"/>
    <w:rsid w:val="00D54CD1"/>
    <w:rsid w:val="00D56411"/>
    <w:rsid w:val="00D56FE1"/>
    <w:rsid w:val="00D57C9F"/>
    <w:rsid w:val="00D60B01"/>
    <w:rsid w:val="00D63667"/>
    <w:rsid w:val="00D63FB5"/>
    <w:rsid w:val="00D644FF"/>
    <w:rsid w:val="00D713CF"/>
    <w:rsid w:val="00D71B65"/>
    <w:rsid w:val="00D73A99"/>
    <w:rsid w:val="00D73B29"/>
    <w:rsid w:val="00D749CC"/>
    <w:rsid w:val="00D75044"/>
    <w:rsid w:val="00D76123"/>
    <w:rsid w:val="00D77988"/>
    <w:rsid w:val="00D86AAE"/>
    <w:rsid w:val="00D86B1D"/>
    <w:rsid w:val="00D87640"/>
    <w:rsid w:val="00D9160A"/>
    <w:rsid w:val="00D93F3C"/>
    <w:rsid w:val="00D96C6C"/>
    <w:rsid w:val="00D974C8"/>
    <w:rsid w:val="00DA482C"/>
    <w:rsid w:val="00DA6D5F"/>
    <w:rsid w:val="00DA7959"/>
    <w:rsid w:val="00DB0E60"/>
    <w:rsid w:val="00DB0EC5"/>
    <w:rsid w:val="00DB1C60"/>
    <w:rsid w:val="00DB2C0C"/>
    <w:rsid w:val="00DB5331"/>
    <w:rsid w:val="00DB6FD8"/>
    <w:rsid w:val="00DB7495"/>
    <w:rsid w:val="00DB786F"/>
    <w:rsid w:val="00DC0089"/>
    <w:rsid w:val="00DC316C"/>
    <w:rsid w:val="00DC6C55"/>
    <w:rsid w:val="00DC7072"/>
    <w:rsid w:val="00DC7722"/>
    <w:rsid w:val="00DD2A21"/>
    <w:rsid w:val="00DD7F92"/>
    <w:rsid w:val="00DE1CDA"/>
    <w:rsid w:val="00DE46B3"/>
    <w:rsid w:val="00DE553A"/>
    <w:rsid w:val="00DE6194"/>
    <w:rsid w:val="00DE6518"/>
    <w:rsid w:val="00DF12E7"/>
    <w:rsid w:val="00DF18C7"/>
    <w:rsid w:val="00DF5812"/>
    <w:rsid w:val="00DF789B"/>
    <w:rsid w:val="00E02153"/>
    <w:rsid w:val="00E05284"/>
    <w:rsid w:val="00E070D8"/>
    <w:rsid w:val="00E130B9"/>
    <w:rsid w:val="00E13246"/>
    <w:rsid w:val="00E13C47"/>
    <w:rsid w:val="00E13CFB"/>
    <w:rsid w:val="00E144C5"/>
    <w:rsid w:val="00E15DB3"/>
    <w:rsid w:val="00E1746F"/>
    <w:rsid w:val="00E207A6"/>
    <w:rsid w:val="00E21168"/>
    <w:rsid w:val="00E254C8"/>
    <w:rsid w:val="00E25D2A"/>
    <w:rsid w:val="00E26D2B"/>
    <w:rsid w:val="00E27A5C"/>
    <w:rsid w:val="00E30D49"/>
    <w:rsid w:val="00E30EA3"/>
    <w:rsid w:val="00E33149"/>
    <w:rsid w:val="00E347E7"/>
    <w:rsid w:val="00E35353"/>
    <w:rsid w:val="00E36E78"/>
    <w:rsid w:val="00E40926"/>
    <w:rsid w:val="00E43868"/>
    <w:rsid w:val="00E50E66"/>
    <w:rsid w:val="00E52145"/>
    <w:rsid w:val="00E55D86"/>
    <w:rsid w:val="00E56421"/>
    <w:rsid w:val="00E61088"/>
    <w:rsid w:val="00E622D7"/>
    <w:rsid w:val="00E630EC"/>
    <w:rsid w:val="00E6337D"/>
    <w:rsid w:val="00E633EF"/>
    <w:rsid w:val="00E6344B"/>
    <w:rsid w:val="00E638DB"/>
    <w:rsid w:val="00E639EC"/>
    <w:rsid w:val="00E64F0B"/>
    <w:rsid w:val="00E671A9"/>
    <w:rsid w:val="00E67F3B"/>
    <w:rsid w:val="00E7256F"/>
    <w:rsid w:val="00E7313F"/>
    <w:rsid w:val="00E75A93"/>
    <w:rsid w:val="00E81F3D"/>
    <w:rsid w:val="00E8254E"/>
    <w:rsid w:val="00E83372"/>
    <w:rsid w:val="00E83CCC"/>
    <w:rsid w:val="00E84A0F"/>
    <w:rsid w:val="00E85B2A"/>
    <w:rsid w:val="00E90BC8"/>
    <w:rsid w:val="00E953AD"/>
    <w:rsid w:val="00EA1B56"/>
    <w:rsid w:val="00EA2CB0"/>
    <w:rsid w:val="00EA77A5"/>
    <w:rsid w:val="00EB256E"/>
    <w:rsid w:val="00EB75D5"/>
    <w:rsid w:val="00EC0C2D"/>
    <w:rsid w:val="00EC0D96"/>
    <w:rsid w:val="00EC50A8"/>
    <w:rsid w:val="00EC54A6"/>
    <w:rsid w:val="00EC581C"/>
    <w:rsid w:val="00ED2233"/>
    <w:rsid w:val="00ED2EEB"/>
    <w:rsid w:val="00ED6130"/>
    <w:rsid w:val="00ED6DC5"/>
    <w:rsid w:val="00ED7721"/>
    <w:rsid w:val="00ED7981"/>
    <w:rsid w:val="00EE589D"/>
    <w:rsid w:val="00EE5F9A"/>
    <w:rsid w:val="00EF3D7E"/>
    <w:rsid w:val="00EF56E0"/>
    <w:rsid w:val="00EF5804"/>
    <w:rsid w:val="00F01C57"/>
    <w:rsid w:val="00F0711E"/>
    <w:rsid w:val="00F07240"/>
    <w:rsid w:val="00F122CC"/>
    <w:rsid w:val="00F1312E"/>
    <w:rsid w:val="00F14EE3"/>
    <w:rsid w:val="00F16EA2"/>
    <w:rsid w:val="00F2084A"/>
    <w:rsid w:val="00F215C6"/>
    <w:rsid w:val="00F31FE0"/>
    <w:rsid w:val="00F326F7"/>
    <w:rsid w:val="00F3766F"/>
    <w:rsid w:val="00F40B21"/>
    <w:rsid w:val="00F44D4E"/>
    <w:rsid w:val="00F4632C"/>
    <w:rsid w:val="00F471D3"/>
    <w:rsid w:val="00F47EAD"/>
    <w:rsid w:val="00F50C4A"/>
    <w:rsid w:val="00F52097"/>
    <w:rsid w:val="00F521BA"/>
    <w:rsid w:val="00F55090"/>
    <w:rsid w:val="00F6097D"/>
    <w:rsid w:val="00F65DA2"/>
    <w:rsid w:val="00F66B9D"/>
    <w:rsid w:val="00F67B60"/>
    <w:rsid w:val="00F706BD"/>
    <w:rsid w:val="00F70C25"/>
    <w:rsid w:val="00F75D36"/>
    <w:rsid w:val="00F817BF"/>
    <w:rsid w:val="00F84BCB"/>
    <w:rsid w:val="00F8604E"/>
    <w:rsid w:val="00F93E61"/>
    <w:rsid w:val="00F94FB6"/>
    <w:rsid w:val="00F9556B"/>
    <w:rsid w:val="00F96137"/>
    <w:rsid w:val="00F96B50"/>
    <w:rsid w:val="00F96EDE"/>
    <w:rsid w:val="00F97096"/>
    <w:rsid w:val="00FA4FBA"/>
    <w:rsid w:val="00FA630C"/>
    <w:rsid w:val="00FA765D"/>
    <w:rsid w:val="00FB3272"/>
    <w:rsid w:val="00FB3992"/>
    <w:rsid w:val="00FC031C"/>
    <w:rsid w:val="00FC4C95"/>
    <w:rsid w:val="00FC66C8"/>
    <w:rsid w:val="00FD12F5"/>
    <w:rsid w:val="00FD4F55"/>
    <w:rsid w:val="00FD79FE"/>
    <w:rsid w:val="00FE1583"/>
    <w:rsid w:val="00FE1B65"/>
    <w:rsid w:val="00FE6758"/>
    <w:rsid w:val="00FE6D0A"/>
    <w:rsid w:val="00FE7288"/>
    <w:rsid w:val="00FE7456"/>
    <w:rsid w:val="00FE7580"/>
    <w:rsid w:val="00FE75BA"/>
    <w:rsid w:val="00FF2445"/>
    <w:rsid w:val="00FF260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35DB95"/>
  <w15:docId w15:val="{AE1919A5-403E-470C-8D66-38EB6FDA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3A7"/>
    <w:pPr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410F4"/>
    <w:pPr>
      <w:keepNext/>
      <w:jc w:val="center"/>
      <w:outlineLvl w:val="0"/>
    </w:pPr>
    <w:rPr>
      <w:b/>
      <w:bCs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54B44"/>
    <w:pPr>
      <w:keepNext/>
      <w:keepLines/>
      <w:numPr>
        <w:numId w:val="4"/>
      </w:numPr>
      <w:spacing w:before="360" w:after="120"/>
      <w:ind w:left="113" w:hanging="113"/>
      <w:outlineLvl w:val="1"/>
    </w:pPr>
    <w:rPr>
      <w:rFonts w:eastAsiaTheme="majorEastAsia" w:cstheme="majorBidi"/>
      <w:b/>
      <w:color w:val="auto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AB3724"/>
    <w:rPr>
      <w:b/>
      <w:bCs/>
    </w:rPr>
  </w:style>
  <w:style w:type="table" w:styleId="Mkatabulky">
    <w:name w:val="Table Grid"/>
    <w:basedOn w:val="Normlntabulka"/>
    <w:uiPriority w:val="39"/>
    <w:rsid w:val="00AB3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Nad,Nadpis pro KZ,odrážky,List Paragraph_0,List Paragraph_1,List Paragraph_2,Odstavec se seznamem1,Odstavec se seznamem2,můj Nadpis 2,List Paragraph,Odstavec cíl se seznamem,Odstavec_muj,Odstavec se seznamem5,_Odstavec se seznamem"/>
    <w:basedOn w:val="Normln"/>
    <w:link w:val="OdstavecseseznamemChar"/>
    <w:uiPriority w:val="35"/>
    <w:qFormat/>
    <w:rsid w:val="00AB3724"/>
    <w:pPr>
      <w:ind w:left="720"/>
      <w:contextualSpacing/>
    </w:pPr>
  </w:style>
  <w:style w:type="character" w:customStyle="1" w:styleId="OdstavecseseznamemChar">
    <w:name w:val="Odstavec se seznamem Char"/>
    <w:aliases w:val="Nad Char,Nadpis pro KZ Char,odrážky Char,List Paragraph_0 Char,List Paragraph_1 Char,List Paragraph_2 Char,Odstavec se seznamem1 Char,Odstavec se seznamem2 Char,můj Nadpis 2 Char,List Paragraph Char,Odstavec_muj Char"/>
    <w:link w:val="Odstavecseseznamem"/>
    <w:uiPriority w:val="34"/>
    <w:rsid w:val="00AB3724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18">
    <w:name w:val="Pa18"/>
    <w:basedOn w:val="Normln"/>
    <w:next w:val="Normln"/>
    <w:uiPriority w:val="99"/>
    <w:rsid w:val="00AB3724"/>
    <w:pPr>
      <w:autoSpaceDE w:val="0"/>
      <w:autoSpaceDN w:val="0"/>
      <w:adjustRightInd w:val="0"/>
      <w:spacing w:line="211" w:lineRule="atLeast"/>
      <w:jc w:val="left"/>
    </w:pPr>
    <w:rPr>
      <w:rFonts w:cs="Times New Roman"/>
      <w:color w:val="auto"/>
      <w:lang w:eastAsia="cs-CZ"/>
    </w:rPr>
  </w:style>
  <w:style w:type="character" w:customStyle="1" w:styleId="A14">
    <w:name w:val="A14"/>
    <w:uiPriority w:val="99"/>
    <w:rsid w:val="00AB3724"/>
    <w:rPr>
      <w:b/>
      <w:color w:val="000000"/>
      <w:sz w:val="54"/>
    </w:rPr>
  </w:style>
  <w:style w:type="paragraph" w:customStyle="1" w:styleId="Pa19">
    <w:name w:val="Pa19"/>
    <w:basedOn w:val="Normln"/>
    <w:next w:val="Normln"/>
    <w:uiPriority w:val="99"/>
    <w:rsid w:val="00AB3724"/>
    <w:pPr>
      <w:autoSpaceDE w:val="0"/>
      <w:autoSpaceDN w:val="0"/>
      <w:adjustRightInd w:val="0"/>
      <w:spacing w:line="211" w:lineRule="atLeast"/>
      <w:jc w:val="left"/>
    </w:pPr>
    <w:rPr>
      <w:rFonts w:cs="Times New Roman"/>
      <w:color w:val="auto"/>
      <w:lang w:eastAsia="cs-CZ"/>
    </w:rPr>
  </w:style>
  <w:style w:type="character" w:customStyle="1" w:styleId="Nadpis1Char">
    <w:name w:val="Nadpis 1 Char"/>
    <w:basedOn w:val="Standardnpsmoodstavce"/>
    <w:link w:val="Nadpis1"/>
    <w:rsid w:val="00B410F4"/>
    <w:rPr>
      <w:rFonts w:ascii="Calibri" w:eastAsia="Times New Roman" w:hAnsi="Calibri" w:cs="Calibri"/>
      <w:b/>
      <w:bCs/>
      <w:color w:val="000000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D54B44"/>
    <w:rPr>
      <w:rFonts w:ascii="Calibri" w:eastAsiaTheme="majorEastAsia" w:hAnsi="Calibri" w:cstheme="majorBidi"/>
      <w:b/>
      <w:sz w:val="24"/>
      <w:szCs w:val="26"/>
      <w:u w:val="single"/>
    </w:rPr>
  </w:style>
  <w:style w:type="paragraph" w:styleId="Textpoznpodarou">
    <w:name w:val="footnote text"/>
    <w:aliases w:val="Boston 10,Font: Geneva 9,Fußnotentextf,Geneva 9,Podrozdzia3,Podrozdział,Schriftart: 10 pt,Schriftart: 8 pt,Schriftart: 9 pt,Text poznámky pod čiarou 007,f,pozn. pod čarou"/>
    <w:basedOn w:val="Normln"/>
    <w:link w:val="TextpoznpodarouChar"/>
    <w:uiPriority w:val="99"/>
    <w:unhideWhenUsed/>
    <w:rsid w:val="00D0493E"/>
    <w:pPr>
      <w:jc w:val="left"/>
    </w:pPr>
    <w:rPr>
      <w:rFonts w:cs="Times New Roman"/>
      <w:color w:val="auto"/>
      <w:sz w:val="20"/>
      <w:szCs w:val="20"/>
    </w:rPr>
  </w:style>
  <w:style w:type="character" w:customStyle="1" w:styleId="TextpoznpodarouChar">
    <w:name w:val="Text pozn. pod čarou Char"/>
    <w:aliases w:val="Boston 10 Char,Font: Geneva 9 Char,Fußnotentextf Char,Geneva 9 Char,Podrozdzia3 Char,Podrozdział Char,Schriftart: 10 pt Char,Schriftart: 8 pt Char,Schriftart: 9 pt Char,Text poznámky pod čiarou 007 Char,f Char"/>
    <w:basedOn w:val="Standardnpsmoodstavce"/>
    <w:link w:val="Textpoznpodarou"/>
    <w:uiPriority w:val="99"/>
    <w:rsid w:val="00D0493E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aliases w:val="12 b.,Footnote,PGI Fußnote Ziffer,PGI Fußnote Ziffer + Times New Roman,Zúžené o ..."/>
    <w:basedOn w:val="Standardnpsmoodstavce"/>
    <w:uiPriority w:val="99"/>
    <w:unhideWhenUsed/>
    <w:rsid w:val="00D0493E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671A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3B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3B70"/>
    <w:rPr>
      <w:rFonts w:ascii="Segoe UI" w:eastAsia="Times New Roman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706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605"/>
    <w:rPr>
      <w:rFonts w:ascii="Calibri" w:eastAsia="Times New Roman" w:hAnsi="Calibri" w:cs="Calibri"/>
      <w:color w:val="000000"/>
      <w:sz w:val="24"/>
      <w:szCs w:val="24"/>
    </w:rPr>
  </w:style>
  <w:style w:type="paragraph" w:styleId="Zpat">
    <w:name w:val="footer"/>
    <w:basedOn w:val="Normln"/>
    <w:link w:val="ZpatChar"/>
    <w:unhideWhenUsed/>
    <w:rsid w:val="005706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605"/>
    <w:rPr>
      <w:rFonts w:ascii="Calibri" w:eastAsia="Times New Roman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B1C60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DD7F9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color w:val="auto"/>
      <w:lang w:eastAsia="cs-CZ"/>
    </w:rPr>
  </w:style>
  <w:style w:type="character" w:customStyle="1" w:styleId="A1">
    <w:name w:val="A1"/>
    <w:uiPriority w:val="99"/>
    <w:rsid w:val="00A50168"/>
    <w:rPr>
      <w:color w:val="000000"/>
      <w:sz w:val="28"/>
      <w:szCs w:val="28"/>
    </w:rPr>
  </w:style>
  <w:style w:type="character" w:customStyle="1" w:styleId="A4">
    <w:name w:val="A4"/>
    <w:uiPriority w:val="99"/>
    <w:rsid w:val="00A50168"/>
    <w:rPr>
      <w:color w:val="000000"/>
      <w:sz w:val="60"/>
      <w:szCs w:val="60"/>
    </w:rPr>
  </w:style>
  <w:style w:type="character" w:customStyle="1" w:styleId="A5">
    <w:name w:val="A5"/>
    <w:uiPriority w:val="99"/>
    <w:rsid w:val="00A50168"/>
    <w:rPr>
      <w:b/>
      <w:bCs/>
      <w:color w:val="000000"/>
      <w:sz w:val="40"/>
      <w:szCs w:val="40"/>
    </w:rPr>
  </w:style>
  <w:style w:type="paragraph" w:customStyle="1" w:styleId="Default">
    <w:name w:val="Default"/>
    <w:rsid w:val="00393D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customStyle="1" w:styleId="Bodytext2">
    <w:name w:val="Body text|2_"/>
    <w:basedOn w:val="Standardnpsmoodstavce"/>
    <w:link w:val="Bodytext20"/>
    <w:rsid w:val="00930F39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Bodytext20">
    <w:name w:val="Body text|2"/>
    <w:basedOn w:val="Normln"/>
    <w:link w:val="Bodytext2"/>
    <w:qFormat/>
    <w:rsid w:val="00930F39"/>
    <w:pPr>
      <w:widowControl w:val="0"/>
      <w:shd w:val="clear" w:color="auto" w:fill="FFFFFF"/>
      <w:spacing w:after="4560" w:line="206" w:lineRule="exact"/>
      <w:ind w:hanging="360"/>
      <w:jc w:val="left"/>
    </w:pPr>
    <w:rPr>
      <w:rFonts w:eastAsia="Calibri"/>
      <w:color w:val="auto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F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6E58"/>
    <w:rPr>
      <w:rFonts w:ascii="Calibri" w:eastAsia="Times New Roman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E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E58"/>
    <w:rPr>
      <w:rFonts w:ascii="Calibri" w:eastAsia="Times New Roman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report.cz/blog/podpora-vyzkumu-a-vyvoje-v-cr-prilezitosti-ale-i-rizik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CHUDOBOVA\KA%2020_13%20(Investi&#269;n&#237;%20pob&#237;dky)\KONTROLN&#205;%20Z&#193;V&#282;R\pomocn&#23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1\CHUDOBOVA\KA%2020_13%20(Investi&#269;n&#237;%20pob&#237;dky)\KONTROLN&#205;%20Z&#193;V&#282;R\pomocn&#23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374254553740049E-2"/>
          <c:y val="4.4526807195975501E-2"/>
          <c:w val="0.87795096098890457"/>
          <c:h val="0.5802450109413284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'Rozhodnutí graf'!$E$2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004595">
                <a:alpha val="60000"/>
              </a:srgb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'Rozhodnutí graf'!$C$3:$C$12</c:f>
              <c:strCache>
                <c:ptCount val="10"/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 Do 30. 9. 2020</c:v>
                </c:pt>
              </c:strCache>
            </c:strRef>
          </c:cat>
          <c:val>
            <c:numRef>
              <c:f>'Rozhodnutí graf'!$E$3:$E$12</c:f>
              <c:numCache>
                <c:formatCode>General</c:formatCode>
                <c:ptCount val="10"/>
                <c:pt idx="1">
                  <c:v>22</c:v>
                </c:pt>
                <c:pt idx="2">
                  <c:v>68</c:v>
                </c:pt>
                <c:pt idx="3">
                  <c:v>100</c:v>
                </c:pt>
                <c:pt idx="4">
                  <c:v>36</c:v>
                </c:pt>
                <c:pt idx="5">
                  <c:v>48</c:v>
                </c:pt>
                <c:pt idx="6">
                  <c:v>57</c:v>
                </c:pt>
                <c:pt idx="7">
                  <c:v>67</c:v>
                </c:pt>
                <c:pt idx="8">
                  <c:v>71</c:v>
                </c:pt>
                <c:pt idx="9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29-4807-A77C-116119C38FEF}"/>
            </c:ext>
          </c:extLst>
        </c:ser>
        <c:ser>
          <c:idx val="1"/>
          <c:order val="1"/>
          <c:tx>
            <c:strRef>
              <c:f>'Rozhodnutí graf'!$F$2</c:f>
              <c:strCache>
                <c:ptCount val="1"/>
                <c:pt idx="0">
                  <c:v>Technologická centra a centra strategických služeb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2.2181635266241729E-17"/>
                  <c:y val="-2.375296912114022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E29-4807-A77C-116119C38FEF}"/>
                </c:ext>
              </c:extLst>
            </c:dLbl>
            <c:dLbl>
              <c:idx val="2"/>
              <c:layout>
                <c:manualLayout>
                  <c:x val="0"/>
                  <c:y val="-2.850356294536817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E29-4807-A77C-116119C38FEF}"/>
                </c:ext>
              </c:extLst>
            </c:dLbl>
            <c:dLbl>
              <c:idx val="3"/>
              <c:layout>
                <c:manualLayout>
                  <c:x val="-2.419842710223791E-3"/>
                  <c:y val="-2.37529691211401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E29-4807-A77C-116119C38FEF}"/>
                </c:ext>
              </c:extLst>
            </c:dLbl>
            <c:dLbl>
              <c:idx val="4"/>
              <c:layout>
                <c:manualLayout>
                  <c:x val="2.4198427102238356E-3"/>
                  <c:y val="-2.850356294536817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6E29-4807-A77C-116119C38FEF}"/>
                </c:ext>
              </c:extLst>
            </c:dLbl>
            <c:dLbl>
              <c:idx val="5"/>
              <c:layout>
                <c:manualLayout>
                  <c:x val="-2.4198427102239241E-3"/>
                  <c:y val="-2.3752969121140229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E29-4807-A77C-116119C38FEF}"/>
                </c:ext>
              </c:extLst>
            </c:dLbl>
            <c:dLbl>
              <c:idx val="6"/>
              <c:layout>
                <c:manualLayout>
                  <c:x val="-2.4198427102239241E-3"/>
                  <c:y val="-2.375296912114014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E29-4807-A77C-116119C38FEF}"/>
                </c:ext>
              </c:extLst>
            </c:dLbl>
            <c:dLbl>
              <c:idx val="7"/>
              <c:layout>
                <c:manualLayout>
                  <c:x val="0"/>
                  <c:y val="-2.850356294536821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E29-4807-A77C-116119C38FEF}"/>
                </c:ext>
              </c:extLst>
            </c:dLbl>
            <c:dLbl>
              <c:idx val="8"/>
              <c:layout>
                <c:manualLayout>
                  <c:x val="0"/>
                  <c:y val="-2.850356294536821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E29-4807-A77C-116119C38FEF}"/>
                </c:ext>
              </c:extLst>
            </c:dLbl>
            <c:dLbl>
              <c:idx val="9"/>
              <c:layout>
                <c:manualLayout>
                  <c:x val="0"/>
                  <c:y val="-2.375296912114014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E29-4807-A77C-116119C38FE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C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'Rozhodnutí graf'!$C$3:$C$12</c:f>
              <c:strCache>
                <c:ptCount val="10"/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 Do 30. 9. 2020</c:v>
                </c:pt>
              </c:strCache>
            </c:strRef>
          </c:cat>
          <c:val>
            <c:numRef>
              <c:f>'Rozhodnutí graf'!$F$3:$F$12</c:f>
              <c:numCache>
                <c:formatCode>General</c:formatCode>
                <c:ptCount val="10"/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5</c:v>
                </c:pt>
                <c:pt idx="8">
                  <c:v>3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E29-4807-A77C-116119C38F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70388431"/>
        <c:axId val="470380943"/>
      </c:barChart>
      <c:catAx>
        <c:axId val="4703884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12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0380943"/>
        <c:crosses val="autoZero"/>
        <c:auto val="1"/>
        <c:lblAlgn val="ctr"/>
        <c:lblOffset val="100"/>
        <c:noMultiLvlLbl val="0"/>
      </c:catAx>
      <c:valAx>
        <c:axId val="4703809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7038843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026829492724094"/>
          <c:y val="0.83127118875765527"/>
          <c:w val="0.77682664458261586"/>
          <c:h val="7.32427001312336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'čerpání celkem'!$C$2</c:f>
              <c:strCache>
                <c:ptCount val="1"/>
                <c:pt idx="0">
                  <c:v>Čerpání v mil. Kč</c:v>
                </c:pt>
              </c:strCache>
            </c:strRef>
          </c:tx>
          <c:spPr>
            <a:solidFill>
              <a:srgbClr val="004595">
                <a:alpha val="60000"/>
              </a:srgbClr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'čerpání celkem'!$B$3:$B$22</c:f>
              <c:strCache>
                <c:ptCount val="20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  <c:pt idx="18">
                  <c:v>2018</c:v>
                </c:pt>
                <c:pt idx="19">
                  <c:v>2019*</c:v>
                </c:pt>
              </c:strCache>
            </c:strRef>
          </c:cat>
          <c:val>
            <c:numRef>
              <c:f>'čerpání celkem'!$C$3:$C$22</c:f>
              <c:numCache>
                <c:formatCode>General</c:formatCode>
                <c:ptCount val="20"/>
                <c:pt idx="0">
                  <c:v>71</c:v>
                </c:pt>
                <c:pt idx="1">
                  <c:v>709</c:v>
                </c:pt>
                <c:pt idx="2" formatCode="#,##0">
                  <c:v>1689</c:v>
                </c:pt>
                <c:pt idx="3" formatCode="#,##0">
                  <c:v>2577</c:v>
                </c:pt>
                <c:pt idx="4" formatCode="#,##0">
                  <c:v>2926</c:v>
                </c:pt>
                <c:pt idx="5" formatCode="#,##0">
                  <c:v>3334</c:v>
                </c:pt>
                <c:pt idx="6" formatCode="#,##0">
                  <c:v>4415</c:v>
                </c:pt>
                <c:pt idx="7" formatCode="#,##0">
                  <c:v>4791</c:v>
                </c:pt>
                <c:pt idx="8" formatCode="#,##0">
                  <c:v>5636</c:v>
                </c:pt>
                <c:pt idx="9" formatCode="#,##0">
                  <c:v>3256</c:v>
                </c:pt>
                <c:pt idx="10" formatCode="#,##0">
                  <c:v>3428</c:v>
                </c:pt>
                <c:pt idx="11" formatCode="#,##0">
                  <c:v>4806</c:v>
                </c:pt>
                <c:pt idx="12" formatCode="#,##0">
                  <c:v>5818</c:v>
                </c:pt>
                <c:pt idx="13" formatCode="#,##0">
                  <c:v>4866</c:v>
                </c:pt>
                <c:pt idx="14" formatCode="#,##0">
                  <c:v>5113</c:v>
                </c:pt>
                <c:pt idx="15" formatCode="#,##0">
                  <c:v>5774</c:v>
                </c:pt>
                <c:pt idx="16" formatCode="#,##0">
                  <c:v>5802</c:v>
                </c:pt>
                <c:pt idx="17" formatCode="#,##0">
                  <c:v>5363</c:v>
                </c:pt>
                <c:pt idx="18" formatCode="#,##0">
                  <c:v>4263</c:v>
                </c:pt>
                <c:pt idx="19">
                  <c:v>434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0B-48DB-9B32-CE5CEAC10B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35424128"/>
        <c:axId val="35425664"/>
      </c:barChart>
      <c:catAx>
        <c:axId val="35424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5425664"/>
        <c:crosses val="autoZero"/>
        <c:auto val="1"/>
        <c:lblAlgn val="ctr"/>
        <c:lblOffset val="100"/>
        <c:noMultiLvlLbl val="0"/>
      </c:catAx>
      <c:valAx>
        <c:axId val="35425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5424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E066C-2B82-4376-8551-C7622C8A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1500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Kontrolní závěr z kontrolní akce NKÚ č. 20/13 - Investiční pobídky</vt:lpstr>
    </vt:vector>
  </TitlesOfParts>
  <Company>NKU</Company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Kontrolní závěr z kontrolní akce NKÚ č. 20/13 - Investiční pobídky</dc:title>
  <dc:subject/>
  <dc:creator>Nejvyšší kontrolní úřad</dc:creator>
  <cp:keywords>kontrolní závěr; investiční pobídky</cp:keywords>
  <dc:description/>
  <cp:lastModifiedBy>Havlíková Jana</cp:lastModifiedBy>
  <cp:revision>2</cp:revision>
  <cp:lastPrinted>2021-02-22T08:35:00Z</cp:lastPrinted>
  <dcterms:created xsi:type="dcterms:W3CDTF">2022-12-13T11:04:00Z</dcterms:created>
  <dcterms:modified xsi:type="dcterms:W3CDTF">2022-12-13T11:04:00Z</dcterms:modified>
</cp:coreProperties>
</file>