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90" w:rsidRPr="00DB467C" w:rsidRDefault="00DA4990" w:rsidP="005F451D">
      <w:pPr>
        <w:pStyle w:val="Nzev"/>
        <w:spacing w:after="120" w:line="271" w:lineRule="auto"/>
        <w:rPr>
          <w:rFonts w:asciiTheme="minorHAnsi" w:hAnsiTheme="minorHAnsi" w:cstheme="minorHAnsi"/>
          <w:b/>
          <w:sz w:val="48"/>
          <w:szCs w:val="48"/>
        </w:rPr>
      </w:pPr>
      <w:r w:rsidRPr="00DB467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738399EE" wp14:editId="1AB5224B">
            <wp:simplePos x="0" y="0"/>
            <wp:positionH relativeFrom="column">
              <wp:posOffset>3681857</wp:posOffset>
            </wp:positionH>
            <wp:positionV relativeFrom="paragraph">
              <wp:posOffset>508</wp:posOffset>
            </wp:positionV>
            <wp:extent cx="2230079" cy="361950"/>
            <wp:effectExtent l="0" t="0" r="0" b="0"/>
            <wp:wrapSquare wrapText="bothSides"/>
            <wp:docPr id="1" name="Obrázek 1" descr="Výzkum, vývoj a inov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zkum, vývoj a inova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079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17EE" w:rsidRPr="00DB467C" w:rsidRDefault="001717EE" w:rsidP="005F451D">
      <w:pPr>
        <w:pStyle w:val="Nzev"/>
        <w:spacing w:after="120" w:line="271" w:lineRule="auto"/>
        <w:rPr>
          <w:rFonts w:asciiTheme="minorHAnsi" w:hAnsiTheme="minorHAnsi" w:cstheme="minorHAnsi"/>
          <w:noProof/>
          <w:sz w:val="36"/>
          <w:szCs w:val="36"/>
        </w:rPr>
      </w:pPr>
    </w:p>
    <w:p w:rsidR="00845B55" w:rsidRPr="00DB467C" w:rsidRDefault="00F97039" w:rsidP="005F451D">
      <w:pPr>
        <w:pStyle w:val="Nzev"/>
        <w:spacing w:after="120" w:line="271" w:lineRule="auto"/>
        <w:rPr>
          <w:rFonts w:asciiTheme="minorHAnsi" w:hAnsiTheme="minorHAnsi" w:cstheme="minorHAnsi"/>
          <w:noProof/>
          <w:sz w:val="36"/>
          <w:szCs w:val="36"/>
        </w:rPr>
      </w:pPr>
      <w:r>
        <w:rPr>
          <w:rFonts w:asciiTheme="minorHAnsi" w:hAnsiTheme="minorHAnsi" w:cstheme="minorHAnsi"/>
          <w:noProof/>
          <w:sz w:val="36"/>
          <w:szCs w:val="36"/>
        </w:rPr>
        <w:t>EVROPSKÝ SEMESTR – VÝZKUM, VÝVOJ A INOVACE V ČR</w:t>
      </w:r>
    </w:p>
    <w:p w:rsidR="00F97039" w:rsidRDefault="00F97039" w:rsidP="00F97039">
      <w:pPr>
        <w:pStyle w:val="Nadpis1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pacing w:val="15"/>
          <w:sz w:val="22"/>
          <w:szCs w:val="22"/>
        </w:rPr>
      </w:pPr>
    </w:p>
    <w:p w:rsidR="00F97039" w:rsidRDefault="00F97039" w:rsidP="00F97039">
      <w:pPr>
        <w:pStyle w:val="Nadpis1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pacing w:val="15"/>
          <w:sz w:val="22"/>
          <w:szCs w:val="22"/>
        </w:rPr>
      </w:pPr>
      <w:r w:rsidRPr="00F97039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pacing w:val="15"/>
          <w:sz w:val="22"/>
          <w:szCs w:val="22"/>
        </w:rPr>
        <w:t xml:space="preserve">Evropský semestr </w:t>
      </w:r>
      <w:r w:rsidR="001F4695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pacing w:val="15"/>
          <w:sz w:val="22"/>
          <w:szCs w:val="22"/>
        </w:rPr>
        <w:t>j</w:t>
      </w:r>
      <w:r w:rsidR="001F4695" w:rsidRPr="001F4695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pacing w:val="15"/>
          <w:sz w:val="22"/>
          <w:szCs w:val="22"/>
        </w:rPr>
        <w:t>e součástí rámce pro správu ekonomic</w:t>
      </w:r>
      <w:r w:rsidR="001F4695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pacing w:val="15"/>
          <w:sz w:val="22"/>
          <w:szCs w:val="22"/>
        </w:rPr>
        <w:t>kých záležitostí Evropské unie. M</w:t>
      </w:r>
      <w:r w:rsidRPr="00F97039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pacing w:val="15"/>
          <w:sz w:val="22"/>
          <w:szCs w:val="22"/>
        </w:rPr>
        <w:t>á jasně stanovený harmonogram, v souladu s nímž členské státy obdrží rady („pokyny“) na úrovni EU a poté předkládají své plány politik („národní programy reforem“ a „programy stability nebo konvergenční programy“), které jsou posouzeny na úrovni EU.</w:t>
      </w:r>
    </w:p>
    <w:p w:rsidR="00F97039" w:rsidRPr="00F97039" w:rsidRDefault="00F97039" w:rsidP="00F97039">
      <w:pPr>
        <w:pStyle w:val="Nadpis1"/>
        <w:numPr>
          <w:ilvl w:val="0"/>
          <w:numId w:val="0"/>
        </w:numPr>
        <w:spacing w:before="0"/>
        <w:rPr>
          <w:rFonts w:asciiTheme="minorHAnsi" w:hAnsiTheme="minorHAnsi" w:cstheme="minorHAnsi"/>
          <w:bCs w:val="0"/>
          <w:i/>
          <w:iCs/>
          <w:color w:val="4F81BD" w:themeColor="accent1"/>
          <w:spacing w:val="15"/>
          <w:sz w:val="22"/>
          <w:szCs w:val="22"/>
        </w:rPr>
      </w:pPr>
      <w:r w:rsidRPr="00F97039">
        <w:rPr>
          <w:rFonts w:asciiTheme="minorHAnsi" w:hAnsiTheme="minorHAnsi" w:cstheme="minorHAnsi"/>
          <w:b w:val="0"/>
          <w:bCs w:val="0"/>
          <w:i/>
          <w:iCs/>
          <w:color w:val="4F81BD" w:themeColor="accent1"/>
          <w:spacing w:val="15"/>
          <w:sz w:val="22"/>
          <w:szCs w:val="22"/>
        </w:rPr>
        <w:t xml:space="preserve">Po vyhodnocení těchto plánů jsou jednotlivým členským státům předána příslušná doporučení („doporučení pro jednotlivé země“) týkající se jejich vnitrostátních rozpočtových a reformních politik. </w:t>
      </w:r>
      <w:r w:rsidRPr="00F97039">
        <w:rPr>
          <w:rFonts w:asciiTheme="minorHAnsi" w:hAnsiTheme="minorHAnsi" w:cstheme="minorHAnsi"/>
          <w:bCs w:val="0"/>
          <w:i/>
          <w:iCs/>
          <w:color w:val="4F81BD" w:themeColor="accent1"/>
          <w:spacing w:val="15"/>
          <w:sz w:val="22"/>
          <w:szCs w:val="22"/>
        </w:rPr>
        <w:t>Očekává se, že členské státy tato doporučení zohlední při sestavování svého rozpočtu na následující rok a při přijímání rozhodnutí týkajících se hospodářské politiky, politiky zaměs</w:t>
      </w:r>
      <w:r>
        <w:rPr>
          <w:rFonts w:asciiTheme="minorHAnsi" w:hAnsiTheme="minorHAnsi" w:cstheme="minorHAnsi"/>
          <w:bCs w:val="0"/>
          <w:i/>
          <w:iCs/>
          <w:color w:val="4F81BD" w:themeColor="accent1"/>
          <w:spacing w:val="15"/>
          <w:sz w:val="22"/>
          <w:szCs w:val="22"/>
        </w:rPr>
        <w:t>tnanosti, politiky vzdělávání i </w:t>
      </w:r>
      <w:r w:rsidRPr="00F97039">
        <w:rPr>
          <w:rFonts w:asciiTheme="minorHAnsi" w:hAnsiTheme="minorHAnsi" w:cstheme="minorHAnsi"/>
          <w:bCs w:val="0"/>
          <w:i/>
          <w:iCs/>
          <w:color w:val="4F81BD" w:themeColor="accent1"/>
          <w:spacing w:val="15"/>
          <w:sz w:val="22"/>
          <w:szCs w:val="22"/>
        </w:rPr>
        <w:t>dalších politik.</w:t>
      </w:r>
    </w:p>
    <w:p w:rsidR="00C116A2" w:rsidRPr="00DB467C" w:rsidRDefault="00C116A2" w:rsidP="005F451D">
      <w:pPr>
        <w:spacing w:line="271" w:lineRule="auto"/>
        <w:contextualSpacing/>
        <w:jc w:val="left"/>
        <w:rPr>
          <w:rFonts w:cstheme="minorHAnsi"/>
        </w:rPr>
      </w:pPr>
    </w:p>
    <w:p w:rsidR="008707E5" w:rsidRPr="00DB467C" w:rsidRDefault="00C116A2" w:rsidP="005F451D">
      <w:pPr>
        <w:spacing w:line="271" w:lineRule="auto"/>
        <w:contextualSpacing/>
        <w:jc w:val="left"/>
        <w:rPr>
          <w:rFonts w:cstheme="minorHAnsi"/>
          <w:b/>
          <w:sz w:val="26"/>
          <w:szCs w:val="26"/>
        </w:rPr>
      </w:pPr>
      <w:r w:rsidRPr="00DB467C">
        <w:rPr>
          <w:rFonts w:cstheme="minorHAnsi"/>
          <w:b/>
          <w:sz w:val="26"/>
          <w:szCs w:val="26"/>
        </w:rPr>
        <w:t>DOPORUČENÍ RADY k národnímu programu reforem České republi</w:t>
      </w:r>
      <w:r w:rsidR="00DB467C" w:rsidRPr="00DB467C">
        <w:rPr>
          <w:rFonts w:cstheme="minorHAnsi"/>
          <w:b/>
          <w:sz w:val="26"/>
          <w:szCs w:val="26"/>
        </w:rPr>
        <w:t>ky na rok 201</w:t>
      </w:r>
      <w:bookmarkStart w:id="0" w:name="_GoBack"/>
      <w:bookmarkEnd w:id="0"/>
      <w:r w:rsidR="00DB467C" w:rsidRPr="00DB467C">
        <w:rPr>
          <w:rFonts w:cstheme="minorHAnsi"/>
          <w:b/>
          <w:sz w:val="26"/>
          <w:szCs w:val="26"/>
        </w:rPr>
        <w:t>7 a </w:t>
      </w:r>
      <w:r w:rsidRPr="00DB467C">
        <w:rPr>
          <w:rFonts w:cstheme="minorHAnsi"/>
          <w:b/>
          <w:sz w:val="26"/>
          <w:szCs w:val="26"/>
        </w:rPr>
        <w:t>stanovisko Rady ke konvergenčnímu programu České republiky z roku 2017</w:t>
      </w:r>
    </w:p>
    <w:p w:rsidR="005D106F" w:rsidRDefault="005D106F" w:rsidP="005F451D">
      <w:pPr>
        <w:spacing w:line="271" w:lineRule="auto"/>
        <w:contextualSpacing/>
        <w:jc w:val="left"/>
        <w:rPr>
          <w:rFonts w:cstheme="minorHAnsi"/>
          <w:sz w:val="24"/>
          <w:szCs w:val="24"/>
        </w:rPr>
      </w:pPr>
    </w:p>
    <w:p w:rsidR="00C116A2" w:rsidRPr="005D106F" w:rsidRDefault="00C116A2" w:rsidP="005D106F">
      <w:pPr>
        <w:spacing w:line="271" w:lineRule="auto"/>
        <w:contextualSpacing/>
        <w:rPr>
          <w:rFonts w:cstheme="minorHAnsi"/>
          <w:sz w:val="24"/>
          <w:szCs w:val="24"/>
        </w:rPr>
      </w:pPr>
      <w:r w:rsidRPr="005D106F">
        <w:rPr>
          <w:rFonts w:cstheme="minorHAnsi"/>
          <w:sz w:val="24"/>
          <w:szCs w:val="24"/>
        </w:rPr>
        <w:t xml:space="preserve">(11) </w:t>
      </w:r>
    </w:p>
    <w:p w:rsidR="00C116A2" w:rsidRPr="005D106F" w:rsidRDefault="00C116A2" w:rsidP="005D106F">
      <w:pPr>
        <w:spacing w:line="271" w:lineRule="auto"/>
        <w:contextualSpacing/>
        <w:rPr>
          <w:rFonts w:cstheme="minorHAnsi"/>
          <w:sz w:val="24"/>
          <w:szCs w:val="24"/>
        </w:rPr>
      </w:pPr>
      <w:r w:rsidRPr="005D106F">
        <w:rPr>
          <w:rFonts w:cstheme="minorHAnsi"/>
          <w:b/>
          <w:sz w:val="24"/>
          <w:szCs w:val="24"/>
        </w:rPr>
        <w:t>Intenzita výzkumu a vývoje se v posledních letech výrazně zvýšila, neprovází ji však odpovídající zlepšení kvality jeho výsledků.</w:t>
      </w:r>
      <w:r w:rsidRPr="005D106F">
        <w:rPr>
          <w:rFonts w:cstheme="minorHAnsi"/>
          <w:sz w:val="24"/>
          <w:szCs w:val="24"/>
        </w:rPr>
        <w:t xml:space="preserve"> Provádí se reformy řízení systém</w:t>
      </w:r>
      <w:r w:rsidR="005D106F">
        <w:rPr>
          <w:rFonts w:cstheme="minorHAnsi"/>
          <w:sz w:val="24"/>
          <w:szCs w:val="24"/>
        </w:rPr>
        <w:t>u výzkumu a </w:t>
      </w:r>
      <w:r w:rsidRPr="005D106F">
        <w:rPr>
          <w:rFonts w:cstheme="minorHAnsi"/>
          <w:sz w:val="24"/>
          <w:szCs w:val="24"/>
        </w:rPr>
        <w:t>vývoje, avšak zatím nebyly plně uskutečněny. V únoru 2017 vláda schválila novou metodiku hodnocení (Metodika 17+), která by měla posílit mechanismy související s přidělováním finančních prostředků na základní a aplikovaný výzkum. Přijímá se řada opatření s cílem usnadnit vytváření užších vazeb mezi vysokými školami a podniky, a to na základě strukturálních účinků českých inovačních platforem.</w:t>
      </w:r>
    </w:p>
    <w:p w:rsidR="005F451D" w:rsidRDefault="005F451D" w:rsidP="005F451D">
      <w:pPr>
        <w:pStyle w:val="Typedudocument"/>
        <w:spacing w:before="0" w:after="120" w:line="271" w:lineRule="auto"/>
        <w:contextualSpacing/>
        <w:jc w:val="both"/>
        <w:rPr>
          <w:rFonts w:asciiTheme="minorHAnsi" w:hAnsiTheme="minorHAnsi" w:cstheme="minorHAnsi"/>
          <w:noProof/>
          <w:sz w:val="26"/>
          <w:szCs w:val="26"/>
        </w:rPr>
      </w:pPr>
    </w:p>
    <w:p w:rsidR="005F451D" w:rsidRDefault="005F451D" w:rsidP="005F451D">
      <w:pPr>
        <w:pStyle w:val="Typedudocument"/>
        <w:spacing w:before="0" w:after="120" w:line="271" w:lineRule="auto"/>
        <w:contextualSpacing/>
        <w:jc w:val="both"/>
        <w:rPr>
          <w:rFonts w:asciiTheme="minorHAnsi" w:hAnsiTheme="minorHAnsi" w:cstheme="minorHAnsi"/>
          <w:noProof/>
          <w:sz w:val="26"/>
          <w:szCs w:val="26"/>
        </w:rPr>
      </w:pPr>
    </w:p>
    <w:p w:rsidR="00C116A2" w:rsidRPr="00DB467C" w:rsidRDefault="00C116A2" w:rsidP="005F451D">
      <w:pPr>
        <w:pStyle w:val="Typedudocument"/>
        <w:spacing w:before="0" w:after="120" w:line="271" w:lineRule="auto"/>
        <w:contextualSpacing/>
        <w:jc w:val="both"/>
        <w:rPr>
          <w:rFonts w:asciiTheme="minorHAnsi" w:hAnsiTheme="minorHAnsi" w:cstheme="minorHAnsi"/>
          <w:noProof/>
          <w:sz w:val="26"/>
          <w:szCs w:val="26"/>
        </w:rPr>
      </w:pPr>
      <w:r w:rsidRPr="00DB467C">
        <w:rPr>
          <w:rFonts w:asciiTheme="minorHAnsi" w:hAnsiTheme="minorHAnsi" w:cstheme="minorHAnsi"/>
          <w:noProof/>
          <w:sz w:val="26"/>
          <w:szCs w:val="26"/>
        </w:rPr>
        <w:t>DOPORUČENÍ RADY</w:t>
      </w:r>
      <w:r w:rsidR="00DB467C" w:rsidRPr="00DB467C">
        <w:rPr>
          <w:rFonts w:asciiTheme="minorHAnsi" w:hAnsiTheme="minorHAnsi" w:cstheme="minorHAnsi"/>
          <w:noProof/>
          <w:sz w:val="26"/>
          <w:szCs w:val="26"/>
        </w:rPr>
        <w:t xml:space="preserve"> </w:t>
      </w:r>
      <w:r w:rsidRPr="00DB467C">
        <w:rPr>
          <w:rFonts w:asciiTheme="minorHAnsi" w:hAnsiTheme="minorHAnsi" w:cstheme="minorHAnsi"/>
          <w:noProof/>
          <w:sz w:val="26"/>
          <w:szCs w:val="26"/>
        </w:rPr>
        <w:t>k národnímu programu refor</w:t>
      </w:r>
      <w:r w:rsidR="00DB467C" w:rsidRPr="00DB467C">
        <w:rPr>
          <w:rFonts w:asciiTheme="minorHAnsi" w:hAnsiTheme="minorHAnsi" w:cstheme="minorHAnsi"/>
          <w:noProof/>
          <w:sz w:val="26"/>
          <w:szCs w:val="26"/>
        </w:rPr>
        <w:t>em České republiky na rok 2018</w:t>
      </w:r>
      <w:r w:rsidR="00DB467C" w:rsidRPr="00DB467C">
        <w:rPr>
          <w:rFonts w:asciiTheme="minorHAnsi" w:hAnsiTheme="minorHAnsi" w:cstheme="minorHAnsi"/>
          <w:noProof/>
          <w:sz w:val="26"/>
          <w:szCs w:val="26"/>
        </w:rPr>
        <w:br/>
      </w:r>
      <w:r w:rsidRPr="00DB467C">
        <w:rPr>
          <w:rFonts w:asciiTheme="minorHAnsi" w:hAnsiTheme="minorHAnsi" w:cstheme="minorHAnsi"/>
          <w:noProof/>
          <w:sz w:val="26"/>
          <w:szCs w:val="26"/>
        </w:rPr>
        <w:t>a stanovisko Rady ke konvergenčnímu programu České republiky z roku 2018</w:t>
      </w:r>
    </w:p>
    <w:p w:rsidR="005D106F" w:rsidRDefault="005D106F" w:rsidP="005F451D">
      <w:pPr>
        <w:pStyle w:val="ManualConsidrant"/>
        <w:spacing w:before="0" w:line="271" w:lineRule="auto"/>
        <w:contextualSpacing/>
        <w:rPr>
          <w:rFonts w:asciiTheme="minorHAnsi" w:hAnsiTheme="minorHAnsi" w:cstheme="minorHAnsi"/>
          <w:szCs w:val="24"/>
        </w:rPr>
      </w:pPr>
    </w:p>
    <w:p w:rsidR="00DB467C" w:rsidRPr="005D106F" w:rsidRDefault="00C116A2" w:rsidP="005F451D">
      <w:pPr>
        <w:pStyle w:val="ManualConsidrant"/>
        <w:spacing w:before="0" w:line="271" w:lineRule="auto"/>
        <w:contextualSpacing/>
        <w:rPr>
          <w:rFonts w:asciiTheme="minorHAnsi" w:hAnsiTheme="minorHAnsi" w:cstheme="minorHAnsi"/>
          <w:szCs w:val="24"/>
        </w:rPr>
      </w:pPr>
      <w:r w:rsidRPr="005D106F">
        <w:rPr>
          <w:rFonts w:asciiTheme="minorHAnsi" w:hAnsiTheme="minorHAnsi" w:cstheme="minorHAnsi"/>
          <w:szCs w:val="24"/>
        </w:rPr>
        <w:t>(12)</w:t>
      </w:r>
      <w:r w:rsidRPr="005D106F">
        <w:rPr>
          <w:rFonts w:asciiTheme="minorHAnsi" w:hAnsiTheme="minorHAnsi" w:cstheme="minorHAnsi"/>
          <w:szCs w:val="24"/>
        </w:rPr>
        <w:tab/>
      </w:r>
    </w:p>
    <w:p w:rsidR="00C116A2" w:rsidRPr="005D106F" w:rsidRDefault="00C116A2" w:rsidP="005F451D">
      <w:pPr>
        <w:pStyle w:val="ManualConsidrant"/>
        <w:spacing w:before="0" w:line="271" w:lineRule="auto"/>
        <w:ind w:left="0" w:firstLine="0"/>
        <w:contextualSpacing/>
        <w:rPr>
          <w:rFonts w:asciiTheme="minorHAnsi" w:hAnsiTheme="minorHAnsi" w:cstheme="minorHAnsi"/>
          <w:noProof/>
          <w:szCs w:val="24"/>
        </w:rPr>
      </w:pPr>
      <w:r w:rsidRPr="00DC3BC1">
        <w:rPr>
          <w:rFonts w:asciiTheme="minorHAnsi" w:hAnsiTheme="minorHAnsi" w:cstheme="minorHAnsi"/>
          <w:b/>
          <w:noProof/>
          <w:szCs w:val="24"/>
        </w:rPr>
        <w:t>Zaměření českého hospodářství se posouvá k činnostem více</w:t>
      </w:r>
      <w:r w:rsidR="00DB467C" w:rsidRPr="00DC3BC1">
        <w:rPr>
          <w:rFonts w:asciiTheme="minorHAnsi" w:hAnsiTheme="minorHAnsi" w:cstheme="minorHAnsi"/>
          <w:b/>
          <w:noProof/>
          <w:szCs w:val="24"/>
        </w:rPr>
        <w:t xml:space="preserve"> založeným na znalostech, avšak </w:t>
      </w:r>
      <w:r w:rsidRPr="00DC3BC1">
        <w:rPr>
          <w:rFonts w:asciiTheme="minorHAnsi" w:hAnsiTheme="minorHAnsi" w:cstheme="minorHAnsi"/>
          <w:b/>
          <w:noProof/>
          <w:szCs w:val="24"/>
        </w:rPr>
        <w:t xml:space="preserve">rozvoji dobře fungujícího systému výzkumu a inovací stále brání několik překážek. </w:t>
      </w:r>
      <w:r w:rsidRPr="005D106F">
        <w:rPr>
          <w:rFonts w:asciiTheme="minorHAnsi" w:hAnsiTheme="minorHAnsi" w:cstheme="minorHAnsi"/>
          <w:noProof/>
          <w:szCs w:val="24"/>
        </w:rPr>
        <w:t xml:space="preserve">Za zvyšováním investic do výzkumu a vývoje v podnikové sféře stojí především přímé zahraniční investice. Výdaje domácích podniků na výzkum a vývoj během posledních dvou let klesly. </w:t>
      </w:r>
      <w:r w:rsidRPr="005D106F">
        <w:rPr>
          <w:rFonts w:asciiTheme="minorHAnsi" w:hAnsiTheme="minorHAnsi" w:cstheme="minorHAnsi"/>
          <w:b/>
          <w:noProof/>
          <w:szCs w:val="24"/>
        </w:rPr>
        <w:t>Kvalita veřejné vědecké základny v České republice navzdory značným veřejným investicím do výzkumu a vývoje není optimální.</w:t>
      </w:r>
      <w:r w:rsidRPr="005D106F">
        <w:rPr>
          <w:rFonts w:asciiTheme="minorHAnsi" w:hAnsiTheme="minorHAnsi" w:cstheme="minorHAnsi"/>
          <w:noProof/>
          <w:szCs w:val="24"/>
        </w:rPr>
        <w:t xml:space="preserve"> Byla přijata opatření s cílem vytvářet vazby mezi </w:t>
      </w:r>
      <w:r w:rsidRPr="005D106F">
        <w:rPr>
          <w:rFonts w:asciiTheme="minorHAnsi" w:hAnsiTheme="minorHAnsi" w:cstheme="minorHAnsi"/>
          <w:noProof/>
          <w:szCs w:val="24"/>
        </w:rPr>
        <w:lastRenderedPageBreak/>
        <w:t>vysokými školami a podniky a zlepšit výkonnost veřejné vědecké základny, ale jejich dosavadní výsledky jsou omezené a </w:t>
      </w:r>
      <w:r w:rsidRPr="005D106F">
        <w:rPr>
          <w:rFonts w:asciiTheme="minorHAnsi" w:hAnsiTheme="minorHAnsi" w:cstheme="minorHAnsi"/>
          <w:b/>
          <w:noProof/>
          <w:szCs w:val="24"/>
        </w:rPr>
        <w:t>r</w:t>
      </w:r>
      <w:r w:rsidR="005F451D" w:rsidRPr="005D106F">
        <w:rPr>
          <w:rFonts w:asciiTheme="minorHAnsi" w:hAnsiTheme="minorHAnsi" w:cstheme="minorHAnsi"/>
          <w:b/>
          <w:noProof/>
          <w:szCs w:val="24"/>
        </w:rPr>
        <w:t>eformy ještě nebyly provedeny v </w:t>
      </w:r>
      <w:r w:rsidRPr="005D106F">
        <w:rPr>
          <w:rFonts w:asciiTheme="minorHAnsi" w:hAnsiTheme="minorHAnsi" w:cstheme="minorHAnsi"/>
          <w:b/>
          <w:noProof/>
          <w:szCs w:val="24"/>
        </w:rPr>
        <w:t>plném rozsahu. Správa systému výzkumu a inovací je navíc nadále roztříštěná.</w:t>
      </w:r>
    </w:p>
    <w:p w:rsidR="005F451D" w:rsidRPr="005D106F" w:rsidRDefault="005F451D" w:rsidP="005F451D">
      <w:pPr>
        <w:pStyle w:val="Formuledadoption"/>
        <w:spacing w:before="0" w:line="271" w:lineRule="auto"/>
        <w:contextualSpacing/>
        <w:rPr>
          <w:rFonts w:asciiTheme="minorHAnsi" w:hAnsiTheme="minorHAnsi" w:cstheme="minorHAnsi"/>
          <w:noProof/>
          <w:szCs w:val="24"/>
        </w:rPr>
      </w:pPr>
    </w:p>
    <w:p w:rsidR="00C116A2" w:rsidRPr="005D106F" w:rsidRDefault="00C116A2" w:rsidP="005F451D">
      <w:pPr>
        <w:pStyle w:val="Formuledadoption"/>
        <w:spacing w:before="0" w:line="271" w:lineRule="auto"/>
        <w:contextualSpacing/>
        <w:rPr>
          <w:rFonts w:asciiTheme="minorHAnsi" w:hAnsiTheme="minorHAnsi" w:cstheme="minorHAnsi"/>
          <w:noProof/>
          <w:szCs w:val="24"/>
        </w:rPr>
      </w:pPr>
      <w:r w:rsidRPr="005D106F">
        <w:rPr>
          <w:rFonts w:asciiTheme="minorHAnsi" w:hAnsiTheme="minorHAnsi" w:cstheme="minorHAnsi"/>
          <w:noProof/>
          <w:szCs w:val="24"/>
        </w:rPr>
        <w:t>DOPORUČUJE České republice v období 2018–2019:</w:t>
      </w:r>
    </w:p>
    <w:p w:rsidR="00C116A2" w:rsidRPr="005D106F" w:rsidRDefault="005F451D" w:rsidP="005F451D">
      <w:pPr>
        <w:pStyle w:val="ManualNumPar1"/>
        <w:spacing w:before="0" w:line="271" w:lineRule="auto"/>
        <w:contextualSpacing/>
        <w:rPr>
          <w:rFonts w:cstheme="minorHAnsi"/>
          <w:noProof/>
          <w:szCs w:val="24"/>
        </w:rPr>
      </w:pPr>
      <w:r w:rsidRPr="005D106F">
        <w:rPr>
          <w:rFonts w:asciiTheme="minorHAnsi" w:hAnsiTheme="minorHAnsi" w:cstheme="minorHAnsi"/>
          <w:szCs w:val="24"/>
        </w:rPr>
        <w:t>2</w:t>
      </w:r>
      <w:r w:rsidR="00C116A2" w:rsidRPr="005D106F">
        <w:rPr>
          <w:rFonts w:asciiTheme="minorHAnsi" w:hAnsiTheme="minorHAnsi" w:cstheme="minorHAnsi"/>
          <w:szCs w:val="24"/>
        </w:rPr>
        <w:t>.</w:t>
      </w:r>
      <w:r w:rsidR="00C116A2" w:rsidRPr="005D106F">
        <w:rPr>
          <w:rFonts w:asciiTheme="minorHAnsi" w:hAnsiTheme="minorHAnsi" w:cstheme="minorHAnsi"/>
          <w:szCs w:val="24"/>
        </w:rPr>
        <w:tab/>
      </w:r>
      <w:r w:rsidR="00C116A2" w:rsidRPr="005D106F">
        <w:rPr>
          <w:rFonts w:asciiTheme="minorHAnsi" w:hAnsiTheme="minorHAnsi" w:cstheme="minorHAnsi"/>
          <w:noProof/>
          <w:szCs w:val="24"/>
        </w:rPr>
        <w:t>Odstranit překážky brzdící výzkum, vývoj a inovace, zejména zvýšením inovační kapacity domácích podniků.</w:t>
      </w:r>
    </w:p>
    <w:p w:rsidR="005F451D" w:rsidRDefault="005F451D" w:rsidP="005F451D">
      <w:pPr>
        <w:pStyle w:val="Typedudocument"/>
        <w:spacing w:before="0" w:after="120" w:line="271" w:lineRule="auto"/>
        <w:contextualSpacing/>
        <w:jc w:val="left"/>
        <w:rPr>
          <w:rFonts w:asciiTheme="minorHAnsi" w:hAnsiTheme="minorHAnsi" w:cstheme="minorHAnsi"/>
          <w:noProof/>
          <w:sz w:val="26"/>
          <w:szCs w:val="26"/>
        </w:rPr>
      </w:pPr>
    </w:p>
    <w:p w:rsidR="005F451D" w:rsidRDefault="005F451D" w:rsidP="005F451D">
      <w:pPr>
        <w:pStyle w:val="Typedudocument"/>
        <w:spacing w:before="0" w:after="120" w:line="271" w:lineRule="auto"/>
        <w:contextualSpacing/>
        <w:jc w:val="left"/>
        <w:rPr>
          <w:rFonts w:asciiTheme="minorHAnsi" w:hAnsiTheme="minorHAnsi" w:cstheme="minorHAnsi"/>
          <w:noProof/>
          <w:sz w:val="26"/>
          <w:szCs w:val="26"/>
        </w:rPr>
      </w:pPr>
    </w:p>
    <w:p w:rsidR="00C116A2" w:rsidRPr="00DB467C" w:rsidRDefault="00C116A2" w:rsidP="005F451D">
      <w:pPr>
        <w:pStyle w:val="Typedudocument"/>
        <w:spacing w:before="0" w:after="120" w:line="271" w:lineRule="auto"/>
        <w:contextualSpacing/>
        <w:jc w:val="left"/>
        <w:rPr>
          <w:rFonts w:asciiTheme="minorHAnsi" w:hAnsiTheme="minorHAnsi" w:cstheme="minorHAnsi"/>
          <w:noProof/>
          <w:sz w:val="26"/>
          <w:szCs w:val="26"/>
        </w:rPr>
      </w:pPr>
      <w:r w:rsidRPr="00DB467C">
        <w:rPr>
          <w:rFonts w:asciiTheme="minorHAnsi" w:hAnsiTheme="minorHAnsi" w:cstheme="minorHAnsi"/>
          <w:noProof/>
          <w:sz w:val="26"/>
          <w:szCs w:val="26"/>
        </w:rPr>
        <w:t>DOPORUČENÍ RADY</w:t>
      </w:r>
      <w:r w:rsidR="00DB467C" w:rsidRPr="00DB467C">
        <w:rPr>
          <w:rFonts w:asciiTheme="minorHAnsi" w:hAnsiTheme="minorHAnsi" w:cstheme="minorHAnsi"/>
          <w:noProof/>
          <w:sz w:val="26"/>
          <w:szCs w:val="26"/>
        </w:rPr>
        <w:t xml:space="preserve"> </w:t>
      </w:r>
      <w:r w:rsidRPr="00DB467C">
        <w:rPr>
          <w:rFonts w:asciiTheme="minorHAnsi" w:hAnsiTheme="minorHAnsi" w:cstheme="minorHAnsi"/>
          <w:noProof/>
          <w:sz w:val="26"/>
          <w:szCs w:val="26"/>
        </w:rPr>
        <w:t>k národnímu programu refore</w:t>
      </w:r>
      <w:r w:rsidR="005D106F">
        <w:rPr>
          <w:rFonts w:asciiTheme="minorHAnsi" w:hAnsiTheme="minorHAnsi" w:cstheme="minorHAnsi"/>
          <w:noProof/>
          <w:sz w:val="26"/>
          <w:szCs w:val="26"/>
        </w:rPr>
        <w:t>m České republiky na rok 2019 a </w:t>
      </w:r>
      <w:r w:rsidRPr="00DB467C">
        <w:rPr>
          <w:rFonts w:asciiTheme="minorHAnsi" w:hAnsiTheme="minorHAnsi" w:cstheme="minorHAnsi"/>
          <w:noProof/>
          <w:sz w:val="26"/>
          <w:szCs w:val="26"/>
        </w:rPr>
        <w:t xml:space="preserve">stanovisko Rady ke konvergenčnímu programu České republiky z roku 2019 </w:t>
      </w:r>
      <w:r w:rsidRPr="00DB467C">
        <w:rPr>
          <w:rFonts w:asciiTheme="minorHAnsi" w:hAnsiTheme="minorHAnsi" w:cstheme="minorHAnsi"/>
          <w:noProof/>
          <w:sz w:val="26"/>
          <w:szCs w:val="26"/>
        </w:rPr>
        <w:br/>
      </w:r>
    </w:p>
    <w:p w:rsidR="00DB467C" w:rsidRPr="005D106F" w:rsidRDefault="00C116A2" w:rsidP="005F451D">
      <w:pPr>
        <w:pStyle w:val="ManualConsidrant"/>
        <w:spacing w:before="0" w:line="271" w:lineRule="auto"/>
        <w:contextualSpacing/>
        <w:rPr>
          <w:rFonts w:asciiTheme="minorHAnsi" w:hAnsiTheme="minorHAnsi" w:cstheme="minorHAnsi"/>
          <w:szCs w:val="24"/>
        </w:rPr>
      </w:pPr>
      <w:r w:rsidRPr="005D106F">
        <w:rPr>
          <w:rFonts w:asciiTheme="minorHAnsi" w:hAnsiTheme="minorHAnsi" w:cstheme="minorHAnsi"/>
          <w:szCs w:val="24"/>
        </w:rPr>
        <w:t>(16)</w:t>
      </w:r>
      <w:r w:rsidRPr="005D106F">
        <w:rPr>
          <w:rFonts w:asciiTheme="minorHAnsi" w:hAnsiTheme="minorHAnsi" w:cstheme="minorHAnsi"/>
          <w:szCs w:val="24"/>
        </w:rPr>
        <w:tab/>
      </w:r>
    </w:p>
    <w:p w:rsidR="00C116A2" w:rsidRPr="005D106F" w:rsidRDefault="00C116A2" w:rsidP="005F451D">
      <w:pPr>
        <w:pStyle w:val="ManualConsidrant"/>
        <w:spacing w:before="0" w:line="271" w:lineRule="auto"/>
        <w:ind w:left="0" w:firstLine="0"/>
        <w:contextualSpacing/>
        <w:rPr>
          <w:rFonts w:asciiTheme="minorHAnsi" w:hAnsiTheme="minorHAnsi" w:cstheme="minorHAnsi"/>
          <w:noProof/>
          <w:szCs w:val="24"/>
        </w:rPr>
      </w:pPr>
      <w:r w:rsidRPr="005D106F">
        <w:rPr>
          <w:rFonts w:asciiTheme="minorHAnsi" w:hAnsiTheme="minorHAnsi" w:cstheme="minorHAnsi"/>
          <w:b/>
          <w:noProof/>
          <w:szCs w:val="24"/>
        </w:rPr>
        <w:t>Česká republika zatím nevytvořila plně funkční inovační ekosystém založený na domácím výzkumu a vývoji.</w:t>
      </w:r>
      <w:r w:rsidRPr="005D106F">
        <w:rPr>
          <w:rFonts w:asciiTheme="minorHAnsi" w:hAnsiTheme="minorHAnsi" w:cstheme="minorHAnsi"/>
          <w:noProof/>
          <w:szCs w:val="24"/>
        </w:rPr>
        <w:t xml:space="preserve"> Z hlediska EU se navzdory zvýšení intenzity výzkumu a vývoje nadále řadí mezi průměrné inovátory. Tyto výsledky mohou souviset s tím, že veřejné investice postrádají plně soudržnou strategii, která by posílila slabší výkonnost výzkumu a zlepšila spolupráci mezi soukromým sektorem a akademickou sférou. Nárůst produktivity táhnou převážně velké zahraniční společnosti, zatímco domácí podniky v oblasti vytváření přidané hodnoty zaostávají. Souhrnná produktivita výrobních faktorů, která je ukazatelem efektivnosti využívání kapitálu a práce v produkci, navíc roste poměrně pomalu. Větším zaměřením na domácí inovace by se mohla zvýšit produktivita v rámci celého podnikového spektra, včetně malých a středních podniků.</w:t>
      </w:r>
    </w:p>
    <w:p w:rsidR="00C116A2" w:rsidRPr="005D106F" w:rsidRDefault="00C116A2" w:rsidP="005F451D">
      <w:pPr>
        <w:spacing w:line="271" w:lineRule="auto"/>
        <w:contextualSpacing/>
        <w:jc w:val="left"/>
        <w:rPr>
          <w:rFonts w:cstheme="minorHAnsi"/>
          <w:sz w:val="24"/>
          <w:szCs w:val="24"/>
        </w:rPr>
      </w:pPr>
    </w:p>
    <w:p w:rsidR="00C116A2" w:rsidRPr="005D106F" w:rsidRDefault="00C116A2" w:rsidP="005F451D">
      <w:pPr>
        <w:pStyle w:val="Formuledadoption"/>
        <w:spacing w:before="0" w:line="271" w:lineRule="auto"/>
        <w:contextualSpacing/>
        <w:rPr>
          <w:rFonts w:asciiTheme="minorHAnsi" w:hAnsiTheme="minorHAnsi" w:cstheme="minorHAnsi"/>
          <w:noProof/>
          <w:szCs w:val="24"/>
        </w:rPr>
      </w:pPr>
      <w:r w:rsidRPr="005D106F">
        <w:rPr>
          <w:rFonts w:asciiTheme="minorHAnsi" w:hAnsiTheme="minorHAnsi" w:cstheme="minorHAnsi"/>
          <w:noProof/>
          <w:szCs w:val="24"/>
        </w:rPr>
        <w:t>DOPORUČUJE České republice v letech 2019 a 2020:</w:t>
      </w:r>
    </w:p>
    <w:p w:rsidR="00C116A2" w:rsidRPr="005D106F" w:rsidRDefault="005F451D" w:rsidP="005F451D">
      <w:pPr>
        <w:pStyle w:val="ManualNumPar1"/>
        <w:spacing w:before="0" w:line="271" w:lineRule="auto"/>
        <w:contextualSpacing/>
        <w:rPr>
          <w:rFonts w:asciiTheme="minorHAnsi" w:hAnsiTheme="minorHAnsi" w:cstheme="minorHAnsi"/>
          <w:noProof/>
          <w:szCs w:val="24"/>
        </w:rPr>
      </w:pPr>
      <w:r w:rsidRPr="005D106F">
        <w:rPr>
          <w:rFonts w:asciiTheme="minorHAnsi" w:hAnsiTheme="minorHAnsi" w:cstheme="minorHAnsi"/>
          <w:szCs w:val="24"/>
        </w:rPr>
        <w:t>3</w:t>
      </w:r>
      <w:r w:rsidR="00C116A2" w:rsidRPr="005D106F">
        <w:rPr>
          <w:rFonts w:asciiTheme="minorHAnsi" w:hAnsiTheme="minorHAnsi" w:cstheme="minorHAnsi"/>
          <w:szCs w:val="24"/>
        </w:rPr>
        <w:t>.</w:t>
      </w:r>
      <w:r w:rsidR="00C116A2" w:rsidRPr="005D106F">
        <w:rPr>
          <w:rFonts w:asciiTheme="minorHAnsi" w:hAnsiTheme="minorHAnsi" w:cstheme="minorHAnsi"/>
          <w:szCs w:val="24"/>
        </w:rPr>
        <w:tab/>
      </w:r>
      <w:r w:rsidR="00C116A2" w:rsidRPr="005D106F">
        <w:rPr>
          <w:rFonts w:asciiTheme="minorHAnsi" w:hAnsiTheme="minorHAnsi" w:cstheme="minorHAnsi"/>
          <w:noProof/>
          <w:szCs w:val="24"/>
        </w:rPr>
        <w:t xml:space="preserve">Odstranit překážky bránící rozvoji plně funkčního inovačního ekosystému. </w:t>
      </w:r>
    </w:p>
    <w:p w:rsidR="00C116A2" w:rsidRPr="005D106F" w:rsidRDefault="00C116A2" w:rsidP="005F451D">
      <w:pPr>
        <w:spacing w:line="271" w:lineRule="auto"/>
        <w:contextualSpacing/>
        <w:jc w:val="left"/>
        <w:rPr>
          <w:rFonts w:cstheme="minorHAnsi"/>
          <w:sz w:val="24"/>
          <w:szCs w:val="24"/>
        </w:rPr>
      </w:pPr>
    </w:p>
    <w:p w:rsidR="005F451D" w:rsidRPr="00DB467C" w:rsidRDefault="005F451D" w:rsidP="005F451D">
      <w:pPr>
        <w:spacing w:line="271" w:lineRule="auto"/>
        <w:contextualSpacing/>
        <w:jc w:val="left"/>
        <w:rPr>
          <w:rFonts w:cstheme="minorHAnsi"/>
        </w:rPr>
      </w:pPr>
    </w:p>
    <w:p w:rsidR="00DB467C" w:rsidRPr="00DB467C" w:rsidRDefault="00C116A2" w:rsidP="005F451D">
      <w:pPr>
        <w:pStyle w:val="Typedudocument"/>
        <w:spacing w:before="0" w:after="120" w:line="271" w:lineRule="auto"/>
        <w:contextualSpacing/>
        <w:jc w:val="both"/>
        <w:rPr>
          <w:rFonts w:asciiTheme="minorHAnsi" w:hAnsiTheme="minorHAnsi" w:cstheme="minorHAnsi"/>
          <w:noProof/>
          <w:sz w:val="26"/>
          <w:szCs w:val="26"/>
        </w:rPr>
      </w:pPr>
      <w:r w:rsidRPr="00DB467C">
        <w:rPr>
          <w:rFonts w:asciiTheme="minorHAnsi" w:hAnsiTheme="minorHAnsi" w:cstheme="minorHAnsi"/>
          <w:noProof/>
          <w:sz w:val="26"/>
          <w:szCs w:val="26"/>
        </w:rPr>
        <w:t>DOPORUČENÍ RADY</w:t>
      </w:r>
      <w:r w:rsidR="00DB467C" w:rsidRPr="00DB467C">
        <w:rPr>
          <w:rFonts w:asciiTheme="minorHAnsi" w:hAnsiTheme="minorHAnsi" w:cstheme="minorHAnsi"/>
          <w:noProof/>
          <w:sz w:val="26"/>
          <w:szCs w:val="26"/>
        </w:rPr>
        <w:t xml:space="preserve"> </w:t>
      </w:r>
      <w:r w:rsidRPr="00DB467C">
        <w:rPr>
          <w:rFonts w:asciiTheme="minorHAnsi" w:hAnsiTheme="minorHAnsi" w:cstheme="minorHAnsi"/>
          <w:noProof/>
          <w:sz w:val="26"/>
          <w:szCs w:val="26"/>
        </w:rPr>
        <w:t>k národnímu programu reforem Česka na rok 2020 a stanovisko Rady ke konvergenčnímu programu Česka z roku 2020</w:t>
      </w:r>
    </w:p>
    <w:p w:rsidR="005D106F" w:rsidRDefault="005D106F" w:rsidP="005F451D">
      <w:pPr>
        <w:pStyle w:val="ManualConsidrant"/>
        <w:spacing w:before="0" w:line="271" w:lineRule="auto"/>
        <w:contextualSpacing/>
        <w:rPr>
          <w:rFonts w:asciiTheme="minorHAnsi" w:hAnsiTheme="minorHAnsi" w:cstheme="minorHAnsi"/>
          <w:noProof/>
          <w:szCs w:val="24"/>
        </w:rPr>
      </w:pPr>
    </w:p>
    <w:p w:rsidR="00DB467C" w:rsidRPr="005D106F" w:rsidRDefault="00C116A2" w:rsidP="005F451D">
      <w:pPr>
        <w:pStyle w:val="ManualConsidrant"/>
        <w:spacing w:before="0" w:line="271" w:lineRule="auto"/>
        <w:contextualSpacing/>
        <w:rPr>
          <w:rFonts w:asciiTheme="minorHAnsi" w:hAnsiTheme="minorHAnsi" w:cstheme="minorHAnsi"/>
          <w:noProof/>
          <w:szCs w:val="24"/>
        </w:rPr>
      </w:pPr>
      <w:r w:rsidRPr="005D106F">
        <w:rPr>
          <w:rFonts w:asciiTheme="minorHAnsi" w:hAnsiTheme="minorHAnsi" w:cstheme="minorHAnsi"/>
          <w:noProof/>
          <w:szCs w:val="24"/>
        </w:rPr>
        <w:t>(21)</w:t>
      </w:r>
      <w:r w:rsidRPr="005D106F">
        <w:rPr>
          <w:rFonts w:asciiTheme="minorHAnsi" w:hAnsiTheme="minorHAnsi" w:cstheme="minorHAnsi"/>
          <w:noProof/>
          <w:szCs w:val="24"/>
        </w:rPr>
        <w:tab/>
      </w:r>
    </w:p>
    <w:p w:rsidR="00C116A2" w:rsidRPr="005D106F" w:rsidRDefault="00C116A2" w:rsidP="005F451D">
      <w:pPr>
        <w:pStyle w:val="ManualConsidrant"/>
        <w:spacing w:before="0" w:line="271" w:lineRule="auto"/>
        <w:ind w:left="0" w:firstLine="0"/>
        <w:contextualSpacing/>
        <w:rPr>
          <w:rFonts w:asciiTheme="minorHAnsi" w:hAnsiTheme="minorHAnsi" w:cstheme="minorHAnsi"/>
          <w:noProof/>
          <w:szCs w:val="24"/>
        </w:rPr>
      </w:pPr>
      <w:r w:rsidRPr="005D106F">
        <w:rPr>
          <w:rFonts w:asciiTheme="minorHAnsi" w:hAnsiTheme="minorHAnsi" w:cstheme="minorHAnsi"/>
          <w:noProof/>
          <w:szCs w:val="24"/>
        </w:rPr>
        <w:t>Přístup k běžným způsobům financování je lepší než průměr EU, avšak rizikové financování je méně rozvinuté. Financování vysoce rizikových domácích po</w:t>
      </w:r>
      <w:r w:rsidR="005D106F">
        <w:rPr>
          <w:rFonts w:asciiTheme="minorHAnsi" w:hAnsiTheme="minorHAnsi" w:cstheme="minorHAnsi"/>
          <w:noProof/>
          <w:szCs w:val="24"/>
        </w:rPr>
        <w:t>dniků, zejména při založení a v </w:t>
      </w:r>
      <w:r w:rsidRPr="005D106F">
        <w:rPr>
          <w:rFonts w:asciiTheme="minorHAnsi" w:hAnsiTheme="minorHAnsi" w:cstheme="minorHAnsi"/>
          <w:noProof/>
          <w:szCs w:val="24"/>
        </w:rPr>
        <w:t xml:space="preserve">pozdější rozvojové fázi, je stále vzácné. Některé úspěšné inovativní iniciativy se sice dostaly na trh, ale financování rizikového a vlastního kapitálu zůstává velmi nízké. </w:t>
      </w:r>
      <w:r w:rsidRPr="005D106F">
        <w:rPr>
          <w:rFonts w:asciiTheme="minorHAnsi" w:hAnsiTheme="minorHAnsi" w:cstheme="minorHAnsi"/>
          <w:b/>
          <w:noProof/>
          <w:szCs w:val="24"/>
        </w:rPr>
        <w:t>Pro rozvoj výzkumu a inovací je v Česku zapotřebí systémová reforma.</w:t>
      </w:r>
      <w:r w:rsidRPr="005D106F">
        <w:rPr>
          <w:rFonts w:asciiTheme="minorHAnsi" w:hAnsiTheme="minorHAnsi" w:cstheme="minorHAnsi"/>
          <w:noProof/>
          <w:szCs w:val="24"/>
        </w:rPr>
        <w:t xml:space="preserve"> Dále sice plynule rostou soukromé investice do výzkumu a vývoje, ale velké, převážně zahraniční podniky investují do </w:t>
      </w:r>
      <w:r w:rsidRPr="005D106F">
        <w:rPr>
          <w:rFonts w:asciiTheme="minorHAnsi" w:hAnsiTheme="minorHAnsi" w:cstheme="minorHAnsi"/>
          <w:noProof/>
          <w:szCs w:val="24"/>
        </w:rPr>
        <w:lastRenderedPageBreak/>
        <w:t>nehmotných aktiv, jako je výzkum a vývoj, znatelně více než domácí podniky malé a střední velikosti. Odvětví středně a vysoce vyspělých technologií trpí nedostatkem dovedností, protože v zemi je málo absolventů přírodovědný</w:t>
      </w:r>
      <w:r w:rsidR="005D106F">
        <w:rPr>
          <w:rFonts w:asciiTheme="minorHAnsi" w:hAnsiTheme="minorHAnsi" w:cstheme="minorHAnsi"/>
          <w:noProof/>
          <w:szCs w:val="24"/>
        </w:rPr>
        <w:t>ch, technických, inženýrských a </w:t>
      </w:r>
      <w:r w:rsidRPr="005D106F">
        <w:rPr>
          <w:rFonts w:asciiTheme="minorHAnsi" w:hAnsiTheme="minorHAnsi" w:cstheme="minorHAnsi"/>
          <w:noProof/>
          <w:szCs w:val="24"/>
        </w:rPr>
        <w:t>matematických oborů a absolventům chybí odpovídající odborná příprava. Také propagace a podpora podnikání je stále nízká, což brzdí růst produktivity. Výrazná roz</w:t>
      </w:r>
      <w:r w:rsidR="005D106F">
        <w:rPr>
          <w:rFonts w:asciiTheme="minorHAnsi" w:hAnsiTheme="minorHAnsi" w:cstheme="minorHAnsi"/>
          <w:noProof/>
          <w:szCs w:val="24"/>
        </w:rPr>
        <w:t>tříštěnost v </w:t>
      </w:r>
      <w:r w:rsidRPr="005D106F">
        <w:rPr>
          <w:rFonts w:asciiTheme="minorHAnsi" w:hAnsiTheme="minorHAnsi" w:cstheme="minorHAnsi"/>
          <w:noProof/>
          <w:szCs w:val="24"/>
        </w:rPr>
        <w:t>odvětví výzkumu vede k tomu, že finanční prostředky na výzkum a vývoj jsou příliš rozptýleny. Spolupráci veřejného a soukromého sektoru ztěžuje stávající praxe posuzování profesní dráhy výzkumných pracovníků. Užší spolupráce mezi akademickou o</w:t>
      </w:r>
      <w:r w:rsidR="005D106F">
        <w:rPr>
          <w:rFonts w:asciiTheme="minorHAnsi" w:hAnsiTheme="minorHAnsi" w:cstheme="minorHAnsi"/>
          <w:noProof/>
          <w:szCs w:val="24"/>
        </w:rPr>
        <w:t>bcí a </w:t>
      </w:r>
      <w:r w:rsidRPr="005D106F">
        <w:rPr>
          <w:rFonts w:asciiTheme="minorHAnsi" w:hAnsiTheme="minorHAnsi" w:cstheme="minorHAnsi"/>
          <w:noProof/>
          <w:szCs w:val="24"/>
        </w:rPr>
        <w:t>podnikatelskou sférou, zejména prostřednictvím tzv. spin-off firem, by mohla urychlit přenos technologií a šíření inovací.</w:t>
      </w:r>
    </w:p>
    <w:p w:rsidR="00C116A2" w:rsidRPr="005D106F" w:rsidRDefault="00C116A2" w:rsidP="005F451D">
      <w:pPr>
        <w:spacing w:line="271" w:lineRule="auto"/>
        <w:contextualSpacing/>
        <w:jc w:val="left"/>
        <w:rPr>
          <w:rFonts w:cstheme="minorHAnsi"/>
          <w:sz w:val="24"/>
          <w:szCs w:val="24"/>
        </w:rPr>
      </w:pPr>
    </w:p>
    <w:p w:rsidR="00C116A2" w:rsidRPr="005D106F" w:rsidRDefault="00C116A2" w:rsidP="005F451D">
      <w:pPr>
        <w:pStyle w:val="Formuledadoption"/>
        <w:spacing w:before="0" w:line="271" w:lineRule="auto"/>
        <w:contextualSpacing/>
        <w:rPr>
          <w:rFonts w:asciiTheme="minorHAnsi" w:hAnsiTheme="minorHAnsi" w:cstheme="minorHAnsi"/>
          <w:noProof/>
          <w:szCs w:val="24"/>
        </w:rPr>
      </w:pPr>
      <w:r w:rsidRPr="005D106F">
        <w:rPr>
          <w:rFonts w:asciiTheme="minorHAnsi" w:hAnsiTheme="minorHAnsi" w:cstheme="minorHAnsi"/>
          <w:noProof/>
          <w:szCs w:val="24"/>
        </w:rPr>
        <w:t>DOPORUČUJE Česku v letech 2020 a 2021:</w:t>
      </w:r>
    </w:p>
    <w:p w:rsidR="00C116A2" w:rsidRPr="005D106F" w:rsidRDefault="005F451D" w:rsidP="005F451D">
      <w:pPr>
        <w:pStyle w:val="ManualNumPar1"/>
        <w:spacing w:before="0" w:line="271" w:lineRule="auto"/>
        <w:contextualSpacing/>
        <w:rPr>
          <w:rFonts w:asciiTheme="minorHAnsi" w:hAnsiTheme="minorHAnsi" w:cstheme="minorHAnsi"/>
          <w:noProof/>
          <w:szCs w:val="24"/>
        </w:rPr>
      </w:pPr>
      <w:r w:rsidRPr="005D106F">
        <w:rPr>
          <w:rFonts w:asciiTheme="minorHAnsi" w:hAnsiTheme="minorHAnsi" w:cstheme="minorHAnsi"/>
          <w:noProof/>
          <w:szCs w:val="24"/>
        </w:rPr>
        <w:t>3</w:t>
      </w:r>
      <w:r w:rsidR="00C116A2" w:rsidRPr="005D106F">
        <w:rPr>
          <w:rFonts w:asciiTheme="minorHAnsi" w:hAnsiTheme="minorHAnsi" w:cstheme="minorHAnsi"/>
          <w:noProof/>
          <w:szCs w:val="24"/>
        </w:rPr>
        <w:t>.</w:t>
      </w:r>
      <w:r w:rsidR="00C116A2" w:rsidRPr="005D106F">
        <w:rPr>
          <w:rFonts w:asciiTheme="minorHAnsi" w:hAnsiTheme="minorHAnsi" w:cstheme="minorHAnsi"/>
          <w:noProof/>
          <w:szCs w:val="24"/>
        </w:rPr>
        <w:tab/>
      </w:r>
      <w:r w:rsidRPr="005D106F">
        <w:rPr>
          <w:rFonts w:asciiTheme="minorHAnsi" w:hAnsiTheme="minorHAnsi" w:cstheme="minorHAnsi"/>
          <w:noProof/>
          <w:szCs w:val="24"/>
        </w:rPr>
        <w:t>Z</w:t>
      </w:r>
      <w:r w:rsidR="00C116A2" w:rsidRPr="005D106F">
        <w:rPr>
          <w:rFonts w:asciiTheme="minorHAnsi" w:hAnsiTheme="minorHAnsi" w:cstheme="minorHAnsi"/>
          <w:noProof/>
          <w:szCs w:val="24"/>
        </w:rPr>
        <w:t>ajistit inovativním podnikům přístup k financování a</w:t>
      </w:r>
      <w:r w:rsidR="005D106F">
        <w:rPr>
          <w:rFonts w:asciiTheme="minorHAnsi" w:hAnsiTheme="minorHAnsi" w:cstheme="minorHAnsi"/>
          <w:noProof/>
          <w:szCs w:val="24"/>
        </w:rPr>
        <w:t xml:space="preserve"> zlepšit spolupráci veřejného a </w:t>
      </w:r>
      <w:r w:rsidR="00C116A2" w:rsidRPr="005D106F">
        <w:rPr>
          <w:rFonts w:asciiTheme="minorHAnsi" w:hAnsiTheme="minorHAnsi" w:cstheme="minorHAnsi"/>
          <w:noProof/>
          <w:szCs w:val="24"/>
        </w:rPr>
        <w:t xml:space="preserve">soukromého sektoru v oblasti výzkumu a vývoje. </w:t>
      </w:r>
    </w:p>
    <w:p w:rsidR="00C116A2" w:rsidRPr="00DB467C" w:rsidRDefault="00C116A2" w:rsidP="005F451D">
      <w:pPr>
        <w:spacing w:line="271" w:lineRule="auto"/>
        <w:contextualSpacing/>
        <w:jc w:val="left"/>
        <w:rPr>
          <w:rFonts w:cstheme="minorHAnsi"/>
        </w:rPr>
      </w:pPr>
    </w:p>
    <w:p w:rsidR="005D106F" w:rsidRDefault="005D106F" w:rsidP="005F451D">
      <w:pPr>
        <w:spacing w:line="271" w:lineRule="auto"/>
        <w:contextualSpacing/>
        <w:jc w:val="left"/>
        <w:rPr>
          <w:rFonts w:cstheme="minorHAnsi"/>
          <w:b/>
          <w:sz w:val="26"/>
          <w:szCs w:val="26"/>
        </w:rPr>
      </w:pPr>
    </w:p>
    <w:p w:rsidR="00965D79" w:rsidRPr="005F451D" w:rsidRDefault="005F451D" w:rsidP="005F451D">
      <w:pPr>
        <w:spacing w:line="271" w:lineRule="auto"/>
        <w:contextualSpacing/>
        <w:jc w:val="left"/>
        <w:rPr>
          <w:rFonts w:cstheme="minorHAnsi"/>
          <w:b/>
          <w:sz w:val="26"/>
          <w:szCs w:val="26"/>
        </w:rPr>
      </w:pPr>
      <w:r w:rsidRPr="005F451D">
        <w:rPr>
          <w:rFonts w:cstheme="minorHAnsi"/>
          <w:b/>
          <w:sz w:val="26"/>
          <w:szCs w:val="26"/>
        </w:rPr>
        <w:t>Zpráva o České republice 2020</w:t>
      </w:r>
    </w:p>
    <w:p w:rsidR="005F451D" w:rsidRPr="005F451D" w:rsidRDefault="005F451D" w:rsidP="005F451D">
      <w:pPr>
        <w:spacing w:line="271" w:lineRule="auto"/>
        <w:contextualSpacing/>
        <w:jc w:val="left"/>
        <w:rPr>
          <w:rFonts w:cstheme="minorHAnsi"/>
          <w:b/>
          <w:sz w:val="26"/>
          <w:szCs w:val="26"/>
        </w:rPr>
      </w:pPr>
      <w:r w:rsidRPr="005F451D">
        <w:rPr>
          <w:rFonts w:cstheme="minorHAnsi"/>
          <w:b/>
          <w:sz w:val="26"/>
          <w:szCs w:val="26"/>
        </w:rPr>
        <w:t>Průvodní dokument k Sdělení Komise Evropskému parlamentu a Evropské radě, Radě, Evropské centrální bance a Euroskupině</w:t>
      </w:r>
    </w:p>
    <w:p w:rsidR="00965D79" w:rsidRPr="00DB467C" w:rsidRDefault="00965D79" w:rsidP="005F451D">
      <w:pPr>
        <w:spacing w:line="271" w:lineRule="auto"/>
        <w:contextualSpacing/>
        <w:jc w:val="left"/>
        <w:rPr>
          <w:rFonts w:cstheme="minorHAnsi"/>
        </w:rPr>
      </w:pPr>
    </w:p>
    <w:p w:rsidR="00965D79" w:rsidRPr="005D106F" w:rsidRDefault="00965D79" w:rsidP="005F451D">
      <w:pPr>
        <w:pStyle w:val="Heading"/>
        <w:spacing w:before="0" w:line="271" w:lineRule="auto"/>
        <w:contextualSpacing/>
        <w:rPr>
          <w:rFonts w:asciiTheme="minorHAnsi" w:hAnsiTheme="minorHAnsi" w:cstheme="minorHAnsi"/>
          <w:noProof/>
          <w:sz w:val="26"/>
          <w:szCs w:val="26"/>
          <w:lang w:val="cs-CZ"/>
        </w:rPr>
      </w:pPr>
      <w:r w:rsidRPr="005D106F">
        <w:rPr>
          <w:rFonts w:asciiTheme="minorHAnsi" w:hAnsiTheme="minorHAnsi" w:cstheme="minorHAnsi"/>
          <w:noProof/>
          <w:sz w:val="26"/>
          <w:szCs w:val="26"/>
          <w:lang w:val="cs-CZ"/>
        </w:rPr>
        <w:t>Výzkum a inovace</w:t>
      </w:r>
    </w:p>
    <w:p w:rsidR="00965D79" w:rsidRPr="005D106F" w:rsidRDefault="00965D79" w:rsidP="005F451D">
      <w:pPr>
        <w:spacing w:line="271" w:lineRule="auto"/>
        <w:contextualSpacing/>
        <w:rPr>
          <w:rFonts w:cstheme="minorHAnsi"/>
          <w:noProof/>
          <w:sz w:val="24"/>
          <w:szCs w:val="24"/>
        </w:rPr>
      </w:pPr>
      <w:r w:rsidRPr="005D106F">
        <w:rPr>
          <w:rFonts w:cstheme="minorHAnsi"/>
          <w:b/>
          <w:noProof/>
          <w:sz w:val="24"/>
          <w:szCs w:val="24"/>
        </w:rPr>
        <w:t>Pro podporu udržitelného hospodářského růstu jsou domácí inovace zásadní.</w:t>
      </w:r>
      <w:r w:rsidRPr="005D106F">
        <w:rPr>
          <w:rFonts w:cstheme="minorHAnsi"/>
          <w:noProof/>
          <w:sz w:val="24"/>
          <w:szCs w:val="24"/>
        </w:rPr>
        <w:t xml:space="preserve"> Podle evropského srovnávacího přehledu inovací z roku 2019 zůstává Česká republika nepříliš velkým inovátorem (na 14. místě v rámci EU), avšak její výkonnost se postupně zlepšuje. Míra podnikového výzkumu a vývoje se zvýšila z 0,77 % HDP v roce 2010 na 1,19 % v roce 2018 (průměr EU činil 1,41 %). V oblasti inovací je patrný značný rozdíl mezi výkonem tuzemských podniků a velkých podniků v zahraničním vlastnictví, které na VaV vydávají vyšší výdaje (viz zpráva o zemi z roku 2018). Tento rozdíl by bylo možné zmírnit intenzivnějším zapojením tuzemských podniků do výzkumu a vývoje, aby získaly lepší pozici v hodnotových řetězcích.</w:t>
      </w:r>
    </w:p>
    <w:p w:rsidR="005D106F" w:rsidRDefault="005D106F" w:rsidP="005F451D">
      <w:pPr>
        <w:spacing w:line="271" w:lineRule="auto"/>
        <w:contextualSpacing/>
        <w:rPr>
          <w:rFonts w:cstheme="minorHAnsi"/>
          <w:b/>
          <w:noProof/>
          <w:sz w:val="24"/>
          <w:szCs w:val="24"/>
        </w:rPr>
      </w:pPr>
    </w:p>
    <w:p w:rsidR="00965D79" w:rsidRPr="005D106F" w:rsidRDefault="00965D79" w:rsidP="005F451D">
      <w:pPr>
        <w:spacing w:line="271" w:lineRule="auto"/>
        <w:contextualSpacing/>
        <w:rPr>
          <w:rFonts w:cstheme="minorHAnsi"/>
          <w:noProof/>
          <w:sz w:val="24"/>
          <w:szCs w:val="24"/>
        </w:rPr>
      </w:pPr>
      <w:r w:rsidRPr="005D106F">
        <w:rPr>
          <w:rFonts w:cstheme="minorHAnsi"/>
          <w:b/>
          <w:noProof/>
          <w:sz w:val="24"/>
          <w:szCs w:val="24"/>
        </w:rPr>
        <w:t>Nízká návratnost, roztříštěnost, nepříliš vysoká kvalita a n</w:t>
      </w:r>
      <w:r w:rsidR="005D106F">
        <w:rPr>
          <w:rFonts w:cstheme="minorHAnsi"/>
          <w:b/>
          <w:noProof/>
          <w:sz w:val="24"/>
          <w:szCs w:val="24"/>
        </w:rPr>
        <w:t>ízká internacionalizace vedou k </w:t>
      </w:r>
      <w:r w:rsidRPr="005D106F">
        <w:rPr>
          <w:rFonts w:cstheme="minorHAnsi"/>
          <w:b/>
          <w:noProof/>
          <w:sz w:val="24"/>
          <w:szCs w:val="24"/>
        </w:rPr>
        <w:t>relativně nevýraznému výkonu.</w:t>
      </w:r>
      <w:r w:rsidRPr="005D106F">
        <w:rPr>
          <w:rFonts w:cstheme="minorHAnsi"/>
          <w:noProof/>
          <w:sz w:val="24"/>
          <w:szCs w:val="24"/>
        </w:rPr>
        <w:t xml:space="preserve"> Celkové výdaje na VaV od roku 2010 trvale rostou a v roce 2018 dosáhly 1,93 % HDP, což je o něco méně než průměrná hodnota EU ve výši 2,11 %. Veřejné výdaje určené na výzkum a vývoj rovněž vzrostly z</w:t>
      </w:r>
      <w:r w:rsidR="005D106F">
        <w:rPr>
          <w:rFonts w:cstheme="minorHAnsi"/>
          <w:noProof/>
          <w:sz w:val="24"/>
          <w:szCs w:val="24"/>
        </w:rPr>
        <w:t xml:space="preserve"> 0,56 % v roce 2010 na 0,73 % v </w:t>
      </w:r>
      <w:r w:rsidRPr="005D106F">
        <w:rPr>
          <w:rFonts w:cstheme="minorHAnsi"/>
          <w:noProof/>
          <w:sz w:val="24"/>
          <w:szCs w:val="24"/>
        </w:rPr>
        <w:t>roce 2018, což je stále pod cílovou hodnotou na rok 2020 výši 1 % HDP. Přes značné navýšení veřejných prostředků VaV zůstává kvalita věde</w:t>
      </w:r>
      <w:r w:rsidR="005D106F">
        <w:rPr>
          <w:rFonts w:cstheme="minorHAnsi"/>
          <w:noProof/>
          <w:sz w:val="24"/>
          <w:szCs w:val="24"/>
        </w:rPr>
        <w:t>ckých výstupů relativně nízká a </w:t>
      </w:r>
      <w:r w:rsidRPr="005D106F">
        <w:rPr>
          <w:rFonts w:cstheme="minorHAnsi"/>
          <w:noProof/>
          <w:sz w:val="24"/>
          <w:szCs w:val="24"/>
        </w:rPr>
        <w:t xml:space="preserve">pohybuje se přibližně na polovině průměrné hodnoty EU (podíl prvních 10 % nejcitovanějších vědeckých publikací v roce 2016 odpovídal 5,1 %). I když je systém výzkumu internacionalizovanější (měřeno na základě společných mezinárodních publikací, 46,5 % </w:t>
      </w:r>
      <w:r w:rsidRPr="005D106F">
        <w:rPr>
          <w:rFonts w:cstheme="minorHAnsi"/>
          <w:noProof/>
          <w:sz w:val="24"/>
          <w:szCs w:val="24"/>
        </w:rPr>
        <w:lastRenderedPageBreak/>
        <w:t>v</w:t>
      </w:r>
      <w:r w:rsidR="005F451D" w:rsidRPr="005D106F">
        <w:rPr>
          <w:rFonts w:cstheme="minorHAnsi"/>
          <w:noProof/>
          <w:sz w:val="24"/>
          <w:szCs w:val="24"/>
        </w:rPr>
        <w:t> </w:t>
      </w:r>
      <w:r w:rsidRPr="005D106F">
        <w:rPr>
          <w:rFonts w:cstheme="minorHAnsi"/>
          <w:noProof/>
          <w:sz w:val="24"/>
          <w:szCs w:val="24"/>
        </w:rPr>
        <w:t>roce 2018), má Česká republika na úrovni EU stále slabé výsledky. Vysoká roztříštěnost odvětví veřejného výzkumu navíc vede k rozmělnění prostředků určených na VaV. Řešení uvedených problémů by vedlo k dalšímu pokroku při dosahová</w:t>
      </w:r>
      <w:r w:rsidR="005D106F">
        <w:rPr>
          <w:rFonts w:cstheme="minorHAnsi"/>
          <w:noProof/>
          <w:sz w:val="24"/>
          <w:szCs w:val="24"/>
        </w:rPr>
        <w:t>ní cíle udržitelného rozvoje č. </w:t>
      </w:r>
      <w:r w:rsidRPr="005D106F">
        <w:rPr>
          <w:rFonts w:cstheme="minorHAnsi"/>
          <w:noProof/>
          <w:sz w:val="24"/>
          <w:szCs w:val="24"/>
        </w:rPr>
        <w:t>9.</w:t>
      </w:r>
    </w:p>
    <w:p w:rsidR="005F451D" w:rsidRPr="005D106F" w:rsidRDefault="005F451D" w:rsidP="005F451D">
      <w:pPr>
        <w:spacing w:line="271" w:lineRule="auto"/>
        <w:contextualSpacing/>
        <w:rPr>
          <w:rFonts w:cstheme="minorHAnsi"/>
          <w:b/>
          <w:noProof/>
          <w:sz w:val="24"/>
          <w:szCs w:val="24"/>
        </w:rPr>
      </w:pPr>
    </w:p>
    <w:p w:rsidR="00965D79" w:rsidRPr="005D106F" w:rsidRDefault="00965D79" w:rsidP="005F451D">
      <w:pPr>
        <w:spacing w:line="271" w:lineRule="auto"/>
        <w:contextualSpacing/>
        <w:rPr>
          <w:rFonts w:cstheme="minorHAnsi"/>
          <w:noProof/>
          <w:sz w:val="24"/>
          <w:szCs w:val="24"/>
        </w:rPr>
      </w:pPr>
      <w:r w:rsidRPr="005D106F">
        <w:rPr>
          <w:rFonts w:cstheme="minorHAnsi"/>
          <w:b/>
          <w:noProof/>
          <w:sz w:val="24"/>
          <w:szCs w:val="24"/>
        </w:rPr>
        <w:t>Veřejné výdaje na VaV se neopírají o systémové a komplexní reformy</w:t>
      </w:r>
      <w:r w:rsidRPr="005D106F">
        <w:rPr>
          <w:rFonts w:cstheme="minorHAnsi"/>
          <w:noProof/>
          <w:sz w:val="24"/>
          <w:szCs w:val="24"/>
        </w:rPr>
        <w:t>. Ačkoli byla přijata určitá opatření a výdaje se navyšují, je stále příliš brzy na posouzení jejich dopadu. Ze strany výzkumných organizací a vysokoškolských institucí bude pro</w:t>
      </w:r>
      <w:r w:rsidR="005D106F">
        <w:rPr>
          <w:rFonts w:cstheme="minorHAnsi"/>
          <w:noProof/>
          <w:sz w:val="24"/>
          <w:szCs w:val="24"/>
        </w:rPr>
        <w:t>bíhající reforma Metodika 17+ v </w:t>
      </w:r>
      <w:r w:rsidRPr="005D106F">
        <w:rPr>
          <w:rFonts w:cstheme="minorHAnsi"/>
          <w:noProof/>
          <w:sz w:val="24"/>
          <w:szCs w:val="24"/>
        </w:rPr>
        <w:t xml:space="preserve">plné míře teprve provedena (její plné spuštění se očekává v roce 2020). </w:t>
      </w:r>
    </w:p>
    <w:p w:rsidR="005F451D" w:rsidRPr="005D106F" w:rsidRDefault="005F451D" w:rsidP="005F451D">
      <w:pPr>
        <w:spacing w:line="271" w:lineRule="auto"/>
        <w:contextualSpacing/>
        <w:rPr>
          <w:rFonts w:cstheme="minorHAnsi"/>
          <w:b/>
          <w:noProof/>
          <w:sz w:val="24"/>
          <w:szCs w:val="24"/>
        </w:rPr>
      </w:pPr>
    </w:p>
    <w:p w:rsidR="00965D79" w:rsidRPr="005D106F" w:rsidRDefault="00965D79" w:rsidP="005F451D">
      <w:pPr>
        <w:spacing w:line="271" w:lineRule="auto"/>
        <w:contextualSpacing/>
        <w:rPr>
          <w:rFonts w:cstheme="minorHAnsi"/>
          <w:noProof/>
          <w:sz w:val="24"/>
          <w:szCs w:val="24"/>
        </w:rPr>
      </w:pPr>
      <w:r w:rsidRPr="005D106F">
        <w:rPr>
          <w:rFonts w:cstheme="minorHAnsi"/>
          <w:b/>
          <w:noProof/>
          <w:sz w:val="24"/>
          <w:szCs w:val="24"/>
        </w:rPr>
        <w:t>Propojení akademického a podnikatelského prostředí není dostatečné na to, aby podpořilo přenos znalostí a technologií.</w:t>
      </w:r>
      <w:r w:rsidRPr="005D106F">
        <w:rPr>
          <w:rFonts w:cstheme="minorHAnsi"/>
          <w:noProof/>
          <w:sz w:val="24"/>
          <w:szCs w:val="24"/>
        </w:rPr>
        <w:t xml:space="preserve"> Nízká míra veřejno-soukromých mezinárodních vědeckých publikací (2,9 % v porovnání s průměrem EU ve výši 5,5 %) vypovídá o slabé spolupráci mezi veřejným a soukromým sektorem. Zakládání společností typu spin-off stále brání regulatorní překážky a spolupráce často probíhá na neformální bázi. Kariérní postup výzkumných pracovníků ve veřejném sektoru do značné míry závisí na míře jejich publikační činnosti, což je odrazuje od spolupráce s průmyslovým odvětvím. Známky možného zlepšení jsou však patrné u toku znalostí, zejména díky zvýšené mobilitě výzkumných pracovníků. Počet vědeckých pracovníků zaměstnaných v soukromém sektoru na plný úvazek se zvýšil z 2</w:t>
      </w:r>
      <w:r w:rsidR="005D106F">
        <w:rPr>
          <w:rFonts w:cstheme="minorHAnsi"/>
          <w:noProof/>
          <w:sz w:val="24"/>
          <w:szCs w:val="24"/>
        </w:rPr>
        <w:t>,4 % v </w:t>
      </w:r>
      <w:r w:rsidRPr="005D106F">
        <w:rPr>
          <w:rFonts w:cstheme="minorHAnsi"/>
          <w:noProof/>
          <w:sz w:val="24"/>
          <w:szCs w:val="24"/>
        </w:rPr>
        <w:t>roce 2010 na 3,9 % v roce 2017.</w:t>
      </w:r>
    </w:p>
    <w:p w:rsidR="005F451D" w:rsidRPr="005D106F" w:rsidRDefault="005F451D" w:rsidP="005F451D">
      <w:pPr>
        <w:spacing w:line="271" w:lineRule="auto"/>
        <w:contextualSpacing/>
        <w:rPr>
          <w:rFonts w:cstheme="minorHAnsi"/>
          <w:b/>
          <w:noProof/>
          <w:sz w:val="24"/>
          <w:szCs w:val="24"/>
        </w:rPr>
      </w:pPr>
    </w:p>
    <w:p w:rsidR="00965D79" w:rsidRPr="005D106F" w:rsidRDefault="00965D79" w:rsidP="005F451D">
      <w:pPr>
        <w:spacing w:line="271" w:lineRule="auto"/>
        <w:contextualSpacing/>
        <w:rPr>
          <w:rFonts w:cstheme="minorHAnsi"/>
          <w:noProof/>
          <w:sz w:val="24"/>
          <w:szCs w:val="24"/>
        </w:rPr>
      </w:pPr>
      <w:r w:rsidRPr="005D106F">
        <w:rPr>
          <w:rFonts w:cstheme="minorHAnsi"/>
          <w:b/>
          <w:noProof/>
          <w:sz w:val="24"/>
          <w:szCs w:val="24"/>
        </w:rPr>
        <w:t>Účinnost institucionálního řízení politiky výzkumu a inovací zůstává omezená.</w:t>
      </w:r>
      <w:r w:rsidRPr="005D106F">
        <w:rPr>
          <w:rFonts w:cstheme="minorHAnsi"/>
          <w:noProof/>
          <w:sz w:val="24"/>
          <w:szCs w:val="24"/>
        </w:rPr>
        <w:t xml:space="preserve"> Politika výzkumu a inovací spadá do gesce několika různých úřadů, aniž by existoval vhodný koordinační mechanismus či synergie. Chybí ústřední vedoucí instituce, jejíž úlohou by bylo zajistit průřezovou koordinaci a která by měla praktický přehled v dané oblasti. Rozhodovací orgány proto většinou pracují izolovaně. Politika v oblasti výzkumu a inovací se sice opírá o několik strategií, ty však nejsou dostatečně soud</w:t>
      </w:r>
      <w:r w:rsidR="005D106F">
        <w:rPr>
          <w:rFonts w:cstheme="minorHAnsi"/>
          <w:noProof/>
          <w:sz w:val="24"/>
          <w:szCs w:val="24"/>
        </w:rPr>
        <w:t>ržné a koordinované, což vede k </w:t>
      </w:r>
      <w:r w:rsidRPr="005D106F">
        <w:rPr>
          <w:rFonts w:cstheme="minorHAnsi"/>
          <w:noProof/>
          <w:sz w:val="24"/>
          <w:szCs w:val="24"/>
        </w:rPr>
        <w:t>potenciálním překryvům, nejistotě a nedostatečné odpovědnosti ze strany různých subjektů. Inovační strategie na období 2019–2030, která byla přijata v lednu 2019 a těší se podpoře většiny zúčastněných stran, má za cíl posunout Českou republiku v hodnotovém řetězci směrem vzhůru a pomoci jí stát se do roku 2030 lídrem v oblasti inovací. Jak účinná sdílená odpovědnost a provádění jednotlivých pilířů strategie bude, se teprve ukáže. Účinnost strategie bude záviset na úspěšném provádění akčních plánů, které dotyčné úřady vypracovaly.</w:t>
      </w:r>
    </w:p>
    <w:p w:rsidR="005F451D" w:rsidRPr="005D106F" w:rsidRDefault="005F451D" w:rsidP="005F451D">
      <w:pPr>
        <w:spacing w:line="271" w:lineRule="auto"/>
        <w:contextualSpacing/>
        <w:rPr>
          <w:rFonts w:cstheme="minorHAnsi"/>
          <w:b/>
          <w:noProof/>
          <w:sz w:val="24"/>
          <w:szCs w:val="24"/>
        </w:rPr>
      </w:pPr>
    </w:p>
    <w:p w:rsidR="00965D79" w:rsidRPr="005D106F" w:rsidRDefault="00965D79" w:rsidP="005F451D">
      <w:pPr>
        <w:spacing w:line="271" w:lineRule="auto"/>
        <w:contextualSpacing/>
        <w:rPr>
          <w:rFonts w:cstheme="minorHAnsi"/>
          <w:noProof/>
          <w:sz w:val="24"/>
          <w:szCs w:val="24"/>
        </w:rPr>
      </w:pPr>
      <w:r w:rsidRPr="005D106F">
        <w:rPr>
          <w:rFonts w:cstheme="minorHAnsi"/>
          <w:b/>
          <w:noProof/>
          <w:sz w:val="24"/>
          <w:szCs w:val="24"/>
        </w:rPr>
        <w:t>Inovaci brzdí nedostatečný počet absolventů přírodovědných, technologických, inženýrských a matematických oborů.</w:t>
      </w:r>
      <w:r w:rsidRPr="005D106F">
        <w:rPr>
          <w:rFonts w:cstheme="minorHAnsi"/>
          <w:noProof/>
          <w:sz w:val="24"/>
          <w:szCs w:val="24"/>
        </w:rPr>
        <w:t xml:space="preserve"> Podíl osob s terciárním vzděláním ve věku 25–34 let se od roku 2007 zdvojnásobil, ale na úrovni EU Česká republika s 33,3 % v roce 2018 stále obsazuje spodní příčky. Nedostatek kvalifikované pracovní síly je důsledkem nejenom nízkého počtu absolventů, ale i neodpovídajících studijních oborů. Údaje týkající se absolventů v přírodovědných a inženýrských oborech (11,9</w:t>
      </w:r>
      <w:r w:rsidR="001F4695">
        <w:rPr>
          <w:rFonts w:cstheme="minorHAnsi"/>
          <w:noProof/>
          <w:sz w:val="24"/>
          <w:szCs w:val="24"/>
        </w:rPr>
        <w:t xml:space="preserve"> %) a v oborech souvisejících s </w:t>
      </w:r>
      <w:r w:rsidRPr="005D106F">
        <w:rPr>
          <w:rFonts w:cstheme="minorHAnsi"/>
          <w:noProof/>
          <w:sz w:val="24"/>
          <w:szCs w:val="24"/>
        </w:rPr>
        <w:t>výpočetní technikou (2,8 %) v roce 2017 naznačují mír</w:t>
      </w:r>
      <w:r w:rsidR="005D106F">
        <w:rPr>
          <w:rFonts w:cstheme="minorHAnsi"/>
          <w:noProof/>
          <w:sz w:val="24"/>
          <w:szCs w:val="24"/>
        </w:rPr>
        <w:t>né zpomalení v těchto oblastech</w:t>
      </w:r>
      <w:r w:rsidRPr="005D106F">
        <w:rPr>
          <w:rFonts w:cstheme="minorHAnsi"/>
          <w:noProof/>
          <w:sz w:val="24"/>
          <w:szCs w:val="24"/>
        </w:rPr>
        <w:t xml:space="preserve">. </w:t>
      </w:r>
      <w:r w:rsidRPr="005D106F">
        <w:rPr>
          <w:rFonts w:cstheme="minorHAnsi"/>
          <w:noProof/>
          <w:sz w:val="24"/>
          <w:szCs w:val="24"/>
        </w:rPr>
        <w:lastRenderedPageBreak/>
        <w:t xml:space="preserve">Nedostatek odborníků na informační a komunikační technologie na trhu může významně zbrzdit digitalizaci společností. Aktualizace učebních osnov je zdlouhavá a zdá se, že aktéři ne zcela dostatečně chápou, co průmysl vyžaduje, a co je tedy třeba do studijních programů začleňovat. Kvalita a relevance odborné přípravy absolventů proto nemusí plně odrážet požadavky trhu, což negativně ovlivňuje průmysl středně a vysoce vyspělých technologií. </w:t>
      </w:r>
    </w:p>
    <w:p w:rsidR="005F451D" w:rsidRPr="005D106F" w:rsidRDefault="005F451D" w:rsidP="005F451D">
      <w:pPr>
        <w:spacing w:line="271" w:lineRule="auto"/>
        <w:contextualSpacing/>
        <w:rPr>
          <w:rFonts w:cstheme="minorHAnsi"/>
          <w:b/>
          <w:noProof/>
          <w:sz w:val="24"/>
          <w:szCs w:val="24"/>
        </w:rPr>
      </w:pPr>
    </w:p>
    <w:p w:rsidR="00965D79" w:rsidRPr="005D106F" w:rsidRDefault="00965D79" w:rsidP="005F451D">
      <w:pPr>
        <w:spacing w:line="271" w:lineRule="auto"/>
        <w:contextualSpacing/>
        <w:rPr>
          <w:rFonts w:cstheme="minorHAnsi"/>
          <w:noProof/>
          <w:sz w:val="24"/>
          <w:szCs w:val="24"/>
        </w:rPr>
      </w:pPr>
      <w:r w:rsidRPr="005D106F">
        <w:rPr>
          <w:rFonts w:cstheme="minorHAnsi"/>
          <w:b/>
          <w:noProof/>
          <w:sz w:val="24"/>
          <w:szCs w:val="24"/>
        </w:rPr>
        <w:t>Inovační výkonnost se v jednotlivých regionech značně liší.</w:t>
      </w:r>
      <w:r w:rsidRPr="005D106F">
        <w:rPr>
          <w:rFonts w:cstheme="minorHAnsi"/>
          <w:noProof/>
          <w:sz w:val="24"/>
          <w:szCs w:val="24"/>
        </w:rPr>
        <w:t xml:space="preserve"> V České republice se nachází několik ohnisek vědecké a technologické excelence. Jako sídlo většiny subjektů zainteresovaných na VaV má Praha výsadní postavení a je jediným silným inovačním regionem v České republice. Několik dalších regionů je sice rovněž na vzestupu, jiné však zaostávají. Jihomoravský kraj byl například velice úspěšný při předávání znalostí (bylo vytvořeno přes 20 společností typu spin-off) i při propojování podnikatelské a akademické sféry, především prostřednictvím práce Jihomoravského inovačního centra. Česká republika jako země zapojená do rozšiřování účasti má příležitost koordinovat činnosti</w:t>
      </w:r>
      <w:r w:rsidR="005D106F">
        <w:rPr>
          <w:rFonts w:cstheme="minorHAnsi"/>
          <w:noProof/>
          <w:sz w:val="24"/>
          <w:szCs w:val="24"/>
        </w:rPr>
        <w:t xml:space="preserve"> v rámci programu Horizont 2020</w:t>
      </w:r>
      <w:r w:rsidRPr="005D106F">
        <w:rPr>
          <w:rFonts w:cstheme="minorHAnsi"/>
          <w:noProof/>
          <w:sz w:val="24"/>
          <w:szCs w:val="24"/>
        </w:rPr>
        <w:t>. Tedy projekty, které potenciálně vedou k předávání znalostí, umožňují spolupráci s mezinárodními a obchodními partnery a stimulují synergie mezi vnitrostátními, soukromými a ostatními fondy EU. Projekty pro vytváření center excelence budou přijímat finanční prostředky po dobu až 7 let, a poté může vzniknout otázka udržitelnosti.</w:t>
      </w:r>
    </w:p>
    <w:p w:rsidR="00DB467C" w:rsidRPr="005D106F" w:rsidRDefault="00DB467C" w:rsidP="005F451D">
      <w:pPr>
        <w:spacing w:line="271" w:lineRule="auto"/>
        <w:contextualSpacing/>
        <w:rPr>
          <w:rFonts w:cstheme="minorHAnsi"/>
          <w:noProof/>
          <w:sz w:val="24"/>
          <w:szCs w:val="24"/>
        </w:rPr>
      </w:pPr>
    </w:p>
    <w:p w:rsidR="005F451D" w:rsidRDefault="005F451D" w:rsidP="005F451D">
      <w:pPr>
        <w:spacing w:line="271" w:lineRule="auto"/>
        <w:contextualSpacing/>
        <w:rPr>
          <w:rFonts w:cstheme="minorHAnsi"/>
          <w:b/>
          <w:sz w:val="26"/>
          <w:szCs w:val="26"/>
        </w:rPr>
      </w:pPr>
    </w:p>
    <w:p w:rsidR="00DB467C" w:rsidRPr="005F451D" w:rsidRDefault="00DB467C" w:rsidP="005F451D">
      <w:pPr>
        <w:spacing w:line="271" w:lineRule="auto"/>
        <w:contextualSpacing/>
        <w:rPr>
          <w:rFonts w:cstheme="minorHAnsi"/>
          <w:b/>
          <w:sz w:val="26"/>
          <w:szCs w:val="26"/>
        </w:rPr>
      </w:pPr>
      <w:r w:rsidRPr="005F451D">
        <w:rPr>
          <w:rFonts w:cstheme="minorHAnsi"/>
          <w:b/>
          <w:sz w:val="26"/>
          <w:szCs w:val="26"/>
        </w:rPr>
        <w:t>Zpráva o Česku 2022 Průvodní dokument k d</w:t>
      </w:r>
      <w:r w:rsidR="005D106F">
        <w:rPr>
          <w:rFonts w:cstheme="minorHAnsi"/>
          <w:b/>
          <w:sz w:val="26"/>
          <w:szCs w:val="26"/>
        </w:rPr>
        <w:t>oporučení pro DOPORUČENÍ RADY k </w:t>
      </w:r>
      <w:r w:rsidRPr="005F451D">
        <w:rPr>
          <w:rFonts w:cstheme="minorHAnsi"/>
          <w:b/>
          <w:sz w:val="26"/>
          <w:szCs w:val="26"/>
        </w:rPr>
        <w:t>národnímu programu reforem Česka na rok 2022 a stanovisko Rady ke konvergenčnímu programu Česka z roku 2022</w:t>
      </w:r>
    </w:p>
    <w:p w:rsidR="00DB467C" w:rsidRPr="005F451D" w:rsidRDefault="00DB467C" w:rsidP="005F451D">
      <w:pPr>
        <w:spacing w:line="271" w:lineRule="auto"/>
        <w:contextualSpacing/>
        <w:rPr>
          <w:rFonts w:cstheme="minorHAnsi"/>
          <w:b/>
          <w:sz w:val="26"/>
          <w:szCs w:val="26"/>
        </w:rPr>
      </w:pPr>
      <w:r w:rsidRPr="005F451D">
        <w:rPr>
          <w:rFonts w:cstheme="minorHAnsi"/>
          <w:b/>
          <w:sz w:val="26"/>
          <w:szCs w:val="26"/>
        </w:rPr>
        <w:t xml:space="preserve">PŘÍLOHA 9: INOVACE </w:t>
      </w:r>
    </w:p>
    <w:p w:rsidR="005F451D" w:rsidRDefault="005F451D" w:rsidP="005F451D">
      <w:pPr>
        <w:spacing w:line="271" w:lineRule="auto"/>
        <w:contextualSpacing/>
        <w:rPr>
          <w:rFonts w:cstheme="minorHAnsi"/>
        </w:rPr>
      </w:pPr>
    </w:p>
    <w:p w:rsidR="00DB467C" w:rsidRPr="005D106F" w:rsidRDefault="00DB467C" w:rsidP="005F451D">
      <w:pPr>
        <w:spacing w:line="271" w:lineRule="auto"/>
        <w:contextualSpacing/>
        <w:rPr>
          <w:rFonts w:cstheme="minorHAnsi"/>
          <w:sz w:val="24"/>
          <w:szCs w:val="24"/>
        </w:rPr>
      </w:pPr>
      <w:r w:rsidRPr="005D106F">
        <w:rPr>
          <w:rFonts w:cstheme="minorHAnsi"/>
          <w:sz w:val="24"/>
          <w:szCs w:val="24"/>
        </w:rPr>
        <w:t xml:space="preserve">Tato příloha uvádí obecný přehled výkonnosti českého systému výzkumu a inovací. Podle evropského srovnávacího přehledu inovací z roku 2021 není Česko příliš velkým inovátorem (45). Celková intenzita výzkumu a vývoje v roce 2020 dosáhla 1,99 %, a přestože narůstá (oproti 1,33 % v roce 2010), zůstává pod průměrem EU, který činí 2,32 %. </w:t>
      </w:r>
    </w:p>
    <w:p w:rsidR="005F451D" w:rsidRPr="005D106F" w:rsidRDefault="005F451D" w:rsidP="005F451D">
      <w:pPr>
        <w:spacing w:line="271" w:lineRule="auto"/>
        <w:contextualSpacing/>
        <w:rPr>
          <w:rFonts w:cstheme="minorHAnsi"/>
          <w:b/>
          <w:sz w:val="24"/>
          <w:szCs w:val="24"/>
        </w:rPr>
      </w:pPr>
    </w:p>
    <w:p w:rsidR="00DB467C" w:rsidRPr="005D106F" w:rsidRDefault="00DB467C" w:rsidP="005F451D">
      <w:pPr>
        <w:spacing w:line="271" w:lineRule="auto"/>
        <w:contextualSpacing/>
        <w:rPr>
          <w:rFonts w:cstheme="minorHAnsi"/>
          <w:sz w:val="24"/>
          <w:szCs w:val="24"/>
        </w:rPr>
      </w:pPr>
      <w:r w:rsidRPr="005D106F">
        <w:rPr>
          <w:rFonts w:cstheme="minorHAnsi"/>
          <w:b/>
          <w:sz w:val="24"/>
          <w:szCs w:val="24"/>
        </w:rPr>
        <w:t>Veřejné a soukromé investice do výzkumu a vývoje</w:t>
      </w:r>
      <w:r w:rsidR="005D106F">
        <w:rPr>
          <w:rFonts w:cstheme="minorHAnsi"/>
          <w:b/>
          <w:sz w:val="24"/>
          <w:szCs w:val="24"/>
        </w:rPr>
        <w:t xml:space="preserve"> se blíží průměru EU, vědecká a </w:t>
      </w:r>
      <w:r w:rsidRPr="005D106F">
        <w:rPr>
          <w:rFonts w:cstheme="minorHAnsi"/>
          <w:b/>
          <w:sz w:val="24"/>
          <w:szCs w:val="24"/>
        </w:rPr>
        <w:t>technologická výkonnost je však nadále nízká a v průběhu času stagnuje.</w:t>
      </w:r>
      <w:r w:rsidRPr="005D106F">
        <w:rPr>
          <w:rFonts w:cstheme="minorHAnsi"/>
          <w:sz w:val="24"/>
          <w:szCs w:val="24"/>
        </w:rPr>
        <w:t xml:space="preserve"> Vědecká excelence měřená podílem vědeckých publikací na 10 % nejcitovanějších publikací je nadále nízká a dosahuje přibližně poloviny průměrné hodnoty v EU (5 % v roce 2018 oproti průměru EU ve výši 9,9 %). Kromě toho Česko zaostává i v technologické produkci, neboť má nízký počet patentových přihlášek, který je značně pod průměrem EU. Snižující se počet absolventů přírodovědných a technických oborů (14,5 na tisíc obyvatel v roce 2010 oproti 10,9 v roce 2019, přičemž průměr EU činí 16,3) a nedostatek kvalifikovaných pracovníků by mohly ohrozit budoucí výkonnost v oblasti výzkumu a inovací. Plán pro oživení a odolnost zahrnuje investice, které mají některé z uvedených problémů řešit, například rozsáhlé projekty pro zlepšení spolupráce v oblasti excelentního výzkumu a sponzorování ú</w:t>
      </w:r>
      <w:r w:rsidR="005D106F">
        <w:rPr>
          <w:rFonts w:cstheme="minorHAnsi"/>
          <w:sz w:val="24"/>
          <w:szCs w:val="24"/>
        </w:rPr>
        <w:t xml:space="preserve">časti </w:t>
      </w:r>
      <w:r w:rsidR="005D106F">
        <w:rPr>
          <w:rFonts w:cstheme="minorHAnsi"/>
          <w:sz w:val="24"/>
          <w:szCs w:val="24"/>
        </w:rPr>
        <w:lastRenderedPageBreak/>
        <w:t>v </w:t>
      </w:r>
      <w:r w:rsidRPr="005D106F">
        <w:rPr>
          <w:rFonts w:cstheme="minorHAnsi"/>
          <w:sz w:val="24"/>
          <w:szCs w:val="24"/>
        </w:rPr>
        <w:t xml:space="preserve">mezinárodních vědeckých projektech. Mnoho z potřebných reforem ke zvýšení účinnosti investic do výzkumu a inovací však není dostatečně pokryto. </w:t>
      </w:r>
    </w:p>
    <w:p w:rsidR="005F451D" w:rsidRPr="005D106F" w:rsidRDefault="005F451D" w:rsidP="005F451D">
      <w:pPr>
        <w:spacing w:line="271" w:lineRule="auto"/>
        <w:contextualSpacing/>
        <w:rPr>
          <w:rFonts w:cstheme="minorHAnsi"/>
          <w:b/>
          <w:sz w:val="24"/>
          <w:szCs w:val="24"/>
        </w:rPr>
      </w:pPr>
    </w:p>
    <w:p w:rsidR="005F451D" w:rsidRPr="005D106F" w:rsidRDefault="00DB467C" w:rsidP="005F451D">
      <w:pPr>
        <w:spacing w:line="271" w:lineRule="auto"/>
        <w:contextualSpacing/>
        <w:rPr>
          <w:rFonts w:cstheme="minorHAnsi"/>
          <w:sz w:val="24"/>
          <w:szCs w:val="24"/>
        </w:rPr>
      </w:pPr>
      <w:r w:rsidRPr="005D106F">
        <w:rPr>
          <w:rFonts w:cstheme="minorHAnsi"/>
          <w:b/>
          <w:sz w:val="24"/>
          <w:szCs w:val="24"/>
        </w:rPr>
        <w:t xml:space="preserve">Slabé vazby mezi vědou a podniky nadále brzdí přenos znalostí a technologií. </w:t>
      </w:r>
      <w:r w:rsidRPr="005D106F">
        <w:rPr>
          <w:rFonts w:cstheme="minorHAnsi"/>
          <w:sz w:val="24"/>
          <w:szCs w:val="24"/>
        </w:rPr>
        <w:t>Spolupráci akademické obce a podniků nadále brání nedostatečné pobídky k silnější spolupráci mezi výzkumnými organizacemi a jednotlivými výzkumnými pracovníky při zakládání společností typu spin-</w:t>
      </w:r>
      <w:proofErr w:type="spellStart"/>
      <w:r w:rsidRPr="005D106F">
        <w:rPr>
          <w:rFonts w:cstheme="minorHAnsi"/>
          <w:sz w:val="24"/>
          <w:szCs w:val="24"/>
        </w:rPr>
        <w:t>off</w:t>
      </w:r>
      <w:proofErr w:type="spellEnd"/>
      <w:r w:rsidRPr="005D106F">
        <w:rPr>
          <w:rFonts w:cstheme="minorHAnsi"/>
          <w:sz w:val="24"/>
          <w:szCs w:val="24"/>
        </w:rPr>
        <w:t xml:space="preserve"> s účastí akademické obce a k práci v těchto </w:t>
      </w:r>
      <w:r w:rsidR="005D106F">
        <w:rPr>
          <w:rFonts w:cstheme="minorHAnsi"/>
          <w:sz w:val="24"/>
          <w:szCs w:val="24"/>
        </w:rPr>
        <w:t>spin-</w:t>
      </w:r>
      <w:proofErr w:type="spellStart"/>
      <w:r w:rsidR="005D106F">
        <w:rPr>
          <w:rFonts w:cstheme="minorHAnsi"/>
          <w:sz w:val="24"/>
          <w:szCs w:val="24"/>
        </w:rPr>
        <w:t>off</w:t>
      </w:r>
      <w:proofErr w:type="spellEnd"/>
      <w:r w:rsidR="005D106F">
        <w:rPr>
          <w:rFonts w:cstheme="minorHAnsi"/>
          <w:sz w:val="24"/>
          <w:szCs w:val="24"/>
        </w:rPr>
        <w:t xml:space="preserve"> společnostech, jakož i </w:t>
      </w:r>
      <w:r w:rsidRPr="005D106F">
        <w:rPr>
          <w:rFonts w:cstheme="minorHAnsi"/>
          <w:sz w:val="24"/>
          <w:szCs w:val="24"/>
        </w:rPr>
        <w:t>regulační</w:t>
      </w:r>
      <w:r w:rsidR="005F451D" w:rsidRPr="005D106F">
        <w:rPr>
          <w:rFonts w:cstheme="minorHAnsi"/>
          <w:sz w:val="24"/>
          <w:szCs w:val="24"/>
        </w:rPr>
        <w:t xml:space="preserve"> překážky jejich zakládání</w:t>
      </w:r>
      <w:r w:rsidRPr="005D106F">
        <w:rPr>
          <w:rFonts w:cstheme="minorHAnsi"/>
          <w:sz w:val="24"/>
          <w:szCs w:val="24"/>
        </w:rPr>
        <w:t xml:space="preserve">. </w:t>
      </w:r>
      <w:proofErr w:type="spellStart"/>
      <w:r w:rsidRPr="005D106F">
        <w:rPr>
          <w:rFonts w:cstheme="minorHAnsi"/>
          <w:sz w:val="24"/>
          <w:szCs w:val="24"/>
        </w:rPr>
        <w:t>Veřejno</w:t>
      </w:r>
      <w:proofErr w:type="spellEnd"/>
      <w:r w:rsidRPr="005D106F">
        <w:rPr>
          <w:rFonts w:cstheme="minorHAnsi"/>
          <w:sz w:val="24"/>
          <w:szCs w:val="24"/>
        </w:rPr>
        <w:t>-soukromé vědecké publikace zůstávají pod průměrem EU (6,7 % v roce 2020 v porovnání s průměrem EU, který činí 9,05 %) a Česko stále nedosahuje průměru EU v oblasti veřejného výzkumu a vývoje financovaného podniky. Plán pro oživení a odolnost nenavrhuje zjednodušení celkového regulačního rámce pro spolupráci veřejného a soukromého sektoru, a proto je tř</w:t>
      </w:r>
      <w:r w:rsidR="005D106F">
        <w:rPr>
          <w:rFonts w:cstheme="minorHAnsi"/>
          <w:sz w:val="24"/>
          <w:szCs w:val="24"/>
        </w:rPr>
        <w:t>eba sledovat reformní procesy v </w:t>
      </w:r>
      <w:r w:rsidRPr="005D106F">
        <w:rPr>
          <w:rFonts w:cstheme="minorHAnsi"/>
          <w:sz w:val="24"/>
          <w:szCs w:val="24"/>
        </w:rPr>
        <w:t>rámci vnitrostátních strate</w:t>
      </w:r>
      <w:r w:rsidR="005F451D" w:rsidRPr="005D106F">
        <w:rPr>
          <w:rFonts w:cstheme="minorHAnsi"/>
          <w:sz w:val="24"/>
          <w:szCs w:val="24"/>
        </w:rPr>
        <w:t>gií v oblasti výzkumu a inovací.</w:t>
      </w:r>
    </w:p>
    <w:p w:rsidR="00DB467C" w:rsidRPr="005D106F" w:rsidRDefault="00DB467C" w:rsidP="005F451D">
      <w:pPr>
        <w:spacing w:line="271" w:lineRule="auto"/>
        <w:contextualSpacing/>
        <w:jc w:val="left"/>
        <w:rPr>
          <w:rFonts w:cstheme="minorHAnsi"/>
          <w:sz w:val="24"/>
          <w:szCs w:val="24"/>
        </w:rPr>
      </w:pPr>
    </w:p>
    <w:sectPr w:rsidR="00DB467C" w:rsidRPr="005D10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1A" w:rsidRDefault="0097171A" w:rsidP="000D527A">
      <w:pPr>
        <w:spacing w:after="0"/>
      </w:pPr>
      <w:r>
        <w:separator/>
      </w:r>
    </w:p>
  </w:endnote>
  <w:endnote w:type="continuationSeparator" w:id="0">
    <w:p w:rsidR="0097171A" w:rsidRDefault="0097171A" w:rsidP="000D527A">
      <w:pPr>
        <w:spacing w:after="0"/>
      </w:pPr>
      <w:r>
        <w:continuationSeparator/>
      </w:r>
    </w:p>
  </w:endnote>
  <w:endnote w:type="continuationNotice" w:id="1">
    <w:p w:rsidR="0097171A" w:rsidRDefault="009717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59" w:rsidRDefault="00A504A5" w:rsidP="00CF1A59">
    <w:pPr>
      <w:pStyle w:val="Zpat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71EEA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71EEA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1A" w:rsidRDefault="0097171A" w:rsidP="000D527A">
      <w:pPr>
        <w:spacing w:after="0"/>
      </w:pPr>
      <w:r>
        <w:separator/>
      </w:r>
    </w:p>
  </w:footnote>
  <w:footnote w:type="continuationSeparator" w:id="0">
    <w:p w:rsidR="0097171A" w:rsidRDefault="0097171A" w:rsidP="000D527A">
      <w:pPr>
        <w:spacing w:after="0"/>
      </w:pPr>
      <w:r>
        <w:continuationSeparator/>
      </w:r>
    </w:p>
  </w:footnote>
  <w:footnote w:type="continuationNotice" w:id="1">
    <w:p w:rsidR="0097171A" w:rsidRDefault="0097171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162D"/>
    <w:multiLevelType w:val="hybridMultilevel"/>
    <w:tmpl w:val="F072E6DA"/>
    <w:lvl w:ilvl="0" w:tplc="7234BF3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59BF"/>
    <w:multiLevelType w:val="multilevel"/>
    <w:tmpl w:val="CA98CED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E7B2731"/>
    <w:multiLevelType w:val="multilevel"/>
    <w:tmpl w:val="94D679B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46F7320E"/>
    <w:multiLevelType w:val="hybridMultilevel"/>
    <w:tmpl w:val="7E5E7C48"/>
    <w:lvl w:ilvl="0" w:tplc="7234BF38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15"/>
    <w:rsid w:val="000103D6"/>
    <w:rsid w:val="000127DC"/>
    <w:rsid w:val="00017A7E"/>
    <w:rsid w:val="0002002A"/>
    <w:rsid w:val="00021EBF"/>
    <w:rsid w:val="00024AB4"/>
    <w:rsid w:val="000604DB"/>
    <w:rsid w:val="0006663C"/>
    <w:rsid w:val="0007156C"/>
    <w:rsid w:val="00090A00"/>
    <w:rsid w:val="000925B8"/>
    <w:rsid w:val="000955EA"/>
    <w:rsid w:val="000B28FD"/>
    <w:rsid w:val="000B5F8B"/>
    <w:rsid w:val="000C189A"/>
    <w:rsid w:val="000D0027"/>
    <w:rsid w:val="000D527A"/>
    <w:rsid w:val="000D5958"/>
    <w:rsid w:val="000D755D"/>
    <w:rsid w:val="000E6A3A"/>
    <w:rsid w:val="000F6900"/>
    <w:rsid w:val="0010151B"/>
    <w:rsid w:val="00101CE5"/>
    <w:rsid w:val="00102A2C"/>
    <w:rsid w:val="00110326"/>
    <w:rsid w:val="0011089B"/>
    <w:rsid w:val="00113A46"/>
    <w:rsid w:val="00115B03"/>
    <w:rsid w:val="00116F21"/>
    <w:rsid w:val="001209EE"/>
    <w:rsid w:val="00136201"/>
    <w:rsid w:val="0014512A"/>
    <w:rsid w:val="0014599F"/>
    <w:rsid w:val="001503EC"/>
    <w:rsid w:val="00154119"/>
    <w:rsid w:val="001717EE"/>
    <w:rsid w:val="00173E69"/>
    <w:rsid w:val="00174A5A"/>
    <w:rsid w:val="001804F2"/>
    <w:rsid w:val="0019667B"/>
    <w:rsid w:val="00197AE6"/>
    <w:rsid w:val="001B523B"/>
    <w:rsid w:val="001C0F59"/>
    <w:rsid w:val="001C333F"/>
    <w:rsid w:val="001D0DD0"/>
    <w:rsid w:val="001D3241"/>
    <w:rsid w:val="001D4E21"/>
    <w:rsid w:val="001D597A"/>
    <w:rsid w:val="001D5F0F"/>
    <w:rsid w:val="001E3158"/>
    <w:rsid w:val="001F4695"/>
    <w:rsid w:val="00221C17"/>
    <w:rsid w:val="0023297A"/>
    <w:rsid w:val="00232D37"/>
    <w:rsid w:val="0024111F"/>
    <w:rsid w:val="002458A4"/>
    <w:rsid w:val="00252917"/>
    <w:rsid w:val="0025613F"/>
    <w:rsid w:val="00265C9A"/>
    <w:rsid w:val="0027253C"/>
    <w:rsid w:val="00275CD4"/>
    <w:rsid w:val="0028549D"/>
    <w:rsid w:val="00290B3E"/>
    <w:rsid w:val="00294D86"/>
    <w:rsid w:val="0029625C"/>
    <w:rsid w:val="002A2731"/>
    <w:rsid w:val="002A27A4"/>
    <w:rsid w:val="002B15C6"/>
    <w:rsid w:val="002C11AB"/>
    <w:rsid w:val="002C2C93"/>
    <w:rsid w:val="002C7A0E"/>
    <w:rsid w:val="002C7EA0"/>
    <w:rsid w:val="002D0C82"/>
    <w:rsid w:val="002D4CC7"/>
    <w:rsid w:val="002E3E83"/>
    <w:rsid w:val="002E53E1"/>
    <w:rsid w:val="002F4751"/>
    <w:rsid w:val="002F5462"/>
    <w:rsid w:val="002F6CB2"/>
    <w:rsid w:val="00301912"/>
    <w:rsid w:val="00303AB1"/>
    <w:rsid w:val="003125FC"/>
    <w:rsid w:val="0031704D"/>
    <w:rsid w:val="00332546"/>
    <w:rsid w:val="00341765"/>
    <w:rsid w:val="003542AD"/>
    <w:rsid w:val="003574F7"/>
    <w:rsid w:val="00373C57"/>
    <w:rsid w:val="00375A88"/>
    <w:rsid w:val="00377757"/>
    <w:rsid w:val="00377CE3"/>
    <w:rsid w:val="00383758"/>
    <w:rsid w:val="00391339"/>
    <w:rsid w:val="003B1068"/>
    <w:rsid w:val="003B166B"/>
    <w:rsid w:val="003B1C56"/>
    <w:rsid w:val="003B5BC9"/>
    <w:rsid w:val="003B7426"/>
    <w:rsid w:val="003C62C7"/>
    <w:rsid w:val="003D5DF5"/>
    <w:rsid w:val="003E274B"/>
    <w:rsid w:val="003F190F"/>
    <w:rsid w:val="004004CD"/>
    <w:rsid w:val="004014EA"/>
    <w:rsid w:val="004033AD"/>
    <w:rsid w:val="004064BF"/>
    <w:rsid w:val="0041576F"/>
    <w:rsid w:val="004224D7"/>
    <w:rsid w:val="00430381"/>
    <w:rsid w:val="00435BAF"/>
    <w:rsid w:val="004374B8"/>
    <w:rsid w:val="004419D5"/>
    <w:rsid w:val="0044470E"/>
    <w:rsid w:val="0044715F"/>
    <w:rsid w:val="004557D3"/>
    <w:rsid w:val="004562CB"/>
    <w:rsid w:val="0046094D"/>
    <w:rsid w:val="004673DC"/>
    <w:rsid w:val="00470370"/>
    <w:rsid w:val="00494D28"/>
    <w:rsid w:val="004B23F0"/>
    <w:rsid w:val="004C0127"/>
    <w:rsid w:val="004C6091"/>
    <w:rsid w:val="004C65D0"/>
    <w:rsid w:val="004D6C0B"/>
    <w:rsid w:val="004E0763"/>
    <w:rsid w:val="004F2A21"/>
    <w:rsid w:val="004F571F"/>
    <w:rsid w:val="00500544"/>
    <w:rsid w:val="00510575"/>
    <w:rsid w:val="00511E55"/>
    <w:rsid w:val="0051290E"/>
    <w:rsid w:val="0051432B"/>
    <w:rsid w:val="00516616"/>
    <w:rsid w:val="0051701D"/>
    <w:rsid w:val="00526974"/>
    <w:rsid w:val="0053176A"/>
    <w:rsid w:val="005419C3"/>
    <w:rsid w:val="00553E32"/>
    <w:rsid w:val="005543B0"/>
    <w:rsid w:val="00556375"/>
    <w:rsid w:val="00567396"/>
    <w:rsid w:val="00575C5F"/>
    <w:rsid w:val="00580DE9"/>
    <w:rsid w:val="005876C4"/>
    <w:rsid w:val="00591517"/>
    <w:rsid w:val="00597287"/>
    <w:rsid w:val="005A0180"/>
    <w:rsid w:val="005A6558"/>
    <w:rsid w:val="005B3CCD"/>
    <w:rsid w:val="005C0974"/>
    <w:rsid w:val="005C76A0"/>
    <w:rsid w:val="005D106F"/>
    <w:rsid w:val="005D41B6"/>
    <w:rsid w:val="005D779E"/>
    <w:rsid w:val="005E0F39"/>
    <w:rsid w:val="005E6C58"/>
    <w:rsid w:val="005F451D"/>
    <w:rsid w:val="005F4F9C"/>
    <w:rsid w:val="0060557B"/>
    <w:rsid w:val="00607069"/>
    <w:rsid w:val="00615ADC"/>
    <w:rsid w:val="00625486"/>
    <w:rsid w:val="0063751B"/>
    <w:rsid w:val="00641954"/>
    <w:rsid w:val="006512BE"/>
    <w:rsid w:val="00651D16"/>
    <w:rsid w:val="00654C53"/>
    <w:rsid w:val="00660122"/>
    <w:rsid w:val="00674829"/>
    <w:rsid w:val="00682B3F"/>
    <w:rsid w:val="00686696"/>
    <w:rsid w:val="00692ED2"/>
    <w:rsid w:val="006A4140"/>
    <w:rsid w:val="006C0A21"/>
    <w:rsid w:val="006E58E7"/>
    <w:rsid w:val="006E6674"/>
    <w:rsid w:val="006E7B9B"/>
    <w:rsid w:val="007004D0"/>
    <w:rsid w:val="00702080"/>
    <w:rsid w:val="00702DEB"/>
    <w:rsid w:val="0071030B"/>
    <w:rsid w:val="007235C5"/>
    <w:rsid w:val="00726800"/>
    <w:rsid w:val="00732AFD"/>
    <w:rsid w:val="00735670"/>
    <w:rsid w:val="00740FF1"/>
    <w:rsid w:val="00741CE7"/>
    <w:rsid w:val="00745F43"/>
    <w:rsid w:val="00767711"/>
    <w:rsid w:val="007702D5"/>
    <w:rsid w:val="00771814"/>
    <w:rsid w:val="00782591"/>
    <w:rsid w:val="00784165"/>
    <w:rsid w:val="007860C7"/>
    <w:rsid w:val="007966B6"/>
    <w:rsid w:val="007A5DE2"/>
    <w:rsid w:val="007A67BF"/>
    <w:rsid w:val="007A7C80"/>
    <w:rsid w:val="007B65A2"/>
    <w:rsid w:val="007C2E17"/>
    <w:rsid w:val="007C33D0"/>
    <w:rsid w:val="007D3245"/>
    <w:rsid w:val="007E43CC"/>
    <w:rsid w:val="007F0EE7"/>
    <w:rsid w:val="00801415"/>
    <w:rsid w:val="00820FBB"/>
    <w:rsid w:val="00831F79"/>
    <w:rsid w:val="00845AFD"/>
    <w:rsid w:val="00845B55"/>
    <w:rsid w:val="00855266"/>
    <w:rsid w:val="008707E5"/>
    <w:rsid w:val="00877DFC"/>
    <w:rsid w:val="0088231B"/>
    <w:rsid w:val="00895566"/>
    <w:rsid w:val="00896762"/>
    <w:rsid w:val="008A6FD0"/>
    <w:rsid w:val="008B0D63"/>
    <w:rsid w:val="008C0567"/>
    <w:rsid w:val="008D1D72"/>
    <w:rsid w:val="008D3DE6"/>
    <w:rsid w:val="008D432C"/>
    <w:rsid w:val="008E6CD0"/>
    <w:rsid w:val="008F201B"/>
    <w:rsid w:val="008F64BB"/>
    <w:rsid w:val="0090600E"/>
    <w:rsid w:val="00911031"/>
    <w:rsid w:val="00922137"/>
    <w:rsid w:val="009449F8"/>
    <w:rsid w:val="00965D79"/>
    <w:rsid w:val="00966FBC"/>
    <w:rsid w:val="0097171A"/>
    <w:rsid w:val="00972CA1"/>
    <w:rsid w:val="00996E5C"/>
    <w:rsid w:val="009C25C6"/>
    <w:rsid w:val="009D0BAA"/>
    <w:rsid w:val="009D4647"/>
    <w:rsid w:val="009E5C2D"/>
    <w:rsid w:val="009F4463"/>
    <w:rsid w:val="00A0470A"/>
    <w:rsid w:val="00A1404C"/>
    <w:rsid w:val="00A14E00"/>
    <w:rsid w:val="00A17444"/>
    <w:rsid w:val="00A2016D"/>
    <w:rsid w:val="00A371F7"/>
    <w:rsid w:val="00A419E9"/>
    <w:rsid w:val="00A42292"/>
    <w:rsid w:val="00A45E92"/>
    <w:rsid w:val="00A504A5"/>
    <w:rsid w:val="00A55749"/>
    <w:rsid w:val="00A62EEA"/>
    <w:rsid w:val="00A65A10"/>
    <w:rsid w:val="00A73DC2"/>
    <w:rsid w:val="00A74E9B"/>
    <w:rsid w:val="00A8089E"/>
    <w:rsid w:val="00A83EB3"/>
    <w:rsid w:val="00AA3D2B"/>
    <w:rsid w:val="00AA6D18"/>
    <w:rsid w:val="00AB2267"/>
    <w:rsid w:val="00AB6674"/>
    <w:rsid w:val="00AD3276"/>
    <w:rsid w:val="00AD6AD8"/>
    <w:rsid w:val="00AE0070"/>
    <w:rsid w:val="00AF50CF"/>
    <w:rsid w:val="00B01788"/>
    <w:rsid w:val="00B021EC"/>
    <w:rsid w:val="00B05772"/>
    <w:rsid w:val="00B0666F"/>
    <w:rsid w:val="00B4071C"/>
    <w:rsid w:val="00B609DA"/>
    <w:rsid w:val="00B63BF3"/>
    <w:rsid w:val="00B71A84"/>
    <w:rsid w:val="00B71EEA"/>
    <w:rsid w:val="00B72491"/>
    <w:rsid w:val="00B81ECF"/>
    <w:rsid w:val="00B83322"/>
    <w:rsid w:val="00B84434"/>
    <w:rsid w:val="00B91046"/>
    <w:rsid w:val="00B9190E"/>
    <w:rsid w:val="00B91D60"/>
    <w:rsid w:val="00B93070"/>
    <w:rsid w:val="00BA76E0"/>
    <w:rsid w:val="00BC248C"/>
    <w:rsid w:val="00BD1232"/>
    <w:rsid w:val="00BD421E"/>
    <w:rsid w:val="00BD7034"/>
    <w:rsid w:val="00BE434A"/>
    <w:rsid w:val="00BF5CBD"/>
    <w:rsid w:val="00C021AC"/>
    <w:rsid w:val="00C02F43"/>
    <w:rsid w:val="00C05A1F"/>
    <w:rsid w:val="00C10BFF"/>
    <w:rsid w:val="00C116A2"/>
    <w:rsid w:val="00C16BD3"/>
    <w:rsid w:val="00C174A1"/>
    <w:rsid w:val="00C415B8"/>
    <w:rsid w:val="00C464C3"/>
    <w:rsid w:val="00C47239"/>
    <w:rsid w:val="00C5108F"/>
    <w:rsid w:val="00C51980"/>
    <w:rsid w:val="00C547D7"/>
    <w:rsid w:val="00C62F61"/>
    <w:rsid w:val="00C651E6"/>
    <w:rsid w:val="00C72624"/>
    <w:rsid w:val="00C72A7D"/>
    <w:rsid w:val="00C812E5"/>
    <w:rsid w:val="00C81C33"/>
    <w:rsid w:val="00C83A5C"/>
    <w:rsid w:val="00C9039D"/>
    <w:rsid w:val="00C90D55"/>
    <w:rsid w:val="00C90D7E"/>
    <w:rsid w:val="00CB130B"/>
    <w:rsid w:val="00CB33DF"/>
    <w:rsid w:val="00CB4B22"/>
    <w:rsid w:val="00CC0B8B"/>
    <w:rsid w:val="00CC2E61"/>
    <w:rsid w:val="00CC4DC9"/>
    <w:rsid w:val="00CC5040"/>
    <w:rsid w:val="00CD0708"/>
    <w:rsid w:val="00CD104A"/>
    <w:rsid w:val="00CE2434"/>
    <w:rsid w:val="00CF1A59"/>
    <w:rsid w:val="00CF7F05"/>
    <w:rsid w:val="00D0215D"/>
    <w:rsid w:val="00D03746"/>
    <w:rsid w:val="00D04AE1"/>
    <w:rsid w:val="00D12FFC"/>
    <w:rsid w:val="00D264D5"/>
    <w:rsid w:val="00D2692F"/>
    <w:rsid w:val="00D30CA3"/>
    <w:rsid w:val="00D315E3"/>
    <w:rsid w:val="00D45222"/>
    <w:rsid w:val="00D53CB6"/>
    <w:rsid w:val="00D53FEF"/>
    <w:rsid w:val="00D60DBC"/>
    <w:rsid w:val="00D638B3"/>
    <w:rsid w:val="00D67372"/>
    <w:rsid w:val="00D76D81"/>
    <w:rsid w:val="00D76EF2"/>
    <w:rsid w:val="00D8578F"/>
    <w:rsid w:val="00D86896"/>
    <w:rsid w:val="00D9510E"/>
    <w:rsid w:val="00DA4990"/>
    <w:rsid w:val="00DB29AF"/>
    <w:rsid w:val="00DB29B4"/>
    <w:rsid w:val="00DB467C"/>
    <w:rsid w:val="00DC3BC1"/>
    <w:rsid w:val="00DD72BF"/>
    <w:rsid w:val="00DD78FB"/>
    <w:rsid w:val="00DE0412"/>
    <w:rsid w:val="00DE0B81"/>
    <w:rsid w:val="00DF12ED"/>
    <w:rsid w:val="00DF6E0B"/>
    <w:rsid w:val="00E04686"/>
    <w:rsid w:val="00E1315A"/>
    <w:rsid w:val="00E13764"/>
    <w:rsid w:val="00E22CAC"/>
    <w:rsid w:val="00E23A58"/>
    <w:rsid w:val="00E2496F"/>
    <w:rsid w:val="00E3047B"/>
    <w:rsid w:val="00E31C71"/>
    <w:rsid w:val="00E3544D"/>
    <w:rsid w:val="00E427F1"/>
    <w:rsid w:val="00E42D0D"/>
    <w:rsid w:val="00E4656B"/>
    <w:rsid w:val="00E5730E"/>
    <w:rsid w:val="00E61DC7"/>
    <w:rsid w:val="00E63655"/>
    <w:rsid w:val="00E70AAC"/>
    <w:rsid w:val="00E768B1"/>
    <w:rsid w:val="00E81389"/>
    <w:rsid w:val="00E9451E"/>
    <w:rsid w:val="00EA6D19"/>
    <w:rsid w:val="00EB7520"/>
    <w:rsid w:val="00EB7667"/>
    <w:rsid w:val="00EE15D6"/>
    <w:rsid w:val="00EE1F79"/>
    <w:rsid w:val="00EF484D"/>
    <w:rsid w:val="00EF4F58"/>
    <w:rsid w:val="00F01A0F"/>
    <w:rsid w:val="00F02C01"/>
    <w:rsid w:val="00F10D5B"/>
    <w:rsid w:val="00F153FC"/>
    <w:rsid w:val="00F22C5B"/>
    <w:rsid w:val="00F23FC7"/>
    <w:rsid w:val="00F302E5"/>
    <w:rsid w:val="00F50E43"/>
    <w:rsid w:val="00F81B6E"/>
    <w:rsid w:val="00F856B5"/>
    <w:rsid w:val="00F86B50"/>
    <w:rsid w:val="00F96A27"/>
    <w:rsid w:val="00F97039"/>
    <w:rsid w:val="00FA5928"/>
    <w:rsid w:val="00FA6013"/>
    <w:rsid w:val="00FA76C6"/>
    <w:rsid w:val="00FB4F33"/>
    <w:rsid w:val="00FC01A9"/>
    <w:rsid w:val="00FC2A45"/>
    <w:rsid w:val="00FD20A4"/>
    <w:rsid w:val="00FD7DDD"/>
    <w:rsid w:val="00FE1A61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CE3"/>
    <w:pPr>
      <w:spacing w:after="120" w:line="240" w:lineRule="auto"/>
      <w:jc w:val="both"/>
    </w:pPr>
  </w:style>
  <w:style w:type="paragraph" w:styleId="Nadpis1">
    <w:name w:val="heading 1"/>
    <w:basedOn w:val="Normln"/>
    <w:link w:val="Nadpis1Char"/>
    <w:uiPriority w:val="9"/>
    <w:qFormat/>
    <w:rsid w:val="00377CE3"/>
    <w:pPr>
      <w:keepNext/>
      <w:keepLines/>
      <w:numPr>
        <w:numId w:val="1"/>
      </w:numPr>
      <w:tabs>
        <w:tab w:val="left" w:pos="567"/>
      </w:tabs>
      <w:spacing w:before="6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C16BD3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F96A27"/>
    <w:pPr>
      <w:keepNext/>
      <w:keepLines/>
      <w:numPr>
        <w:ilvl w:val="2"/>
        <w:numId w:val="1"/>
      </w:numPr>
      <w:spacing w:before="36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41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41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41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41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41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41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7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1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96A2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ormlnweb">
    <w:name w:val="Normal (Web)"/>
    <w:basedOn w:val="Normln"/>
    <w:uiPriority w:val="99"/>
    <w:unhideWhenUsed/>
    <w:rsid w:val="008014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014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4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415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014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014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rsid w:val="008014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14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14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14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14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14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D527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527A"/>
    <w:rPr>
      <w:sz w:val="20"/>
      <w:szCs w:val="20"/>
    </w:rPr>
  </w:style>
  <w:style w:type="character" w:styleId="Znakapoznpodarou">
    <w:name w:val="footnote reference"/>
    <w:aliases w:val="Char1,Ref,de nota al pie,Footnote,Footnote symbol,Footnote reference number,Times 10 Point,Exposant 3 Point,EN Footnote Reference,note TESI,number,-E Fußnotenzeichen,ftref,16 Point,Superscript 6 Point,E FNZ,Footnote#,SUPERS"/>
    <w:basedOn w:val="Standardnpsmoodstavce"/>
    <w:link w:val="FootnotesymbolCarZchn"/>
    <w:uiPriority w:val="99"/>
    <w:unhideWhenUsed/>
    <w:qFormat/>
    <w:rsid w:val="000D527A"/>
    <w:rPr>
      <w:vertAlign w:val="superscript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A74E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F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0E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F0EE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E31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E3158"/>
  </w:style>
  <w:style w:type="paragraph" w:styleId="Zpat">
    <w:name w:val="footer"/>
    <w:basedOn w:val="Normln"/>
    <w:link w:val="ZpatChar"/>
    <w:uiPriority w:val="99"/>
    <w:unhideWhenUsed/>
    <w:rsid w:val="001E315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E3158"/>
  </w:style>
  <w:style w:type="paragraph" w:styleId="Podtitul">
    <w:name w:val="Subtitle"/>
    <w:basedOn w:val="Normln"/>
    <w:next w:val="Normln"/>
    <w:link w:val="PodtitulChar"/>
    <w:uiPriority w:val="11"/>
    <w:qFormat/>
    <w:rsid w:val="00021E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21E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katabulky">
    <w:name w:val="Table Grid"/>
    <w:basedOn w:val="Normlntabulka"/>
    <w:uiPriority w:val="39"/>
    <w:rsid w:val="00682B3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F23FC7"/>
  </w:style>
  <w:style w:type="character" w:styleId="Siln">
    <w:name w:val="Strong"/>
    <w:basedOn w:val="Standardnpsmoodstavce"/>
    <w:uiPriority w:val="22"/>
    <w:qFormat/>
    <w:rsid w:val="00F23FC7"/>
    <w:rPr>
      <w:b/>
      <w:bCs/>
    </w:rPr>
  </w:style>
  <w:style w:type="character" w:styleId="Zvraznn">
    <w:name w:val="Emphasis"/>
    <w:basedOn w:val="Standardnpsmoodstavce"/>
    <w:uiPriority w:val="20"/>
    <w:qFormat/>
    <w:rsid w:val="00F23FC7"/>
    <w:rPr>
      <w:i/>
      <w:iCs/>
    </w:rPr>
  </w:style>
  <w:style w:type="paragraph" w:customStyle="1" w:styleId="Default">
    <w:name w:val="Default"/>
    <w:rsid w:val="00C72A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itreobjet">
    <w:name w:val="Titre objet"/>
    <w:basedOn w:val="Normln"/>
    <w:next w:val="Normln"/>
    <w:rsid w:val="00C116A2"/>
    <w:pPr>
      <w:spacing w:before="360" w:after="360"/>
      <w:jc w:val="center"/>
    </w:pPr>
    <w:rPr>
      <w:rFonts w:ascii="Times New Roman" w:hAnsi="Times New Roman" w:cs="Times New Roman"/>
      <w:b/>
      <w:sz w:val="24"/>
      <w:lang w:bidi="cs-CZ"/>
    </w:rPr>
  </w:style>
  <w:style w:type="paragraph" w:customStyle="1" w:styleId="Typedudocument">
    <w:name w:val="Type du document"/>
    <w:basedOn w:val="Normln"/>
    <w:next w:val="Titreobjet"/>
    <w:rsid w:val="00C116A2"/>
    <w:pPr>
      <w:spacing w:before="360" w:after="0"/>
      <w:jc w:val="center"/>
    </w:pPr>
    <w:rPr>
      <w:rFonts w:ascii="Times New Roman" w:hAnsi="Times New Roman" w:cs="Times New Roman"/>
      <w:b/>
      <w:sz w:val="24"/>
      <w:lang w:bidi="cs-CZ"/>
    </w:rPr>
  </w:style>
  <w:style w:type="paragraph" w:customStyle="1" w:styleId="ManualConsidrant">
    <w:name w:val="Manual Considérant"/>
    <w:basedOn w:val="Normln"/>
    <w:rsid w:val="00C116A2"/>
    <w:pPr>
      <w:spacing w:before="120"/>
      <w:ind w:left="709" w:hanging="709"/>
    </w:pPr>
    <w:rPr>
      <w:rFonts w:ascii="Times New Roman" w:hAnsi="Times New Roman" w:cs="Times New Roman"/>
      <w:sz w:val="24"/>
      <w:lang w:bidi="cs-CZ"/>
    </w:rPr>
  </w:style>
  <w:style w:type="paragraph" w:customStyle="1" w:styleId="ManualNumPar1">
    <w:name w:val="Manual NumPar 1"/>
    <w:basedOn w:val="Normln"/>
    <w:next w:val="Normln"/>
    <w:rsid w:val="00C116A2"/>
    <w:pPr>
      <w:spacing w:before="120"/>
      <w:ind w:left="850" w:hanging="850"/>
    </w:pPr>
    <w:rPr>
      <w:rFonts w:ascii="Times New Roman" w:hAnsi="Times New Roman" w:cs="Times New Roman"/>
      <w:sz w:val="24"/>
      <w:lang w:bidi="cs-CZ"/>
    </w:rPr>
  </w:style>
  <w:style w:type="paragraph" w:customStyle="1" w:styleId="Formuledadoption">
    <w:name w:val="Formule d'adoption"/>
    <w:basedOn w:val="Normln"/>
    <w:next w:val="Normln"/>
    <w:rsid w:val="00C116A2"/>
    <w:pPr>
      <w:keepNext/>
      <w:spacing w:before="120"/>
    </w:pPr>
    <w:rPr>
      <w:rFonts w:ascii="Times New Roman" w:hAnsi="Times New Roman" w:cs="Times New Roman"/>
      <w:sz w:val="24"/>
      <w:lang w:bidi="cs-CZ"/>
    </w:rPr>
  </w:style>
  <w:style w:type="character" w:customStyle="1" w:styleId="HeadingChar">
    <w:name w:val="Heading Char"/>
    <w:basedOn w:val="Standardnpsmoodstavce"/>
    <w:link w:val="Heading"/>
    <w:locked/>
    <w:rsid w:val="00965D79"/>
    <w:rPr>
      <w:rFonts w:ascii="Century Gothic" w:hAnsi="Century Gothic" w:cs="Times New Roman"/>
      <w:b/>
      <w:color w:val="333399"/>
      <w:sz w:val="18"/>
      <w:lang w:val="en-GB"/>
    </w:rPr>
  </w:style>
  <w:style w:type="paragraph" w:customStyle="1" w:styleId="Heading">
    <w:name w:val="Heading"/>
    <w:basedOn w:val="Normln"/>
    <w:next w:val="Normln"/>
    <w:link w:val="HeadingChar"/>
    <w:rsid w:val="00965D79"/>
    <w:pPr>
      <w:keepNext/>
      <w:spacing w:before="120" w:line="240" w:lineRule="atLeast"/>
    </w:pPr>
    <w:rPr>
      <w:rFonts w:ascii="Century Gothic" w:hAnsi="Century Gothic" w:cs="Times New Roman"/>
      <w:b/>
      <w:color w:val="333399"/>
      <w:sz w:val="18"/>
      <w:lang w:val="en-GB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965D79"/>
    <w:pPr>
      <w:spacing w:after="160" w:line="240" w:lineRule="exact"/>
    </w:pPr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CE3"/>
    <w:pPr>
      <w:spacing w:after="120" w:line="240" w:lineRule="auto"/>
      <w:jc w:val="both"/>
    </w:pPr>
  </w:style>
  <w:style w:type="paragraph" w:styleId="Nadpis1">
    <w:name w:val="heading 1"/>
    <w:basedOn w:val="Normln"/>
    <w:link w:val="Nadpis1Char"/>
    <w:uiPriority w:val="9"/>
    <w:qFormat/>
    <w:rsid w:val="00377CE3"/>
    <w:pPr>
      <w:keepNext/>
      <w:keepLines/>
      <w:numPr>
        <w:numId w:val="1"/>
      </w:numPr>
      <w:tabs>
        <w:tab w:val="left" w:pos="567"/>
      </w:tabs>
      <w:spacing w:before="6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C16BD3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F96A27"/>
    <w:pPr>
      <w:keepNext/>
      <w:keepLines/>
      <w:numPr>
        <w:ilvl w:val="2"/>
        <w:numId w:val="1"/>
      </w:numPr>
      <w:spacing w:before="36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41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41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41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41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41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41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7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1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96A2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ormlnweb">
    <w:name w:val="Normal (Web)"/>
    <w:basedOn w:val="Normln"/>
    <w:uiPriority w:val="99"/>
    <w:unhideWhenUsed/>
    <w:rsid w:val="008014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014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4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415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014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014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rsid w:val="008014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14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14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14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14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14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D527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527A"/>
    <w:rPr>
      <w:sz w:val="20"/>
      <w:szCs w:val="20"/>
    </w:rPr>
  </w:style>
  <w:style w:type="character" w:styleId="Znakapoznpodarou">
    <w:name w:val="footnote reference"/>
    <w:aliases w:val="Char1,Ref,de nota al pie,Footnote,Footnote symbol,Footnote reference number,Times 10 Point,Exposant 3 Point,EN Footnote Reference,note TESI,number,-E Fußnotenzeichen,ftref,16 Point,Superscript 6 Point,E FNZ,Footnote#,SUPERS"/>
    <w:basedOn w:val="Standardnpsmoodstavce"/>
    <w:link w:val="FootnotesymbolCarZchn"/>
    <w:uiPriority w:val="99"/>
    <w:unhideWhenUsed/>
    <w:qFormat/>
    <w:rsid w:val="000D527A"/>
    <w:rPr>
      <w:vertAlign w:val="superscript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A74E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F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0E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F0EE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E31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E3158"/>
  </w:style>
  <w:style w:type="paragraph" w:styleId="Zpat">
    <w:name w:val="footer"/>
    <w:basedOn w:val="Normln"/>
    <w:link w:val="ZpatChar"/>
    <w:uiPriority w:val="99"/>
    <w:unhideWhenUsed/>
    <w:rsid w:val="001E315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E3158"/>
  </w:style>
  <w:style w:type="paragraph" w:styleId="Podtitul">
    <w:name w:val="Subtitle"/>
    <w:basedOn w:val="Normln"/>
    <w:next w:val="Normln"/>
    <w:link w:val="PodtitulChar"/>
    <w:uiPriority w:val="11"/>
    <w:qFormat/>
    <w:rsid w:val="00021E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21E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katabulky">
    <w:name w:val="Table Grid"/>
    <w:basedOn w:val="Normlntabulka"/>
    <w:uiPriority w:val="39"/>
    <w:rsid w:val="00682B3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F23FC7"/>
  </w:style>
  <w:style w:type="character" w:styleId="Siln">
    <w:name w:val="Strong"/>
    <w:basedOn w:val="Standardnpsmoodstavce"/>
    <w:uiPriority w:val="22"/>
    <w:qFormat/>
    <w:rsid w:val="00F23FC7"/>
    <w:rPr>
      <w:b/>
      <w:bCs/>
    </w:rPr>
  </w:style>
  <w:style w:type="character" w:styleId="Zvraznn">
    <w:name w:val="Emphasis"/>
    <w:basedOn w:val="Standardnpsmoodstavce"/>
    <w:uiPriority w:val="20"/>
    <w:qFormat/>
    <w:rsid w:val="00F23FC7"/>
    <w:rPr>
      <w:i/>
      <w:iCs/>
    </w:rPr>
  </w:style>
  <w:style w:type="paragraph" w:customStyle="1" w:styleId="Default">
    <w:name w:val="Default"/>
    <w:rsid w:val="00C72A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itreobjet">
    <w:name w:val="Titre objet"/>
    <w:basedOn w:val="Normln"/>
    <w:next w:val="Normln"/>
    <w:rsid w:val="00C116A2"/>
    <w:pPr>
      <w:spacing w:before="360" w:after="360"/>
      <w:jc w:val="center"/>
    </w:pPr>
    <w:rPr>
      <w:rFonts w:ascii="Times New Roman" w:hAnsi="Times New Roman" w:cs="Times New Roman"/>
      <w:b/>
      <w:sz w:val="24"/>
      <w:lang w:bidi="cs-CZ"/>
    </w:rPr>
  </w:style>
  <w:style w:type="paragraph" w:customStyle="1" w:styleId="Typedudocument">
    <w:name w:val="Type du document"/>
    <w:basedOn w:val="Normln"/>
    <w:next w:val="Titreobjet"/>
    <w:rsid w:val="00C116A2"/>
    <w:pPr>
      <w:spacing w:before="360" w:after="0"/>
      <w:jc w:val="center"/>
    </w:pPr>
    <w:rPr>
      <w:rFonts w:ascii="Times New Roman" w:hAnsi="Times New Roman" w:cs="Times New Roman"/>
      <w:b/>
      <w:sz w:val="24"/>
      <w:lang w:bidi="cs-CZ"/>
    </w:rPr>
  </w:style>
  <w:style w:type="paragraph" w:customStyle="1" w:styleId="ManualConsidrant">
    <w:name w:val="Manual Considérant"/>
    <w:basedOn w:val="Normln"/>
    <w:rsid w:val="00C116A2"/>
    <w:pPr>
      <w:spacing w:before="120"/>
      <w:ind w:left="709" w:hanging="709"/>
    </w:pPr>
    <w:rPr>
      <w:rFonts w:ascii="Times New Roman" w:hAnsi="Times New Roman" w:cs="Times New Roman"/>
      <w:sz w:val="24"/>
      <w:lang w:bidi="cs-CZ"/>
    </w:rPr>
  </w:style>
  <w:style w:type="paragraph" w:customStyle="1" w:styleId="ManualNumPar1">
    <w:name w:val="Manual NumPar 1"/>
    <w:basedOn w:val="Normln"/>
    <w:next w:val="Normln"/>
    <w:rsid w:val="00C116A2"/>
    <w:pPr>
      <w:spacing w:before="120"/>
      <w:ind w:left="850" w:hanging="850"/>
    </w:pPr>
    <w:rPr>
      <w:rFonts w:ascii="Times New Roman" w:hAnsi="Times New Roman" w:cs="Times New Roman"/>
      <w:sz w:val="24"/>
      <w:lang w:bidi="cs-CZ"/>
    </w:rPr>
  </w:style>
  <w:style w:type="paragraph" w:customStyle="1" w:styleId="Formuledadoption">
    <w:name w:val="Formule d'adoption"/>
    <w:basedOn w:val="Normln"/>
    <w:next w:val="Normln"/>
    <w:rsid w:val="00C116A2"/>
    <w:pPr>
      <w:keepNext/>
      <w:spacing w:before="120"/>
    </w:pPr>
    <w:rPr>
      <w:rFonts w:ascii="Times New Roman" w:hAnsi="Times New Roman" w:cs="Times New Roman"/>
      <w:sz w:val="24"/>
      <w:lang w:bidi="cs-CZ"/>
    </w:rPr>
  </w:style>
  <w:style w:type="character" w:customStyle="1" w:styleId="HeadingChar">
    <w:name w:val="Heading Char"/>
    <w:basedOn w:val="Standardnpsmoodstavce"/>
    <w:link w:val="Heading"/>
    <w:locked/>
    <w:rsid w:val="00965D79"/>
    <w:rPr>
      <w:rFonts w:ascii="Century Gothic" w:hAnsi="Century Gothic" w:cs="Times New Roman"/>
      <w:b/>
      <w:color w:val="333399"/>
      <w:sz w:val="18"/>
      <w:lang w:val="en-GB"/>
    </w:rPr>
  </w:style>
  <w:style w:type="paragraph" w:customStyle="1" w:styleId="Heading">
    <w:name w:val="Heading"/>
    <w:basedOn w:val="Normln"/>
    <w:next w:val="Normln"/>
    <w:link w:val="HeadingChar"/>
    <w:rsid w:val="00965D79"/>
    <w:pPr>
      <w:keepNext/>
      <w:spacing w:before="120" w:line="240" w:lineRule="atLeast"/>
    </w:pPr>
    <w:rPr>
      <w:rFonts w:ascii="Century Gothic" w:hAnsi="Century Gothic" w:cs="Times New Roman"/>
      <w:b/>
      <w:color w:val="333399"/>
      <w:sz w:val="18"/>
      <w:lang w:val="en-GB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965D79"/>
    <w:pPr>
      <w:spacing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6489-9A16-479C-B17A-257F83A1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2041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Moravcová Lenka</cp:lastModifiedBy>
  <cp:revision>3</cp:revision>
  <cp:lastPrinted>2023-02-09T12:35:00Z</cp:lastPrinted>
  <dcterms:created xsi:type="dcterms:W3CDTF">2023-02-09T12:38:00Z</dcterms:created>
  <dcterms:modified xsi:type="dcterms:W3CDTF">2023-02-09T12:38:00Z</dcterms:modified>
</cp:coreProperties>
</file>